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AF7114E">
      <w:pPr>
        <w:pStyle w:val="14"/>
        <w:bidi w:val="0"/>
        <w:rPr>
          <w:rFonts w:hint="eastAsia"/>
          <w:lang w:val="en-US" w:eastAsia="zh-CN"/>
        </w:rPr>
      </w:pPr>
    </w:p>
    <w:p w14:paraId="2ED7FF75">
      <w:pPr>
        <w:pStyle w:val="14"/>
        <w:bidi w:val="0"/>
        <w:rPr>
          <w:rFonts w:hint="eastAsia"/>
          <w:lang w:val="en-US" w:eastAsia="zh-CN"/>
        </w:rPr>
      </w:pPr>
    </w:p>
    <w:p w14:paraId="3538634A">
      <w:pPr>
        <w:pStyle w:val="2"/>
        <w:bidi w:val="0"/>
        <w:rPr>
          <w:rFonts w:hint="eastAsia" w:ascii="宋体" w:hAnsi="宋体" w:eastAsia="宋体" w:cs="宋体"/>
          <w:b/>
          <w:bCs/>
          <w:spacing w:val="0"/>
          <w:szCs w:val="44"/>
          <w:lang w:val="en-US" w:eastAsia="zh-CN"/>
        </w:rPr>
      </w:pPr>
      <w:r>
        <w:rPr>
          <w:rFonts w:hint="eastAsia"/>
          <w:lang w:val="en-US" w:eastAsia="zh-CN"/>
        </w:rPr>
        <w:t>陇南市饮用水水源地保护条例</w:t>
      </w:r>
    </w:p>
    <w:p w14:paraId="34E7042E">
      <w:pPr>
        <w:pStyle w:val="14"/>
        <w:bidi w:val="0"/>
        <w:rPr>
          <w:rFonts w:hint="eastAsia"/>
          <w:lang w:val="en-US" w:eastAsia="zh-CN"/>
        </w:rPr>
      </w:pPr>
    </w:p>
    <w:p w14:paraId="67FC9092">
      <w:pPr>
        <w:pStyle w:val="11"/>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rPr>
      </w:pPr>
      <w:r>
        <w:rPr>
          <w:rFonts w:hint="eastAsia"/>
        </w:rPr>
        <w:t>（2024年4月22日陇南市第五届人民代表大会常务委员会第十五次会议通过</w:t>
      </w:r>
      <w:r>
        <w:rPr>
          <w:rFonts w:hint="eastAsia"/>
          <w:lang w:val="en-US" w:eastAsia="zh-CN"/>
        </w:rPr>
        <w:t>　</w:t>
      </w:r>
      <w:r>
        <w:rPr>
          <w:rFonts w:hint="eastAsia"/>
        </w:rPr>
        <w:t>2024年5月30日甘肃省第十四届人民代表大会常务委员会第九次会议批准）</w:t>
      </w:r>
    </w:p>
    <w:p w14:paraId="28C16F80">
      <w:pPr>
        <w:pStyle w:val="14"/>
        <w:bidi w:val="0"/>
        <w:rPr>
          <w:rFonts w:hint="eastAsia"/>
          <w:lang w:val="en-US" w:eastAsia="zh-CN"/>
        </w:rPr>
      </w:pPr>
    </w:p>
    <w:p w14:paraId="6E4984C1">
      <w:pPr>
        <w:pStyle w:val="12"/>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lang w:val="en-US" w:eastAsia="zh-CN"/>
        </w:rPr>
      </w:pPr>
      <w:r>
        <w:rPr>
          <w:rFonts w:hint="eastAsia"/>
          <w:lang w:val="en-US" w:eastAsia="zh-CN"/>
        </w:rPr>
        <w:t>目　　录</w:t>
      </w:r>
    </w:p>
    <w:p w14:paraId="3F0CB7F1">
      <w:pPr>
        <w:pStyle w:val="14"/>
        <w:bidi w:val="0"/>
        <w:rPr>
          <w:rFonts w:hint="eastAsia"/>
          <w:lang w:val="en-US" w:eastAsia="zh-CN"/>
        </w:rPr>
      </w:pPr>
    </w:p>
    <w:p w14:paraId="1055B358">
      <w:pPr>
        <w:pStyle w:val="13"/>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lang w:val="en-US" w:eastAsia="zh-CN"/>
        </w:rPr>
      </w:pPr>
      <w:r>
        <w:rPr>
          <w:rFonts w:hint="eastAsia"/>
          <w:lang w:val="en-US" w:eastAsia="zh-CN"/>
        </w:rPr>
        <w:t>第一章　总　　则</w:t>
      </w:r>
    </w:p>
    <w:p w14:paraId="6183D85B">
      <w:pPr>
        <w:pStyle w:val="13"/>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lang w:val="en-US" w:eastAsia="zh-CN"/>
        </w:rPr>
      </w:pPr>
      <w:r>
        <w:rPr>
          <w:rFonts w:hint="eastAsia"/>
          <w:lang w:val="en-US" w:eastAsia="zh-CN"/>
        </w:rPr>
        <w:t>第二章　集中式饮用水水源地保护</w:t>
      </w:r>
    </w:p>
    <w:p w14:paraId="4FBB70FA">
      <w:pPr>
        <w:pStyle w:val="13"/>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lang w:val="en-US" w:eastAsia="zh-CN"/>
        </w:rPr>
      </w:pPr>
      <w:r>
        <w:rPr>
          <w:rFonts w:hint="eastAsia"/>
          <w:lang w:val="en-US" w:eastAsia="zh-CN"/>
        </w:rPr>
        <w:t>第三章　分散式饮用水水源地保护</w:t>
      </w:r>
    </w:p>
    <w:p w14:paraId="26D721EF">
      <w:pPr>
        <w:pStyle w:val="13"/>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lang w:val="en-US" w:eastAsia="zh-CN"/>
        </w:rPr>
      </w:pPr>
      <w:r>
        <w:rPr>
          <w:rFonts w:hint="eastAsia"/>
          <w:lang w:val="en-US" w:eastAsia="zh-CN"/>
        </w:rPr>
        <w:t>第四章　监督管理</w:t>
      </w:r>
    </w:p>
    <w:p w14:paraId="1F6AE4CB">
      <w:pPr>
        <w:pStyle w:val="13"/>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lang w:val="en-US" w:eastAsia="zh-CN"/>
        </w:rPr>
      </w:pPr>
      <w:r>
        <w:rPr>
          <w:rFonts w:hint="eastAsia"/>
          <w:lang w:val="en-US" w:eastAsia="zh-CN"/>
        </w:rPr>
        <w:t>第五章　法律责任</w:t>
      </w:r>
    </w:p>
    <w:p w14:paraId="63D08FE5">
      <w:pPr>
        <w:pStyle w:val="13"/>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lang w:val="en-US" w:eastAsia="zh-CN"/>
        </w:rPr>
      </w:pPr>
      <w:r>
        <w:rPr>
          <w:rFonts w:hint="eastAsia"/>
          <w:lang w:val="en-US" w:eastAsia="zh-CN"/>
        </w:rPr>
        <w:t>第六章　附　　则</w:t>
      </w:r>
    </w:p>
    <w:p w14:paraId="464CF068">
      <w:pPr>
        <w:pStyle w:val="14"/>
        <w:bidi w:val="0"/>
        <w:rPr>
          <w:rFonts w:hint="eastAsia"/>
          <w:lang w:val="en-US" w:eastAsia="zh-CN"/>
        </w:rPr>
      </w:pPr>
    </w:p>
    <w:p w14:paraId="0F5240D1">
      <w:pPr>
        <w:pStyle w:val="4"/>
        <w:bidi w:val="0"/>
        <w:rPr>
          <w:rFonts w:hint="eastAsia"/>
          <w:lang w:val="en-US" w:eastAsia="zh-CN"/>
        </w:rPr>
      </w:pPr>
      <w:r>
        <w:rPr>
          <w:rFonts w:hint="eastAsia"/>
          <w:lang w:val="en-US" w:eastAsia="zh-CN"/>
        </w:rPr>
        <w:t>第一章　总　　则</w:t>
      </w:r>
    </w:p>
    <w:p w14:paraId="1A449F44">
      <w:pPr>
        <w:pStyle w:val="14"/>
        <w:bidi w:val="0"/>
        <w:rPr>
          <w:rFonts w:hint="eastAsia"/>
          <w:lang w:val="en-US" w:eastAsia="zh-CN"/>
        </w:rPr>
      </w:pPr>
    </w:p>
    <w:p w14:paraId="78A39362">
      <w:pPr>
        <w:bidi w:val="0"/>
        <w:rPr>
          <w:rFonts w:hint="eastAsia"/>
          <w:lang w:val="en-US" w:eastAsia="zh-CN"/>
        </w:rPr>
      </w:pPr>
      <w:r>
        <w:rPr>
          <w:rFonts w:hint="eastAsia" w:eastAsia="黑体"/>
          <w:sz w:val="32"/>
          <w:lang w:val="en-US" w:eastAsia="zh-CN"/>
        </w:rPr>
        <w:t>第一条</w:t>
      </w:r>
      <w:r>
        <w:rPr>
          <w:rFonts w:hint="eastAsia"/>
          <w:lang w:val="en-US" w:eastAsia="zh-CN"/>
        </w:rPr>
        <w:t>　为了加强饮用水水源地保护，保障</w:t>
      </w:r>
      <w:bookmarkStart w:id="0" w:name="_GoBack"/>
      <w:bookmarkEnd w:id="0"/>
      <w:r>
        <w:rPr>
          <w:rFonts w:hint="eastAsia"/>
          <w:lang w:val="en-US" w:eastAsia="zh-CN"/>
        </w:rPr>
        <w:t>饮用水安全，维护人民群众身体健康和生命安全，根据《中华人民共和国水法》《中华人民共和国水污染防治法》等法律、法规，结合本市实际，制定本条例。</w:t>
      </w:r>
    </w:p>
    <w:p w14:paraId="131EB318">
      <w:pPr>
        <w:bidi w:val="0"/>
        <w:rPr>
          <w:rFonts w:hint="eastAsia"/>
          <w:lang w:val="en-US" w:eastAsia="zh-CN"/>
        </w:rPr>
      </w:pPr>
      <w:r>
        <w:rPr>
          <w:rFonts w:hint="eastAsia" w:eastAsia="黑体"/>
          <w:sz w:val="32"/>
          <w:lang w:val="en-US" w:eastAsia="zh-CN"/>
        </w:rPr>
        <w:t>第二条</w:t>
      </w:r>
      <w:r>
        <w:rPr>
          <w:rFonts w:hint="eastAsia"/>
          <w:lang w:val="en-US" w:eastAsia="zh-CN"/>
        </w:rPr>
        <w:t>　本条例适用于本市行政区域内饮用水水源地保护及相关管理活动。</w:t>
      </w:r>
    </w:p>
    <w:p w14:paraId="5079BADC">
      <w:pPr>
        <w:bidi w:val="0"/>
        <w:rPr>
          <w:rFonts w:hint="eastAsia"/>
          <w:lang w:val="en-US" w:eastAsia="zh-CN"/>
        </w:rPr>
      </w:pPr>
      <w:r>
        <w:rPr>
          <w:rFonts w:hint="eastAsia" w:eastAsia="黑体"/>
          <w:sz w:val="32"/>
          <w:lang w:val="en-US" w:eastAsia="zh-CN"/>
        </w:rPr>
        <w:t>第三条</w:t>
      </w:r>
      <w:r>
        <w:rPr>
          <w:rFonts w:hint="eastAsia"/>
          <w:lang w:val="en-US" w:eastAsia="zh-CN"/>
        </w:rPr>
        <w:t>　本条例所称饮用水水源地，是指用于城乡居民生活的地表和地下取水水域以及与之密切相关的陆域，包括集中式饮用水水源地和分散式饮用水水源地。</w:t>
      </w:r>
    </w:p>
    <w:p w14:paraId="0E38F743">
      <w:pPr>
        <w:bidi w:val="0"/>
        <w:rPr>
          <w:rFonts w:hint="eastAsia"/>
          <w:lang w:val="en-US" w:eastAsia="zh-CN"/>
        </w:rPr>
      </w:pPr>
      <w:r>
        <w:rPr>
          <w:rFonts w:hint="eastAsia" w:eastAsia="黑体"/>
          <w:sz w:val="32"/>
          <w:lang w:val="en-US" w:eastAsia="zh-CN"/>
        </w:rPr>
        <w:t>第四条</w:t>
      </w:r>
      <w:r>
        <w:rPr>
          <w:rFonts w:hint="eastAsia"/>
          <w:lang w:val="en-US" w:eastAsia="zh-CN"/>
        </w:rPr>
        <w:t>　饮用水水源地保护应当遵循科学规划、保护优先、城乡统筹、属地管理、分类施策、综合治理、确保安全的原则。</w:t>
      </w:r>
    </w:p>
    <w:p w14:paraId="0866F87E">
      <w:pPr>
        <w:bidi w:val="0"/>
        <w:rPr>
          <w:rFonts w:hint="eastAsia"/>
          <w:lang w:val="en-US" w:eastAsia="zh-CN"/>
        </w:rPr>
      </w:pPr>
      <w:r>
        <w:rPr>
          <w:rFonts w:hint="eastAsia" w:eastAsia="黑体"/>
          <w:sz w:val="32"/>
          <w:lang w:val="en-US" w:eastAsia="zh-CN"/>
        </w:rPr>
        <w:t>第五条</w:t>
      </w:r>
      <w:r>
        <w:rPr>
          <w:rFonts w:hint="eastAsia"/>
          <w:lang w:val="en-US" w:eastAsia="zh-CN"/>
        </w:rPr>
        <w:t>　市、县（区）人民政府负责本行政区域饮用水水源地保护工作，将饮用水水源地保护纳入国民经济和社会发展规划、国土空间规划、水资源综合规划、生态环境保护规划和水污染防治规划，履行下列职责：</w:t>
      </w:r>
    </w:p>
    <w:p w14:paraId="1E9FDE87">
      <w:pPr>
        <w:bidi w:val="0"/>
        <w:rPr>
          <w:rFonts w:hint="eastAsia"/>
          <w:lang w:val="en-US" w:eastAsia="zh-CN"/>
        </w:rPr>
      </w:pPr>
      <w:r>
        <w:rPr>
          <w:rFonts w:hint="eastAsia"/>
          <w:lang w:val="en-US" w:eastAsia="zh-CN"/>
        </w:rPr>
        <w:t>（一）组织开展饮用水水源地普查和环境状况调查工作；</w:t>
      </w:r>
    </w:p>
    <w:p w14:paraId="7D7AEA80">
      <w:pPr>
        <w:bidi w:val="0"/>
        <w:rPr>
          <w:rFonts w:hint="eastAsia"/>
          <w:lang w:val="en-US" w:eastAsia="zh-CN"/>
        </w:rPr>
      </w:pPr>
      <w:r>
        <w:rPr>
          <w:rFonts w:hint="eastAsia"/>
          <w:lang w:val="en-US" w:eastAsia="zh-CN"/>
        </w:rPr>
        <w:t>（二）依法公布市人民政府确定的饮用水水源地名录以及保护范围；</w:t>
      </w:r>
    </w:p>
    <w:p w14:paraId="7AEE5BC7">
      <w:pPr>
        <w:bidi w:val="0"/>
        <w:rPr>
          <w:rFonts w:hint="eastAsia"/>
          <w:lang w:val="en-US" w:eastAsia="zh-CN"/>
        </w:rPr>
      </w:pPr>
      <w:r>
        <w:rPr>
          <w:rFonts w:hint="eastAsia"/>
          <w:lang w:val="en-US" w:eastAsia="zh-CN"/>
        </w:rPr>
        <w:t>（三）应当对已经探明或者正在使用但未划定的饮用水水源进行保护；</w:t>
      </w:r>
    </w:p>
    <w:p w14:paraId="3EE0EE84">
      <w:pPr>
        <w:bidi w:val="0"/>
        <w:rPr>
          <w:rFonts w:hint="eastAsia"/>
          <w:lang w:val="en-US" w:eastAsia="zh-CN"/>
        </w:rPr>
      </w:pPr>
      <w:r>
        <w:rPr>
          <w:rFonts w:hint="eastAsia"/>
          <w:lang w:val="en-US" w:eastAsia="zh-CN"/>
        </w:rPr>
        <w:t>（四）加大饮用水水源地保护的财政投入，提高财政资金使用效益；</w:t>
      </w:r>
    </w:p>
    <w:p w14:paraId="7F1B8C6A">
      <w:pPr>
        <w:bidi w:val="0"/>
        <w:rPr>
          <w:rFonts w:hint="eastAsia"/>
          <w:lang w:val="en-US" w:eastAsia="zh-CN"/>
        </w:rPr>
      </w:pPr>
      <w:r>
        <w:rPr>
          <w:rFonts w:hint="eastAsia"/>
          <w:lang w:val="en-US" w:eastAsia="zh-CN"/>
        </w:rPr>
        <w:t>（五）合理布局和调整饮用水水源地以及周边地区的产业结构；</w:t>
      </w:r>
    </w:p>
    <w:p w14:paraId="1D356EC0">
      <w:pPr>
        <w:bidi w:val="0"/>
        <w:rPr>
          <w:rFonts w:hint="eastAsia"/>
          <w:lang w:val="en-US" w:eastAsia="zh-CN"/>
        </w:rPr>
      </w:pPr>
      <w:r>
        <w:rPr>
          <w:rFonts w:hint="eastAsia"/>
          <w:lang w:val="en-US" w:eastAsia="zh-CN"/>
        </w:rPr>
        <w:t>（六）法律、法规规定的其他职责。</w:t>
      </w:r>
    </w:p>
    <w:p w14:paraId="34B71CA1">
      <w:pPr>
        <w:bidi w:val="0"/>
        <w:rPr>
          <w:rFonts w:hint="eastAsia"/>
          <w:lang w:val="en-US" w:eastAsia="zh-CN"/>
        </w:rPr>
      </w:pPr>
      <w:r>
        <w:rPr>
          <w:rFonts w:hint="eastAsia"/>
          <w:lang w:val="en-US" w:eastAsia="zh-CN"/>
        </w:rPr>
        <w:t>乡（镇）人民政府、街道办事处协助做好本辖区内饮用水水源地保护基础设施的日常监督管理、饮用水水源地保护巡查、饮用水水源地污染投诉调查以及损害纠纷调解等工作。</w:t>
      </w:r>
    </w:p>
    <w:p w14:paraId="5267AB25">
      <w:pPr>
        <w:bidi w:val="0"/>
        <w:rPr>
          <w:rFonts w:hint="eastAsia"/>
          <w:lang w:val="en-US" w:eastAsia="zh-CN"/>
        </w:rPr>
      </w:pPr>
      <w:r>
        <w:rPr>
          <w:rFonts w:hint="eastAsia" w:eastAsia="黑体"/>
          <w:sz w:val="32"/>
          <w:lang w:val="en-US" w:eastAsia="zh-CN"/>
        </w:rPr>
        <w:t>第六条</w:t>
      </w:r>
      <w:r>
        <w:rPr>
          <w:rFonts w:hint="eastAsia"/>
          <w:lang w:val="en-US" w:eastAsia="zh-CN"/>
        </w:rPr>
        <w:t>　市生态环境主管部门负责饮用水水源保护区划分和调整方案的拟定工作，对饮用水水源地的生态环境保护和污染防治实施统一监督管理。</w:t>
      </w:r>
    </w:p>
    <w:p w14:paraId="724DA58F">
      <w:pPr>
        <w:bidi w:val="0"/>
        <w:rPr>
          <w:rFonts w:hint="eastAsia"/>
          <w:lang w:val="en-US" w:eastAsia="zh-CN"/>
        </w:rPr>
      </w:pPr>
      <w:r>
        <w:rPr>
          <w:rFonts w:hint="eastAsia"/>
          <w:lang w:val="en-US" w:eastAsia="zh-CN"/>
        </w:rPr>
        <w:t>市、县（区）水行政主管部门负责监督管理饮用水水源地水土保持和农村饮用水供水工作，指导城市水源工程建设；会同有关部门制定市人民政府确定的饮用水水源地名录。</w:t>
      </w:r>
    </w:p>
    <w:p w14:paraId="56316885">
      <w:pPr>
        <w:bidi w:val="0"/>
        <w:rPr>
          <w:rFonts w:hint="eastAsia"/>
          <w:lang w:val="en-US" w:eastAsia="zh-CN"/>
        </w:rPr>
      </w:pPr>
      <w:r>
        <w:rPr>
          <w:rFonts w:hint="eastAsia"/>
          <w:lang w:val="en-US" w:eastAsia="zh-CN"/>
        </w:rPr>
        <w:t>市、县（区）农业农村主管部门负责制定饮用水水源保护区内农药化肥使用办法并监督实施；对农业生产，渔业船舶和水产养殖尾水排放行为进行监督管理。</w:t>
      </w:r>
    </w:p>
    <w:p w14:paraId="7E42556B">
      <w:pPr>
        <w:bidi w:val="0"/>
        <w:rPr>
          <w:rFonts w:hint="eastAsia"/>
          <w:lang w:val="en-US" w:eastAsia="zh-CN"/>
        </w:rPr>
      </w:pPr>
      <w:r>
        <w:rPr>
          <w:rFonts w:hint="eastAsia"/>
          <w:lang w:val="en-US" w:eastAsia="zh-CN"/>
        </w:rPr>
        <w:t>市、县（区）发展改革、住房和城乡建设、卫生健康、自然资源、财政、林业和草原、交通运输、公安、教育、文广旅、市场监管、应急管理等部门在各自职责范围内做好饮用水水源地保护相关工作。</w:t>
      </w:r>
    </w:p>
    <w:p w14:paraId="4AB4A904">
      <w:pPr>
        <w:bidi w:val="0"/>
        <w:rPr>
          <w:rFonts w:hint="eastAsia"/>
          <w:lang w:val="en-US" w:eastAsia="zh-CN"/>
        </w:rPr>
      </w:pPr>
      <w:r>
        <w:rPr>
          <w:rFonts w:hint="eastAsia" w:eastAsia="黑体"/>
          <w:sz w:val="32"/>
          <w:lang w:val="en-US" w:eastAsia="zh-CN"/>
        </w:rPr>
        <w:t>第七条</w:t>
      </w:r>
      <w:r>
        <w:rPr>
          <w:rFonts w:hint="eastAsia"/>
          <w:lang w:val="en-US" w:eastAsia="zh-CN"/>
        </w:rPr>
        <w:t>　饮用水水源地的确定，应当与水功能区水环境功能区划分方案相衔接，符合国家相关标准、规范的要求。</w:t>
      </w:r>
    </w:p>
    <w:p w14:paraId="6D21C1F2">
      <w:pPr>
        <w:bidi w:val="0"/>
        <w:rPr>
          <w:rFonts w:hint="eastAsia"/>
          <w:lang w:val="en-US" w:eastAsia="zh-CN"/>
        </w:rPr>
      </w:pPr>
      <w:r>
        <w:rPr>
          <w:rFonts w:hint="eastAsia"/>
          <w:lang w:val="en-US" w:eastAsia="zh-CN"/>
        </w:rPr>
        <w:t>市人民政府应当根据经济社会发展和饮用水水源地保护的实际需要，适时依法调整市人民政府确定的饮用水水源保护区、保护范围。</w:t>
      </w:r>
    </w:p>
    <w:p w14:paraId="5FD38B5C">
      <w:pPr>
        <w:bidi w:val="0"/>
        <w:rPr>
          <w:rFonts w:hint="eastAsia"/>
          <w:lang w:val="en-US" w:eastAsia="zh-CN"/>
        </w:rPr>
      </w:pPr>
      <w:r>
        <w:rPr>
          <w:rFonts w:hint="eastAsia"/>
          <w:lang w:val="en-US" w:eastAsia="zh-CN"/>
        </w:rPr>
        <w:t>市人民政府确定的现有饮用水水源地不符合国家相关标准或者不能保障供水安全的，应当采取措施进行治理，经治理后仍不符合国家有关标准或者不能保障供水安全的，应当重新确定饮用水水源地。</w:t>
      </w:r>
    </w:p>
    <w:p w14:paraId="53ABB9EF">
      <w:pPr>
        <w:bidi w:val="0"/>
        <w:rPr>
          <w:rFonts w:hint="eastAsia"/>
          <w:lang w:val="en-US" w:eastAsia="zh-CN"/>
        </w:rPr>
      </w:pPr>
      <w:r>
        <w:rPr>
          <w:rFonts w:hint="eastAsia" w:eastAsia="黑体"/>
          <w:sz w:val="32"/>
          <w:lang w:val="en-US" w:eastAsia="zh-CN"/>
        </w:rPr>
        <w:t>第八条</w:t>
      </w:r>
      <w:r>
        <w:rPr>
          <w:rFonts w:hint="eastAsia"/>
          <w:lang w:val="en-US" w:eastAsia="zh-CN"/>
        </w:rPr>
        <w:t>　市、县（区）人民政府应当分级建立饮用水水源地水环境生态保护补偿机制，鼓励探索建立资金补偿之外的其他多元化补偿方式，落实国家生态保护补偿资金，确保其用于水环境生态保护补偿。</w:t>
      </w:r>
    </w:p>
    <w:p w14:paraId="6E1851C0">
      <w:pPr>
        <w:bidi w:val="0"/>
        <w:rPr>
          <w:rFonts w:hint="eastAsia"/>
          <w:lang w:val="en-US" w:eastAsia="zh-CN"/>
        </w:rPr>
      </w:pPr>
      <w:r>
        <w:rPr>
          <w:rFonts w:hint="eastAsia" w:eastAsia="黑体"/>
          <w:sz w:val="32"/>
          <w:lang w:val="en-US" w:eastAsia="zh-CN"/>
        </w:rPr>
        <w:t>第九条</w:t>
      </w:r>
      <w:r>
        <w:rPr>
          <w:rFonts w:hint="eastAsia"/>
          <w:lang w:val="en-US" w:eastAsia="zh-CN"/>
        </w:rPr>
        <w:t>　市、县（区）人民政府及其有关部门、乡（镇）人民政府、街道办事处应当组织开展饮用水水源地保护的宣传教育。</w:t>
      </w:r>
    </w:p>
    <w:p w14:paraId="54D6F6FD">
      <w:pPr>
        <w:bidi w:val="0"/>
        <w:rPr>
          <w:rFonts w:hint="eastAsia"/>
          <w:lang w:val="en-US" w:eastAsia="zh-CN"/>
        </w:rPr>
      </w:pPr>
      <w:r>
        <w:rPr>
          <w:rFonts w:hint="eastAsia"/>
          <w:lang w:val="en-US" w:eastAsia="zh-CN"/>
        </w:rPr>
        <w:t>新闻媒体应当积极开展饮用水水源地保护的公益宣传，对破坏、污染饮用水水源地的行为进行舆论监督。</w:t>
      </w:r>
    </w:p>
    <w:p w14:paraId="09CF79F5">
      <w:pPr>
        <w:bidi w:val="0"/>
        <w:rPr>
          <w:rFonts w:hint="eastAsia"/>
          <w:lang w:val="en-US" w:eastAsia="zh-CN"/>
        </w:rPr>
      </w:pPr>
      <w:r>
        <w:rPr>
          <w:rFonts w:hint="eastAsia" w:eastAsia="黑体"/>
          <w:sz w:val="32"/>
          <w:lang w:val="en-US" w:eastAsia="zh-CN"/>
        </w:rPr>
        <w:t>第十条</w:t>
      </w:r>
      <w:r>
        <w:rPr>
          <w:rFonts w:hint="eastAsia"/>
          <w:lang w:val="en-US" w:eastAsia="zh-CN"/>
        </w:rPr>
        <w:t>　任何单位和个人都有保护饮用水水源地的义务，有权对破坏和污染饮用水水源地的行为进行劝阻，向生态环境、水行政、住房和城乡建设等主管部门举报，相关单位应当向社会公布举报方式，受理举报的部门应当依法调查处理，调查处理的情况应当向举报的单位和个人通报。</w:t>
      </w:r>
    </w:p>
    <w:p w14:paraId="4D40F207">
      <w:pPr>
        <w:bidi w:val="0"/>
        <w:rPr>
          <w:rFonts w:hint="eastAsia"/>
          <w:lang w:val="en-US" w:eastAsia="zh-CN"/>
        </w:rPr>
      </w:pPr>
      <w:r>
        <w:rPr>
          <w:rFonts w:hint="eastAsia"/>
          <w:lang w:val="en-US" w:eastAsia="zh-CN"/>
        </w:rPr>
        <w:t>市、县（区）人民政府对在饮用水水源地保护方面做出显著成绩的单位、个人按照国家和本省有关规定给予表彰和奖励。</w:t>
      </w:r>
    </w:p>
    <w:p w14:paraId="27B438D3">
      <w:pPr>
        <w:pStyle w:val="14"/>
        <w:bidi w:val="0"/>
        <w:rPr>
          <w:rFonts w:hint="eastAsia"/>
          <w:lang w:val="en-US" w:eastAsia="zh-CN"/>
        </w:rPr>
      </w:pPr>
    </w:p>
    <w:p w14:paraId="4661D489">
      <w:pPr>
        <w:pStyle w:val="4"/>
        <w:bidi w:val="0"/>
        <w:rPr>
          <w:rFonts w:hint="eastAsia"/>
          <w:lang w:val="en-US" w:eastAsia="zh-CN"/>
        </w:rPr>
      </w:pPr>
      <w:r>
        <w:rPr>
          <w:rFonts w:hint="eastAsia"/>
          <w:lang w:val="en-US" w:eastAsia="zh-CN"/>
        </w:rPr>
        <w:t>第二章　集中式饮用水水源地保护</w:t>
      </w:r>
    </w:p>
    <w:p w14:paraId="6AE32B6A">
      <w:pPr>
        <w:pStyle w:val="14"/>
        <w:bidi w:val="0"/>
        <w:rPr>
          <w:rFonts w:hint="eastAsia"/>
          <w:lang w:val="en-US" w:eastAsia="zh-CN"/>
        </w:rPr>
      </w:pPr>
    </w:p>
    <w:p w14:paraId="0B0ABB38">
      <w:pPr>
        <w:bidi w:val="0"/>
        <w:rPr>
          <w:rFonts w:hint="eastAsia"/>
          <w:lang w:val="en-US" w:eastAsia="zh-CN"/>
        </w:rPr>
      </w:pPr>
      <w:r>
        <w:rPr>
          <w:rFonts w:hint="eastAsia" w:eastAsia="黑体"/>
          <w:sz w:val="32"/>
          <w:lang w:val="en-US" w:eastAsia="zh-CN"/>
        </w:rPr>
        <w:t>第十一条</w:t>
      </w:r>
      <w:r>
        <w:rPr>
          <w:rFonts w:hint="eastAsia"/>
          <w:lang w:val="en-US" w:eastAsia="zh-CN"/>
        </w:rPr>
        <w:t>　集中式饮用水水源地是指进入输水管网送到用户，并且供水人口一般在一千人以上的在用、备用和规划饮用水水源地。</w:t>
      </w:r>
    </w:p>
    <w:p w14:paraId="6FF5433C">
      <w:pPr>
        <w:bidi w:val="0"/>
        <w:rPr>
          <w:rFonts w:hint="eastAsia"/>
          <w:lang w:val="en-US" w:eastAsia="zh-CN"/>
        </w:rPr>
      </w:pPr>
      <w:r>
        <w:rPr>
          <w:rFonts w:hint="eastAsia" w:eastAsia="黑体"/>
          <w:sz w:val="32"/>
          <w:lang w:val="en-US" w:eastAsia="zh-CN"/>
        </w:rPr>
        <w:t>第十二条</w:t>
      </w:r>
      <w:r>
        <w:rPr>
          <w:rFonts w:hint="eastAsia"/>
          <w:lang w:val="en-US" w:eastAsia="zh-CN"/>
        </w:rPr>
        <w:t>　集中式饮用水水源保护区的划定，由生态环境主管部门会同有关部门进行科学论证，提出意见。市、县（区）级集中式饮用水水源保护区的划定，由市人民政府提出划定方案，报省人民政府批准，并向社会公布。乡（镇）级集中式饮用水水源保护区的划定，由县（区）人民政府提出划定方案，报市人民政府批准，并向社会公布。</w:t>
      </w:r>
    </w:p>
    <w:p w14:paraId="2E445B52">
      <w:pPr>
        <w:bidi w:val="0"/>
        <w:rPr>
          <w:rFonts w:hint="eastAsia"/>
          <w:lang w:val="en-US" w:eastAsia="zh-CN"/>
        </w:rPr>
      </w:pPr>
      <w:r>
        <w:rPr>
          <w:rFonts w:hint="eastAsia"/>
          <w:lang w:val="en-US" w:eastAsia="zh-CN"/>
        </w:rPr>
        <w:t>饮用水水源保护区分为一级保护区和二级保护区。必要时可以在饮用水水源保护区外围划定一定的区域作为准保护区，并依照有关法律、法规采取有效的保护措施。</w:t>
      </w:r>
    </w:p>
    <w:p w14:paraId="70C207A1">
      <w:pPr>
        <w:bidi w:val="0"/>
        <w:rPr>
          <w:rFonts w:hint="eastAsia"/>
          <w:lang w:val="en-US" w:eastAsia="zh-CN"/>
        </w:rPr>
      </w:pPr>
      <w:r>
        <w:rPr>
          <w:rFonts w:hint="eastAsia"/>
          <w:lang w:val="en-US" w:eastAsia="zh-CN"/>
        </w:rPr>
        <w:t>批准划定的饮用水水源保护区任何单位和个人不得擅自调整。因饮用水水量发生变化、水质不能满足饮用水要求、饮用水水源安全受到威胁等原因，确需调整饮用水水源保护区的，应当按照程序报批。</w:t>
      </w:r>
    </w:p>
    <w:p w14:paraId="44C0C8F5">
      <w:pPr>
        <w:bidi w:val="0"/>
        <w:rPr>
          <w:rFonts w:hint="eastAsia"/>
          <w:lang w:val="en-US" w:eastAsia="zh-CN"/>
        </w:rPr>
      </w:pPr>
      <w:r>
        <w:rPr>
          <w:rFonts w:hint="eastAsia" w:eastAsia="黑体"/>
          <w:sz w:val="32"/>
          <w:lang w:val="en-US" w:eastAsia="zh-CN"/>
        </w:rPr>
        <w:t>第十三条</w:t>
      </w:r>
      <w:r>
        <w:rPr>
          <w:rFonts w:hint="eastAsia"/>
          <w:lang w:val="en-US" w:eastAsia="zh-CN"/>
        </w:rPr>
        <w:t>　市、县（区）人民政府应当在划定集中式饮用水水源地时划定备用水源地，或者开展区域联网供水，确保应急状态下的饮用水供应。</w:t>
      </w:r>
    </w:p>
    <w:p w14:paraId="7AED51E7">
      <w:pPr>
        <w:bidi w:val="0"/>
        <w:rPr>
          <w:rFonts w:hint="eastAsia"/>
          <w:lang w:val="en-US" w:eastAsia="zh-CN"/>
        </w:rPr>
      </w:pPr>
      <w:r>
        <w:rPr>
          <w:rFonts w:hint="eastAsia"/>
          <w:lang w:val="en-US" w:eastAsia="zh-CN"/>
        </w:rPr>
        <w:t>市、县（区）人民政府应当积极探寻新的水源地，根据区域发展要求，将水质良好、水量稳定的大中型水库、重要河道、湖泊、山泉、山涧水、水井作为备用或者规划饮用水水源。</w:t>
      </w:r>
    </w:p>
    <w:p w14:paraId="575F3BC6">
      <w:pPr>
        <w:bidi w:val="0"/>
        <w:rPr>
          <w:rFonts w:hint="eastAsia"/>
          <w:lang w:val="en-US" w:eastAsia="zh-CN"/>
        </w:rPr>
      </w:pPr>
      <w:r>
        <w:rPr>
          <w:rFonts w:hint="eastAsia" w:eastAsia="黑体"/>
          <w:sz w:val="32"/>
          <w:lang w:val="en-US" w:eastAsia="zh-CN"/>
        </w:rPr>
        <w:t>第十四条</w:t>
      </w:r>
      <w:r>
        <w:rPr>
          <w:rFonts w:hint="eastAsia"/>
          <w:lang w:val="en-US" w:eastAsia="zh-CN"/>
        </w:rPr>
        <w:t>　市、县（区）人民政府应当在饮用水水源保护区的边界设立明确的地理界标和明显的警示标志，并公布饮用水水源保护区平面图。界标和标志应当符合国家有关图形标志标准。</w:t>
      </w:r>
    </w:p>
    <w:p w14:paraId="1CA13F08">
      <w:pPr>
        <w:bidi w:val="0"/>
        <w:rPr>
          <w:rFonts w:hint="eastAsia"/>
          <w:lang w:val="en-US" w:eastAsia="zh-CN"/>
        </w:rPr>
      </w:pPr>
      <w:r>
        <w:rPr>
          <w:rFonts w:hint="eastAsia"/>
          <w:lang w:val="en-US" w:eastAsia="zh-CN"/>
        </w:rPr>
        <w:t>饮用水水源一级保护区应当设置隔离防护等设施，由水源所在地县（区）人民政府负责建设，实行封闭式管理。</w:t>
      </w:r>
    </w:p>
    <w:p w14:paraId="68F469AC">
      <w:pPr>
        <w:bidi w:val="0"/>
        <w:rPr>
          <w:rFonts w:hint="eastAsia"/>
          <w:lang w:val="en-US" w:eastAsia="zh-CN"/>
        </w:rPr>
      </w:pPr>
      <w:r>
        <w:rPr>
          <w:rFonts w:hint="eastAsia"/>
          <w:lang w:val="en-US" w:eastAsia="zh-CN"/>
        </w:rPr>
        <w:t>禁止任何单位和个人擅自改变、移动、盗窃、损毁饮用水水源保护区内的地理界标、警示标志和隔离防护等设施。</w:t>
      </w:r>
    </w:p>
    <w:p w14:paraId="0342DF2A">
      <w:pPr>
        <w:bidi w:val="0"/>
        <w:rPr>
          <w:rFonts w:hint="eastAsia"/>
          <w:lang w:val="en-US" w:eastAsia="zh-CN"/>
        </w:rPr>
      </w:pPr>
      <w:r>
        <w:rPr>
          <w:rFonts w:hint="eastAsia" w:eastAsia="黑体"/>
          <w:sz w:val="32"/>
          <w:lang w:val="en-US" w:eastAsia="zh-CN"/>
        </w:rPr>
        <w:t>第十五条</w:t>
      </w:r>
      <w:r>
        <w:rPr>
          <w:rFonts w:hint="eastAsia"/>
          <w:lang w:val="en-US" w:eastAsia="zh-CN"/>
        </w:rPr>
        <w:t>　新建公路、铁路、桥梁、输油输气管线、输变电工程、通讯工程等基础设施，不得穿越饮用水水源一级保护区；因工程条件和自然因素限制，确需穿越饮用水水源二级保护区或者准保护区的，项目建设单位应当就项目实施对饮用水水源保护区的环境影响进行专题评价，依法报生态环境主管部门批准，并采取措施防范建设项目对饮用水水源的污染。</w:t>
      </w:r>
    </w:p>
    <w:p w14:paraId="195FC976">
      <w:pPr>
        <w:bidi w:val="0"/>
        <w:rPr>
          <w:rFonts w:hint="eastAsia"/>
          <w:lang w:val="en-US" w:eastAsia="zh-CN"/>
        </w:rPr>
      </w:pPr>
      <w:r>
        <w:rPr>
          <w:rFonts w:hint="eastAsia"/>
          <w:lang w:val="en-US" w:eastAsia="zh-CN"/>
        </w:rPr>
        <w:t>对因防洪需要在饮用水水源二级保护区和准保护区内进行的筑坝围堤活动，市、县（区）水行政主管部门应当对水源稳定性影响和水源补给措施等进行论证，并根据论证结论施工。</w:t>
      </w:r>
    </w:p>
    <w:p w14:paraId="2F749A65">
      <w:pPr>
        <w:bidi w:val="0"/>
        <w:rPr>
          <w:rFonts w:hint="eastAsia"/>
          <w:lang w:val="en-US" w:eastAsia="zh-CN"/>
        </w:rPr>
      </w:pPr>
      <w:r>
        <w:rPr>
          <w:rFonts w:hint="eastAsia"/>
          <w:lang w:val="en-US" w:eastAsia="zh-CN"/>
        </w:rPr>
        <w:t>交通运输主管部门应当为穿越饮用水水源保护区的主要道路、桥梁等建设防护隔离及应急池、导流槽、防撞墙等事故应急处置设施，设置警示标志，并依法管理。</w:t>
      </w:r>
    </w:p>
    <w:p w14:paraId="59D4789A">
      <w:pPr>
        <w:bidi w:val="0"/>
        <w:rPr>
          <w:rFonts w:hint="eastAsia"/>
          <w:lang w:val="en-US" w:eastAsia="zh-CN"/>
        </w:rPr>
      </w:pPr>
      <w:r>
        <w:rPr>
          <w:rFonts w:hint="eastAsia" w:eastAsia="黑体"/>
          <w:sz w:val="32"/>
          <w:lang w:val="en-US" w:eastAsia="zh-CN"/>
        </w:rPr>
        <w:t>第十六条</w:t>
      </w:r>
      <w:r>
        <w:rPr>
          <w:rFonts w:hint="eastAsia"/>
          <w:lang w:val="en-US" w:eastAsia="zh-CN"/>
        </w:rPr>
        <w:t>　饮用水水源保护区确定后，公安机关应当将饮用水水源保护区划定为运输危险化学品、有毒有害物质的车辆、船舶限制通行的区域，并设置限行标志。</w:t>
      </w:r>
    </w:p>
    <w:p w14:paraId="5E94E87F">
      <w:pPr>
        <w:bidi w:val="0"/>
        <w:rPr>
          <w:rFonts w:hint="eastAsia"/>
          <w:lang w:val="en-US" w:eastAsia="zh-CN"/>
        </w:rPr>
      </w:pPr>
      <w:r>
        <w:rPr>
          <w:rFonts w:hint="eastAsia"/>
          <w:lang w:val="en-US" w:eastAsia="zh-CN"/>
        </w:rPr>
        <w:t>未经公安机关批准，装载危险化学品、有毒有害物质的运输工具不得驶入限行区域；确需驶入的，应当报属地县级公安机关批准，承运单位应当设置防渗、防溢、防漏设施，通行时，审批机关应当派员现场监督引导。</w:t>
      </w:r>
    </w:p>
    <w:p w14:paraId="1A910C0D">
      <w:pPr>
        <w:bidi w:val="0"/>
        <w:rPr>
          <w:rFonts w:hint="eastAsia"/>
          <w:lang w:val="en-US" w:eastAsia="zh-CN"/>
        </w:rPr>
      </w:pPr>
      <w:r>
        <w:rPr>
          <w:rFonts w:hint="eastAsia" w:eastAsia="黑体"/>
          <w:sz w:val="32"/>
          <w:lang w:val="en-US" w:eastAsia="zh-CN"/>
        </w:rPr>
        <w:t>第十七条</w:t>
      </w:r>
      <w:r>
        <w:rPr>
          <w:rFonts w:hint="eastAsia"/>
          <w:lang w:val="en-US" w:eastAsia="zh-CN"/>
        </w:rPr>
        <w:t>　在饮用水水源一级保护区、二级保护区以及准保护区内不得实施《中华人民共和国水污染防治法》等法律、法规规定的禁止性行为。</w:t>
      </w:r>
    </w:p>
    <w:p w14:paraId="7DCDBA33">
      <w:pPr>
        <w:bidi w:val="0"/>
        <w:rPr>
          <w:rFonts w:hint="eastAsia"/>
          <w:lang w:val="en-US" w:eastAsia="zh-CN"/>
        </w:rPr>
      </w:pPr>
      <w:r>
        <w:rPr>
          <w:rFonts w:hint="eastAsia" w:eastAsia="黑体"/>
          <w:sz w:val="32"/>
          <w:lang w:val="en-US" w:eastAsia="zh-CN"/>
        </w:rPr>
        <w:t>第十八条</w:t>
      </w:r>
      <w:r>
        <w:rPr>
          <w:rFonts w:hint="eastAsia"/>
          <w:lang w:val="en-US" w:eastAsia="zh-CN"/>
        </w:rPr>
        <w:t>　市、县（区）人民政府及其林业主管部门应当按照本区域林业发展规划和年度实施计划组织开展人工培育的水源涵养林、护岸林和天然林等生态保护措施的建设，并确定管护单位。</w:t>
      </w:r>
    </w:p>
    <w:p w14:paraId="33B1B9DC">
      <w:pPr>
        <w:bidi w:val="0"/>
        <w:rPr>
          <w:rFonts w:hint="eastAsia"/>
          <w:lang w:val="en-US" w:eastAsia="zh-CN"/>
        </w:rPr>
      </w:pPr>
      <w:r>
        <w:rPr>
          <w:rFonts w:hint="eastAsia" w:eastAsia="黑体"/>
          <w:sz w:val="32"/>
          <w:lang w:val="en-US" w:eastAsia="zh-CN"/>
        </w:rPr>
        <w:t>第十九条</w:t>
      </w:r>
      <w:r>
        <w:rPr>
          <w:rFonts w:hint="eastAsia"/>
          <w:lang w:val="en-US" w:eastAsia="zh-CN"/>
        </w:rPr>
        <w:t>　市、县（区）人民政府应当在饮用水水源保护区、准保护区安装监控设备，并组织生态环境、水行政、住房和城乡建设、卫生健康等部门和供水单位建立巡查机制，全面掌握水源地环境安全情况，及时发现、处置可能影响饮用水水源安全的行为。对一级保护区应当每日巡查一次，对二级保护区应当每月不少于一次巡查，对准保护区应当每季度不少于一次巡查。</w:t>
      </w:r>
    </w:p>
    <w:p w14:paraId="6A3CA20C">
      <w:pPr>
        <w:pStyle w:val="14"/>
        <w:bidi w:val="0"/>
        <w:rPr>
          <w:rFonts w:hint="eastAsia"/>
          <w:lang w:val="en-US" w:eastAsia="zh-CN"/>
        </w:rPr>
      </w:pPr>
    </w:p>
    <w:p w14:paraId="70E1B5C8">
      <w:pPr>
        <w:pStyle w:val="4"/>
        <w:bidi w:val="0"/>
        <w:rPr>
          <w:rFonts w:hint="eastAsia"/>
          <w:lang w:val="en-US" w:eastAsia="zh-CN"/>
        </w:rPr>
      </w:pPr>
      <w:r>
        <w:rPr>
          <w:rFonts w:hint="eastAsia"/>
          <w:lang w:val="en-US" w:eastAsia="zh-CN"/>
        </w:rPr>
        <w:t>第三章　分散式饮用水水源地保护</w:t>
      </w:r>
    </w:p>
    <w:p w14:paraId="13E89FE5">
      <w:pPr>
        <w:pStyle w:val="14"/>
        <w:bidi w:val="0"/>
        <w:rPr>
          <w:rFonts w:hint="eastAsia"/>
          <w:lang w:val="en-US" w:eastAsia="zh-CN"/>
        </w:rPr>
      </w:pPr>
    </w:p>
    <w:p w14:paraId="27599CE6">
      <w:pPr>
        <w:bidi w:val="0"/>
        <w:rPr>
          <w:rFonts w:hint="eastAsia"/>
          <w:lang w:val="en-US" w:eastAsia="zh-CN"/>
        </w:rPr>
      </w:pPr>
      <w:r>
        <w:rPr>
          <w:rFonts w:hint="eastAsia" w:eastAsia="黑体"/>
          <w:sz w:val="32"/>
          <w:lang w:val="en-US" w:eastAsia="zh-CN"/>
        </w:rPr>
        <w:t>第二十条</w:t>
      </w:r>
      <w:r>
        <w:rPr>
          <w:rFonts w:hint="eastAsia"/>
          <w:lang w:val="en-US" w:eastAsia="zh-CN"/>
        </w:rPr>
        <w:t>　分散式饮用水水源地是指供水人口一般在一千人以下的在用、备用和规划饮用水水源地。</w:t>
      </w:r>
    </w:p>
    <w:p w14:paraId="0BCAB5F3">
      <w:pPr>
        <w:bidi w:val="0"/>
        <w:rPr>
          <w:rFonts w:hint="eastAsia"/>
          <w:lang w:val="en-US" w:eastAsia="zh-CN"/>
        </w:rPr>
      </w:pPr>
      <w:r>
        <w:rPr>
          <w:rFonts w:hint="eastAsia"/>
          <w:lang w:val="en-US" w:eastAsia="zh-CN"/>
        </w:rPr>
        <w:t>分散式饮用水水源地包含地表水水源、地下水水源和其他等类型，地表水水源主要包括河流、湖库（坑、塘）、山涧水、集水池等类型，地下水水源主要包括井水、泉水等类型。</w:t>
      </w:r>
    </w:p>
    <w:p w14:paraId="358F9A04">
      <w:pPr>
        <w:bidi w:val="0"/>
        <w:rPr>
          <w:rFonts w:hint="eastAsia"/>
          <w:lang w:val="en-US" w:eastAsia="zh-CN"/>
        </w:rPr>
      </w:pPr>
      <w:r>
        <w:rPr>
          <w:rFonts w:hint="eastAsia" w:eastAsia="黑体"/>
          <w:sz w:val="32"/>
          <w:lang w:val="en-US" w:eastAsia="zh-CN"/>
        </w:rPr>
        <w:t>第二十一条</w:t>
      </w:r>
      <w:r>
        <w:rPr>
          <w:rFonts w:hint="eastAsia"/>
          <w:lang w:val="en-US" w:eastAsia="zh-CN"/>
        </w:rPr>
        <w:t>　分散式饮用水水源地，由乡（镇）人民政府提出意见，县（区）人民政府根据水资源条件和水资源开发利用需求，对符合饮用水标准的申报市人民政府批准，并向社会公布。</w:t>
      </w:r>
    </w:p>
    <w:p w14:paraId="2B56649A">
      <w:pPr>
        <w:bidi w:val="0"/>
        <w:rPr>
          <w:rFonts w:hint="eastAsia"/>
          <w:lang w:val="en-US" w:eastAsia="zh-CN"/>
        </w:rPr>
      </w:pPr>
      <w:r>
        <w:rPr>
          <w:rFonts w:hint="eastAsia"/>
          <w:lang w:val="en-US" w:eastAsia="zh-CN"/>
        </w:rPr>
        <w:t>有条件的地区可以采取城镇供水管网延伸或者建设跨村、跨乡（镇）联片集中供水工程等方式，发展规模集中供水。</w:t>
      </w:r>
    </w:p>
    <w:p w14:paraId="36A11286">
      <w:pPr>
        <w:bidi w:val="0"/>
        <w:rPr>
          <w:rFonts w:hint="eastAsia"/>
          <w:lang w:val="en-US" w:eastAsia="zh-CN"/>
        </w:rPr>
      </w:pPr>
      <w:r>
        <w:rPr>
          <w:rFonts w:hint="eastAsia" w:eastAsia="黑体"/>
          <w:sz w:val="32"/>
          <w:lang w:val="en-US" w:eastAsia="zh-CN"/>
        </w:rPr>
        <w:t>第二十二条</w:t>
      </w:r>
      <w:r>
        <w:rPr>
          <w:rFonts w:hint="eastAsia"/>
          <w:lang w:val="en-US" w:eastAsia="zh-CN"/>
        </w:rPr>
        <w:t>　市、县（区）人民政府在有条件的人口聚集区可以选择与现有分散式饮用水水源地相对独立控制取水的井水、泉水、河流、水库、湖泊等作为分散式饮用水备用水源地，并参照集中式饮用水水源地相关规定办理批准手续。</w:t>
      </w:r>
    </w:p>
    <w:p w14:paraId="31413DAB">
      <w:pPr>
        <w:bidi w:val="0"/>
        <w:rPr>
          <w:rFonts w:hint="eastAsia"/>
          <w:lang w:val="en-US" w:eastAsia="zh-CN"/>
        </w:rPr>
      </w:pPr>
      <w:r>
        <w:rPr>
          <w:rFonts w:hint="eastAsia"/>
          <w:lang w:val="en-US" w:eastAsia="zh-CN"/>
        </w:rPr>
        <w:t>分散式饮用水备用水源地的确定应当充分考虑饮用水质的安全性，水量的充足性和输送水的便捷性。</w:t>
      </w:r>
    </w:p>
    <w:p w14:paraId="172E3173">
      <w:pPr>
        <w:bidi w:val="0"/>
        <w:rPr>
          <w:rFonts w:hint="eastAsia"/>
          <w:lang w:val="en-US" w:eastAsia="zh-CN"/>
        </w:rPr>
      </w:pPr>
      <w:r>
        <w:rPr>
          <w:rFonts w:hint="eastAsia" w:eastAsia="黑体"/>
          <w:sz w:val="32"/>
          <w:lang w:val="en-US" w:eastAsia="zh-CN"/>
        </w:rPr>
        <w:t>第二十三条</w:t>
      </w:r>
      <w:r>
        <w:rPr>
          <w:rFonts w:hint="eastAsia"/>
          <w:lang w:val="en-US" w:eastAsia="zh-CN"/>
        </w:rPr>
        <w:t>　分散式饮用水水源地按照水源类型划定保护范围。</w:t>
      </w:r>
    </w:p>
    <w:p w14:paraId="6CF14B8F">
      <w:pPr>
        <w:bidi w:val="0"/>
        <w:rPr>
          <w:rFonts w:hint="eastAsia"/>
          <w:lang w:val="en-US" w:eastAsia="zh-CN"/>
        </w:rPr>
      </w:pPr>
      <w:r>
        <w:rPr>
          <w:rFonts w:hint="eastAsia"/>
          <w:lang w:val="en-US" w:eastAsia="zh-CN"/>
        </w:rPr>
        <w:t>河流型水源地取水口上游不小于一千米，下游不小于一百米，两岸纵深不小于五十米，但是不超过集雨范围。</w:t>
      </w:r>
    </w:p>
    <w:p w14:paraId="39419BF9">
      <w:pPr>
        <w:bidi w:val="0"/>
        <w:rPr>
          <w:rFonts w:hint="eastAsia"/>
          <w:lang w:val="en-US" w:eastAsia="zh-CN"/>
        </w:rPr>
      </w:pPr>
      <w:r>
        <w:rPr>
          <w:rFonts w:hint="eastAsia"/>
          <w:lang w:val="en-US" w:eastAsia="zh-CN"/>
        </w:rPr>
        <w:t>湖库型水源地取水口半径二百米范围的区域，但是不超过集雨范围。</w:t>
      </w:r>
    </w:p>
    <w:p w14:paraId="1FD312B0">
      <w:pPr>
        <w:bidi w:val="0"/>
        <w:rPr>
          <w:rFonts w:hint="eastAsia"/>
          <w:lang w:val="en-US" w:eastAsia="zh-CN"/>
        </w:rPr>
      </w:pPr>
      <w:r>
        <w:rPr>
          <w:rFonts w:hint="eastAsia"/>
          <w:lang w:val="en-US" w:eastAsia="zh-CN"/>
        </w:rPr>
        <w:t>水窖水源保护集水场地区域。</w:t>
      </w:r>
    </w:p>
    <w:p w14:paraId="00B59B0E">
      <w:pPr>
        <w:bidi w:val="0"/>
        <w:rPr>
          <w:rFonts w:hint="eastAsia"/>
          <w:lang w:val="en-US" w:eastAsia="zh-CN"/>
        </w:rPr>
      </w:pPr>
      <w:r>
        <w:rPr>
          <w:rFonts w:hint="eastAsia"/>
          <w:lang w:val="en-US" w:eastAsia="zh-CN"/>
        </w:rPr>
        <w:t>井水、泉水等水源地取水口周边三十米至五十米范围。</w:t>
      </w:r>
    </w:p>
    <w:p w14:paraId="335D06E2">
      <w:pPr>
        <w:bidi w:val="0"/>
        <w:rPr>
          <w:rFonts w:hint="eastAsia"/>
          <w:lang w:val="en-US" w:eastAsia="zh-CN"/>
        </w:rPr>
      </w:pPr>
      <w:r>
        <w:rPr>
          <w:rFonts w:hint="eastAsia" w:eastAsia="黑体"/>
          <w:sz w:val="32"/>
          <w:lang w:val="en-US" w:eastAsia="zh-CN"/>
        </w:rPr>
        <w:t>第二十四条</w:t>
      </w:r>
      <w:r>
        <w:rPr>
          <w:rFonts w:hint="eastAsia"/>
          <w:lang w:val="en-US" w:eastAsia="zh-CN"/>
        </w:rPr>
        <w:t>　分散式饮用水水源地保护范围内，除遵守法律、法规有关规定外，禁止下列行为：</w:t>
      </w:r>
    </w:p>
    <w:p w14:paraId="120CC083">
      <w:pPr>
        <w:bidi w:val="0"/>
        <w:rPr>
          <w:rFonts w:hint="eastAsia"/>
          <w:lang w:val="en-US" w:eastAsia="zh-CN"/>
        </w:rPr>
      </w:pPr>
      <w:r>
        <w:rPr>
          <w:rFonts w:hint="eastAsia"/>
          <w:lang w:val="en-US" w:eastAsia="zh-CN"/>
        </w:rPr>
        <w:t>（一）修建渗水的厕所、化粪池和渗水坑，利用废弃井排放污水；</w:t>
      </w:r>
    </w:p>
    <w:p w14:paraId="32C81AA0">
      <w:pPr>
        <w:bidi w:val="0"/>
        <w:rPr>
          <w:rFonts w:hint="eastAsia"/>
          <w:lang w:val="en-US" w:eastAsia="zh-CN"/>
        </w:rPr>
      </w:pPr>
      <w:r>
        <w:rPr>
          <w:rFonts w:hint="eastAsia"/>
          <w:lang w:val="en-US" w:eastAsia="zh-CN"/>
        </w:rPr>
        <w:t>（二）设立生活垃圾的收集、转运站；</w:t>
      </w:r>
    </w:p>
    <w:p w14:paraId="2BC1C81C">
      <w:pPr>
        <w:bidi w:val="0"/>
        <w:rPr>
          <w:rFonts w:hint="eastAsia"/>
          <w:lang w:val="en-US" w:eastAsia="zh-CN"/>
        </w:rPr>
      </w:pPr>
      <w:r>
        <w:rPr>
          <w:rFonts w:hint="eastAsia"/>
          <w:lang w:val="en-US" w:eastAsia="zh-CN"/>
        </w:rPr>
        <w:t>（三）堆放医疗垃圾；</w:t>
      </w:r>
    </w:p>
    <w:p w14:paraId="133A87EA">
      <w:pPr>
        <w:bidi w:val="0"/>
        <w:rPr>
          <w:rFonts w:hint="eastAsia"/>
          <w:lang w:val="en-US" w:eastAsia="zh-CN"/>
        </w:rPr>
      </w:pPr>
      <w:r>
        <w:rPr>
          <w:rFonts w:hint="eastAsia"/>
          <w:lang w:val="en-US" w:eastAsia="zh-CN"/>
        </w:rPr>
        <w:t>（四）堆放有毒有害物质和化学物质，设立有毒、有害化学物品仓库、堆栈；</w:t>
      </w:r>
    </w:p>
    <w:p w14:paraId="6AFA632E">
      <w:pPr>
        <w:bidi w:val="0"/>
        <w:rPr>
          <w:rFonts w:hint="eastAsia"/>
          <w:lang w:val="en-US" w:eastAsia="zh-CN"/>
        </w:rPr>
      </w:pPr>
      <w:r>
        <w:rPr>
          <w:rFonts w:hint="eastAsia"/>
          <w:lang w:val="en-US" w:eastAsia="zh-CN"/>
        </w:rPr>
        <w:t>（五）施用高毒、高残留农药，随意丢弃和处置农药包装物及清洗器械；</w:t>
      </w:r>
    </w:p>
    <w:p w14:paraId="7EEAFB7B">
      <w:pPr>
        <w:bidi w:val="0"/>
        <w:rPr>
          <w:rFonts w:hint="eastAsia"/>
          <w:lang w:val="en-US" w:eastAsia="zh-CN"/>
        </w:rPr>
      </w:pPr>
      <w:r>
        <w:rPr>
          <w:rFonts w:hint="eastAsia"/>
          <w:lang w:val="en-US" w:eastAsia="zh-CN"/>
        </w:rPr>
        <w:t>（六）建设规模化畜禽养殖场、养殖小区；</w:t>
      </w:r>
    </w:p>
    <w:p w14:paraId="14C47140">
      <w:pPr>
        <w:bidi w:val="0"/>
        <w:rPr>
          <w:rFonts w:hint="eastAsia"/>
          <w:lang w:val="en-US" w:eastAsia="zh-CN"/>
        </w:rPr>
      </w:pPr>
      <w:r>
        <w:rPr>
          <w:rFonts w:hint="eastAsia"/>
          <w:lang w:val="en-US" w:eastAsia="zh-CN"/>
        </w:rPr>
        <w:t>（七）新建、改建、扩建排放污染物的建设项目；</w:t>
      </w:r>
    </w:p>
    <w:p w14:paraId="5A5E1B94">
      <w:pPr>
        <w:bidi w:val="0"/>
        <w:rPr>
          <w:rFonts w:hint="eastAsia"/>
          <w:lang w:val="en-US" w:eastAsia="zh-CN"/>
        </w:rPr>
      </w:pPr>
      <w:r>
        <w:rPr>
          <w:rFonts w:hint="eastAsia"/>
          <w:lang w:val="en-US" w:eastAsia="zh-CN"/>
        </w:rPr>
        <w:t>（八）其他可能污染饮用水水体的活动。</w:t>
      </w:r>
    </w:p>
    <w:p w14:paraId="1A72FF93">
      <w:pPr>
        <w:bidi w:val="0"/>
        <w:rPr>
          <w:rFonts w:hint="eastAsia"/>
          <w:lang w:val="en-US" w:eastAsia="zh-CN"/>
        </w:rPr>
      </w:pPr>
      <w:r>
        <w:rPr>
          <w:rFonts w:hint="eastAsia" w:eastAsia="黑体"/>
          <w:sz w:val="32"/>
          <w:lang w:val="en-US" w:eastAsia="zh-CN"/>
        </w:rPr>
        <w:t>第二十五条</w:t>
      </w:r>
      <w:r>
        <w:rPr>
          <w:rFonts w:hint="eastAsia"/>
          <w:lang w:val="en-US" w:eastAsia="zh-CN"/>
        </w:rPr>
        <w:t>　分散式饮用水水源地保护范围参照集中式饮用水水源保护区设立隔离设施、警示标志等。</w:t>
      </w:r>
    </w:p>
    <w:p w14:paraId="1D77F0C3">
      <w:pPr>
        <w:bidi w:val="0"/>
        <w:rPr>
          <w:rFonts w:hint="eastAsia"/>
          <w:lang w:val="en-US" w:eastAsia="zh-CN"/>
        </w:rPr>
      </w:pPr>
      <w:r>
        <w:rPr>
          <w:rFonts w:hint="eastAsia"/>
          <w:lang w:val="en-US" w:eastAsia="zh-CN"/>
        </w:rPr>
        <w:t>河流取水口周围一百米及上游五百米处，湖库周围五百米处应当设立隔离防护设施或者标志。</w:t>
      </w:r>
    </w:p>
    <w:p w14:paraId="0794EFCD">
      <w:pPr>
        <w:bidi w:val="0"/>
        <w:rPr>
          <w:rFonts w:hint="eastAsia"/>
          <w:lang w:val="en-US" w:eastAsia="zh-CN"/>
        </w:rPr>
      </w:pPr>
      <w:r>
        <w:rPr>
          <w:rFonts w:hint="eastAsia"/>
          <w:lang w:val="en-US" w:eastAsia="zh-CN"/>
        </w:rPr>
        <w:t>联村、联片或者单村取水井水周围一百米处应当设立隔离防护设施或者标志；泉水周围一百米及上游五百米处应当修建栅栏等隔离防护设施，泉水旁设简易导流沟。</w:t>
      </w:r>
    </w:p>
    <w:p w14:paraId="0C09D127">
      <w:pPr>
        <w:bidi w:val="0"/>
        <w:rPr>
          <w:rFonts w:hint="eastAsia"/>
          <w:lang w:val="en-US" w:eastAsia="zh-CN"/>
        </w:rPr>
      </w:pPr>
      <w:r>
        <w:rPr>
          <w:rFonts w:hint="eastAsia" w:eastAsia="黑体"/>
          <w:sz w:val="32"/>
          <w:lang w:val="en-US" w:eastAsia="zh-CN"/>
        </w:rPr>
        <w:t>第二十六条</w:t>
      </w:r>
      <w:r>
        <w:rPr>
          <w:rFonts w:hint="eastAsia"/>
          <w:lang w:val="en-US" w:eastAsia="zh-CN"/>
        </w:rPr>
        <w:t>　县（区）、乡（镇）人民政府、街道办事处应当指导村（居）民委员会、村（居）民结合当地实际情况，建立健全分散式饮用水水源地环境管理机制。村（居）民委员会应当依法协助做好本辖区内饮用水水源地保护工作，在村规民约中规定村（居）民保护饮用水水源地的义务，制定经营、管理制度。</w:t>
      </w:r>
    </w:p>
    <w:p w14:paraId="7865BDAD">
      <w:pPr>
        <w:bidi w:val="0"/>
        <w:rPr>
          <w:rFonts w:hint="eastAsia"/>
          <w:lang w:val="en-US" w:eastAsia="zh-CN"/>
        </w:rPr>
      </w:pPr>
      <w:r>
        <w:rPr>
          <w:rFonts w:hint="eastAsia"/>
          <w:lang w:val="en-US" w:eastAsia="zh-CN"/>
        </w:rPr>
        <w:t>联村供水的经营单位应当设立专人负责水源地保护工作；单村、联户、单户取水的村应当安排专人负责水源地保护工作。</w:t>
      </w:r>
    </w:p>
    <w:p w14:paraId="6CF946E5">
      <w:pPr>
        <w:bidi w:val="0"/>
        <w:rPr>
          <w:rFonts w:hint="eastAsia"/>
          <w:lang w:val="en-US" w:eastAsia="zh-CN"/>
        </w:rPr>
      </w:pPr>
      <w:r>
        <w:rPr>
          <w:rFonts w:hint="eastAsia" w:eastAsia="黑体"/>
          <w:sz w:val="32"/>
          <w:lang w:val="en-US" w:eastAsia="zh-CN"/>
        </w:rPr>
        <w:t>第二十七条</w:t>
      </w:r>
      <w:r>
        <w:rPr>
          <w:rFonts w:hint="eastAsia"/>
          <w:lang w:val="en-US" w:eastAsia="zh-CN"/>
        </w:rPr>
        <w:t>　市、县（区）人民政府应当至少每五年组织开展一次分散式饮用水水源地基础环境调查，排查影响分散式饮用水水源地环境风险源，对水源保护范围内污染状况进行综合评估，建立分散式饮用水水源地动态数据库。对于因受污染达不到饮用水水源水质要求，经论证难以恢复饮用水功能的水源地，应当按照相关规定进行撤销和调整，并向社会公布。</w:t>
      </w:r>
    </w:p>
    <w:p w14:paraId="5FF22551">
      <w:pPr>
        <w:pStyle w:val="14"/>
        <w:bidi w:val="0"/>
        <w:rPr>
          <w:rFonts w:hint="eastAsia"/>
          <w:lang w:val="en-US" w:eastAsia="zh-CN"/>
        </w:rPr>
      </w:pPr>
    </w:p>
    <w:p w14:paraId="5D86422B">
      <w:pPr>
        <w:pStyle w:val="4"/>
        <w:bidi w:val="0"/>
        <w:rPr>
          <w:rFonts w:hint="eastAsia"/>
          <w:lang w:val="en-US" w:eastAsia="zh-CN"/>
        </w:rPr>
      </w:pPr>
      <w:r>
        <w:rPr>
          <w:rFonts w:hint="eastAsia"/>
          <w:lang w:val="en-US" w:eastAsia="zh-CN"/>
        </w:rPr>
        <w:t>第四章　监督管理</w:t>
      </w:r>
    </w:p>
    <w:p w14:paraId="63E07B9E">
      <w:pPr>
        <w:pStyle w:val="14"/>
        <w:bidi w:val="0"/>
        <w:rPr>
          <w:rFonts w:hint="eastAsia"/>
          <w:lang w:val="en-US" w:eastAsia="zh-CN"/>
        </w:rPr>
      </w:pPr>
    </w:p>
    <w:p w14:paraId="7FC38664">
      <w:pPr>
        <w:bidi w:val="0"/>
        <w:rPr>
          <w:rFonts w:hint="eastAsia"/>
          <w:lang w:val="en-US" w:eastAsia="zh-CN"/>
        </w:rPr>
      </w:pPr>
      <w:r>
        <w:rPr>
          <w:rFonts w:hint="eastAsia" w:eastAsia="黑体"/>
          <w:sz w:val="32"/>
          <w:lang w:val="en-US" w:eastAsia="zh-CN"/>
        </w:rPr>
        <w:t>第二十八条</w:t>
      </w:r>
      <w:r>
        <w:rPr>
          <w:rFonts w:hint="eastAsia"/>
          <w:lang w:val="en-US" w:eastAsia="zh-CN"/>
        </w:rPr>
        <w:t>　市、县（区）人民政府应当建立由政府负责人召集、生态环境主管部门承担日常工作的饮用水水源地保护工作联席会议制度，协调解决重大问题，开展联合监测、联合执法、应急联动、信息通报等工作。</w:t>
      </w:r>
    </w:p>
    <w:p w14:paraId="18C06626">
      <w:pPr>
        <w:bidi w:val="0"/>
        <w:rPr>
          <w:rFonts w:hint="eastAsia"/>
          <w:lang w:val="en-US" w:eastAsia="zh-CN"/>
        </w:rPr>
      </w:pPr>
      <w:r>
        <w:rPr>
          <w:rFonts w:hint="eastAsia" w:eastAsia="黑体"/>
          <w:sz w:val="32"/>
          <w:lang w:val="en-US" w:eastAsia="zh-CN"/>
        </w:rPr>
        <w:t>第二十九条</w:t>
      </w:r>
      <w:r>
        <w:rPr>
          <w:rFonts w:hint="eastAsia"/>
          <w:lang w:val="en-US" w:eastAsia="zh-CN"/>
        </w:rPr>
        <w:t>　市、县（区）人民政府应当建立饮用水水质监测、信息共享及联动预警机制。</w:t>
      </w:r>
    </w:p>
    <w:p w14:paraId="593C01AF">
      <w:pPr>
        <w:bidi w:val="0"/>
        <w:rPr>
          <w:rFonts w:hint="eastAsia"/>
          <w:lang w:val="en-US" w:eastAsia="zh-CN"/>
        </w:rPr>
      </w:pPr>
      <w:r>
        <w:rPr>
          <w:rFonts w:hint="eastAsia"/>
          <w:lang w:val="en-US" w:eastAsia="zh-CN"/>
        </w:rPr>
        <w:t>生态环境主管部门应当对饮用水水源地环境质量进行实时监测，至少每季度向社会公布一次饮用水水源地水质监测信息。</w:t>
      </w:r>
    </w:p>
    <w:p w14:paraId="52171DCD">
      <w:pPr>
        <w:bidi w:val="0"/>
        <w:rPr>
          <w:rFonts w:hint="eastAsia"/>
          <w:lang w:val="en-US" w:eastAsia="zh-CN"/>
        </w:rPr>
      </w:pPr>
      <w:r>
        <w:rPr>
          <w:rFonts w:hint="eastAsia"/>
          <w:lang w:val="en-US" w:eastAsia="zh-CN"/>
        </w:rPr>
        <w:t>水行政主管部门应当加强对饮用水水源地水资源的动态监测，依法公布相关基本水文资料；加强对农村供水工程出水水质的监测。</w:t>
      </w:r>
    </w:p>
    <w:p w14:paraId="56BF8F46">
      <w:pPr>
        <w:bidi w:val="0"/>
        <w:rPr>
          <w:rFonts w:hint="eastAsia"/>
          <w:lang w:val="en-US" w:eastAsia="zh-CN"/>
        </w:rPr>
      </w:pPr>
      <w:r>
        <w:rPr>
          <w:rFonts w:hint="eastAsia"/>
          <w:lang w:val="en-US" w:eastAsia="zh-CN"/>
        </w:rPr>
        <w:t>住房和城乡建设、水行政主管部门应当按照职责分工监督城市和农村饮用水供水单位对出水水质进行实时监测，至少每季度向社会公布一次饮用水出水水质监测信息。</w:t>
      </w:r>
    </w:p>
    <w:p w14:paraId="44809CC0">
      <w:pPr>
        <w:bidi w:val="0"/>
        <w:rPr>
          <w:rFonts w:hint="eastAsia"/>
          <w:lang w:val="en-US" w:eastAsia="zh-CN"/>
        </w:rPr>
      </w:pPr>
      <w:r>
        <w:rPr>
          <w:rFonts w:hint="eastAsia"/>
          <w:lang w:val="en-US" w:eastAsia="zh-CN"/>
        </w:rPr>
        <w:t>卫生健康主管部门应当加强对用户水龙头出水水质的监测，至少每季度向社会公布一次用户水龙头出水水质监测信息。</w:t>
      </w:r>
    </w:p>
    <w:p w14:paraId="43434E3E">
      <w:pPr>
        <w:bidi w:val="0"/>
        <w:rPr>
          <w:rFonts w:hint="eastAsia"/>
          <w:lang w:val="en-US" w:eastAsia="zh-CN"/>
        </w:rPr>
      </w:pPr>
      <w:r>
        <w:rPr>
          <w:rFonts w:hint="eastAsia" w:eastAsia="黑体"/>
          <w:sz w:val="32"/>
          <w:lang w:val="en-US" w:eastAsia="zh-CN"/>
        </w:rPr>
        <w:t>第三十条</w:t>
      </w:r>
      <w:r>
        <w:rPr>
          <w:rFonts w:hint="eastAsia"/>
          <w:lang w:val="en-US" w:eastAsia="zh-CN"/>
        </w:rPr>
        <w:t>　县（区）人民政府应当协商做好跨行政区域之间饮用水水源地的保护工作，协商不成的，由上级人民政府进行协调。</w:t>
      </w:r>
    </w:p>
    <w:p w14:paraId="54957BDC">
      <w:pPr>
        <w:bidi w:val="0"/>
        <w:rPr>
          <w:rFonts w:hint="eastAsia"/>
          <w:lang w:val="en-US" w:eastAsia="zh-CN"/>
        </w:rPr>
      </w:pPr>
      <w:r>
        <w:rPr>
          <w:rFonts w:hint="eastAsia"/>
          <w:lang w:val="en-US" w:eastAsia="zh-CN"/>
        </w:rPr>
        <w:t>市生态环境主管部门应当加强对跨行政区域饮用水水源的水质监测，建立重点流域跨界断面饮用水水质监测保护机制。</w:t>
      </w:r>
    </w:p>
    <w:p w14:paraId="136C042A">
      <w:pPr>
        <w:bidi w:val="0"/>
        <w:rPr>
          <w:rFonts w:hint="eastAsia"/>
          <w:lang w:val="en-US" w:eastAsia="zh-CN"/>
        </w:rPr>
      </w:pPr>
      <w:r>
        <w:rPr>
          <w:rFonts w:hint="eastAsia" w:eastAsia="黑体"/>
          <w:sz w:val="32"/>
          <w:lang w:val="en-US" w:eastAsia="zh-CN"/>
        </w:rPr>
        <w:t>第三十一条</w:t>
      </w:r>
      <w:r>
        <w:rPr>
          <w:rFonts w:hint="eastAsia"/>
          <w:lang w:val="en-US" w:eastAsia="zh-CN"/>
        </w:rPr>
        <w:t>　各级人民政府应当对饮用水水源地保护范围内农业、工业等污染进行有效防治。</w:t>
      </w:r>
    </w:p>
    <w:p w14:paraId="62984D24">
      <w:pPr>
        <w:bidi w:val="0"/>
        <w:rPr>
          <w:rFonts w:hint="eastAsia"/>
          <w:lang w:val="en-US" w:eastAsia="zh-CN"/>
        </w:rPr>
      </w:pPr>
      <w:r>
        <w:rPr>
          <w:rFonts w:hint="eastAsia"/>
          <w:lang w:val="en-US" w:eastAsia="zh-CN"/>
        </w:rPr>
        <w:t>市、县（区）农业农村主管部门应当采取有效措施，指导饮用水水源地范围内农业生产者科学、合理施用化肥和农药，推广测土配方施肥和农作物病虫害综合防治技术，降低农业面源污染。</w:t>
      </w:r>
    </w:p>
    <w:p w14:paraId="03ED735E">
      <w:pPr>
        <w:bidi w:val="0"/>
        <w:rPr>
          <w:rFonts w:hint="eastAsia"/>
          <w:lang w:val="en-US" w:eastAsia="zh-CN"/>
        </w:rPr>
      </w:pPr>
      <w:r>
        <w:rPr>
          <w:rFonts w:hint="eastAsia"/>
          <w:lang w:val="en-US" w:eastAsia="zh-CN"/>
        </w:rPr>
        <w:t>乡（镇）人民政府、街道办事处可以根据饮用水水源地保护工作需要向县（区）人民政府申请增设公益性岗位，确定专人对饮用水水源地开展日常巡查管护，清理整治水源地附近环境，发现问题及时处理或者上报生态环境主管部门处理。</w:t>
      </w:r>
    </w:p>
    <w:p w14:paraId="1F49EDDC">
      <w:pPr>
        <w:bidi w:val="0"/>
        <w:rPr>
          <w:rFonts w:hint="eastAsia"/>
          <w:lang w:val="en-US" w:eastAsia="zh-CN"/>
        </w:rPr>
      </w:pPr>
      <w:r>
        <w:rPr>
          <w:rFonts w:hint="eastAsia"/>
          <w:lang w:val="en-US" w:eastAsia="zh-CN"/>
        </w:rPr>
        <w:t>村（居）民委员会、村（居）民协助做好相关饮用水水源地污染防治工作。</w:t>
      </w:r>
    </w:p>
    <w:p w14:paraId="2041F658">
      <w:pPr>
        <w:bidi w:val="0"/>
        <w:rPr>
          <w:rFonts w:hint="eastAsia"/>
          <w:lang w:val="en-US" w:eastAsia="zh-CN"/>
        </w:rPr>
      </w:pPr>
      <w:r>
        <w:rPr>
          <w:rFonts w:hint="eastAsia" w:eastAsia="黑体"/>
          <w:sz w:val="32"/>
          <w:lang w:val="en-US" w:eastAsia="zh-CN"/>
        </w:rPr>
        <w:t>第三十二条</w:t>
      </w:r>
      <w:r>
        <w:rPr>
          <w:rFonts w:hint="eastAsia"/>
          <w:lang w:val="en-US" w:eastAsia="zh-CN"/>
        </w:rPr>
        <w:t>　市、县（区）人民政府应当按照饮用水安全保障规划，组织建设污水、固体废物集中处理设施。</w:t>
      </w:r>
    </w:p>
    <w:p w14:paraId="7C43797C">
      <w:pPr>
        <w:bidi w:val="0"/>
        <w:rPr>
          <w:rFonts w:hint="eastAsia"/>
          <w:lang w:val="en-US" w:eastAsia="zh-CN"/>
        </w:rPr>
      </w:pPr>
      <w:r>
        <w:rPr>
          <w:rFonts w:hint="eastAsia"/>
          <w:lang w:val="en-US" w:eastAsia="zh-CN"/>
        </w:rPr>
        <w:t>县（区）人民政府应当对农村生活垃圾集中收集并运到饮用水水源保护区外进行无害化处置。对农村生活污水具备集中收集条件的，应当接入城镇污水集中处理系统；不具备集中收集条件的，应当因地制宜建设模块化或者小型收集处理设施，按照规定进行处理处置。</w:t>
      </w:r>
    </w:p>
    <w:p w14:paraId="301FCF6B">
      <w:pPr>
        <w:bidi w:val="0"/>
        <w:rPr>
          <w:rFonts w:hint="eastAsia"/>
          <w:lang w:val="en-US" w:eastAsia="zh-CN"/>
        </w:rPr>
      </w:pPr>
      <w:r>
        <w:rPr>
          <w:rFonts w:hint="eastAsia" w:eastAsia="黑体"/>
          <w:sz w:val="32"/>
          <w:lang w:val="en-US" w:eastAsia="zh-CN"/>
        </w:rPr>
        <w:t>第三十三条</w:t>
      </w:r>
      <w:r>
        <w:rPr>
          <w:rFonts w:hint="eastAsia"/>
          <w:lang w:val="en-US" w:eastAsia="zh-CN"/>
        </w:rPr>
        <w:t>　饮用水水源发生水污染事故，或者发生其他可能影响饮用水安全的突发性事件，饮用水供水单位应当立即采取应急处理措施，向所在地市、县（区）人民政府报告，并依法向社会公开。所在地市、县（区）人民政府应当根据情况立即启动应急预案，采取控制或者切断污染源等有效措施，组织有关部门做好应急供水准备。</w:t>
      </w:r>
    </w:p>
    <w:p w14:paraId="5773DF22">
      <w:pPr>
        <w:bidi w:val="0"/>
        <w:rPr>
          <w:rFonts w:hint="eastAsia"/>
          <w:lang w:val="en-US" w:eastAsia="zh-CN"/>
        </w:rPr>
      </w:pPr>
      <w:r>
        <w:rPr>
          <w:rFonts w:hint="eastAsia"/>
          <w:lang w:val="en-US" w:eastAsia="zh-CN"/>
        </w:rPr>
        <w:t>饮用水水源污染事故跨县（区）以上行政区域的，应当及时将有关情况通报可能受污染事故影响地区的人民政府，并报告共同的上一级人民政府。</w:t>
      </w:r>
    </w:p>
    <w:p w14:paraId="61E5D8B6">
      <w:pPr>
        <w:bidi w:val="0"/>
        <w:rPr>
          <w:rFonts w:hint="eastAsia"/>
          <w:lang w:val="en-US" w:eastAsia="zh-CN"/>
        </w:rPr>
      </w:pPr>
      <w:r>
        <w:rPr>
          <w:rFonts w:hint="eastAsia"/>
          <w:lang w:val="en-US" w:eastAsia="zh-CN"/>
        </w:rPr>
        <w:t>饮用水水源污染事故及其应急处置工作的信息发布，由所在地人民政府依照法律、法规的规定执行。</w:t>
      </w:r>
    </w:p>
    <w:p w14:paraId="05091FC6">
      <w:pPr>
        <w:bidi w:val="0"/>
        <w:rPr>
          <w:rFonts w:hint="eastAsia"/>
          <w:lang w:val="en-US" w:eastAsia="zh-CN"/>
        </w:rPr>
      </w:pPr>
      <w:r>
        <w:rPr>
          <w:rFonts w:hint="eastAsia" w:eastAsia="黑体"/>
          <w:sz w:val="32"/>
          <w:lang w:val="en-US" w:eastAsia="zh-CN"/>
        </w:rPr>
        <w:t>第三十四条</w:t>
      </w:r>
      <w:r>
        <w:rPr>
          <w:rFonts w:hint="eastAsia"/>
          <w:lang w:val="en-US" w:eastAsia="zh-CN"/>
        </w:rPr>
        <w:t>　饮用水供水单位应当做好取水口和出水口的水质检测工作。饮用水供水单位发现取水口水质不符合饮用水水源环境质量标准或者出水口水质不符合饮用水卫生标准，供水设施不能安全可靠运行的，应当及时采取相应措施，并向所在地市、县（区）人民政府供水主管部门报告。供水主管部门接到报告后，应当通报生态环境、卫生健康、水行政等部门。饮用水供水单位应当对供水水质负责，确保供水设施安全可靠运行，保证供水水质符合国家有关标准。</w:t>
      </w:r>
    </w:p>
    <w:p w14:paraId="275C8A0D">
      <w:pPr>
        <w:bidi w:val="0"/>
        <w:rPr>
          <w:rFonts w:hint="eastAsia"/>
          <w:lang w:val="en-US" w:eastAsia="zh-CN"/>
        </w:rPr>
      </w:pPr>
      <w:r>
        <w:rPr>
          <w:rFonts w:hint="eastAsia" w:eastAsia="黑体"/>
          <w:sz w:val="32"/>
          <w:lang w:val="en-US" w:eastAsia="zh-CN"/>
        </w:rPr>
        <w:t>第三十五条</w:t>
      </w:r>
      <w:r>
        <w:rPr>
          <w:rFonts w:hint="eastAsia"/>
          <w:lang w:val="en-US" w:eastAsia="zh-CN"/>
        </w:rPr>
        <w:t>　对饮用水水源地内不能确定责任人的污染源，先由所在地县（区）人民政府组织有关部门和单位予以治理，由此产生的费用由确定后的污染责任人承担。</w:t>
      </w:r>
    </w:p>
    <w:p w14:paraId="56855640">
      <w:pPr>
        <w:bidi w:val="0"/>
        <w:rPr>
          <w:rFonts w:hint="eastAsia"/>
          <w:lang w:val="en-US" w:eastAsia="zh-CN"/>
        </w:rPr>
      </w:pPr>
      <w:r>
        <w:rPr>
          <w:rFonts w:hint="eastAsia" w:eastAsia="黑体"/>
          <w:sz w:val="32"/>
          <w:lang w:val="en-US" w:eastAsia="zh-CN"/>
        </w:rPr>
        <w:t>第三十六条</w:t>
      </w:r>
      <w:r>
        <w:rPr>
          <w:rFonts w:hint="eastAsia"/>
          <w:lang w:val="en-US" w:eastAsia="zh-CN"/>
        </w:rPr>
        <w:t>　市、县（区）实行饮用水水源地水环境保护目标责任制和考核评价制度，将目标完成情况作为对本级人民政府有关部门和下一级人民政府及其负责人考核的内容。</w:t>
      </w:r>
    </w:p>
    <w:p w14:paraId="43FD2086">
      <w:pPr>
        <w:pStyle w:val="14"/>
        <w:bidi w:val="0"/>
        <w:rPr>
          <w:rFonts w:hint="eastAsia"/>
          <w:lang w:val="en-US" w:eastAsia="zh-CN"/>
        </w:rPr>
      </w:pPr>
    </w:p>
    <w:p w14:paraId="5E586C79">
      <w:pPr>
        <w:pStyle w:val="4"/>
        <w:bidi w:val="0"/>
        <w:rPr>
          <w:rFonts w:hint="eastAsia"/>
          <w:lang w:val="en-US" w:eastAsia="zh-CN"/>
        </w:rPr>
      </w:pPr>
      <w:r>
        <w:rPr>
          <w:rFonts w:hint="eastAsia"/>
          <w:lang w:val="en-US" w:eastAsia="zh-CN"/>
        </w:rPr>
        <w:t>第五章　法律责任</w:t>
      </w:r>
    </w:p>
    <w:p w14:paraId="461A0EE0">
      <w:pPr>
        <w:pStyle w:val="14"/>
        <w:bidi w:val="0"/>
        <w:rPr>
          <w:rFonts w:hint="eastAsia"/>
          <w:lang w:val="en-US" w:eastAsia="zh-CN"/>
        </w:rPr>
      </w:pPr>
    </w:p>
    <w:p w14:paraId="03C775F0">
      <w:pPr>
        <w:bidi w:val="0"/>
        <w:rPr>
          <w:rFonts w:hint="eastAsia"/>
          <w:lang w:val="en-US" w:eastAsia="zh-CN"/>
        </w:rPr>
      </w:pPr>
      <w:r>
        <w:rPr>
          <w:rFonts w:hint="eastAsia" w:eastAsia="黑体"/>
          <w:sz w:val="32"/>
          <w:lang w:val="en-US" w:eastAsia="zh-CN"/>
        </w:rPr>
        <w:t>第三十七条</w:t>
      </w:r>
      <w:r>
        <w:rPr>
          <w:rFonts w:hint="eastAsia"/>
          <w:lang w:val="en-US" w:eastAsia="zh-CN"/>
        </w:rPr>
        <w:t>　违反本条例规定的行为，法律、法规已有处罚规定的，依照其规定执行。</w:t>
      </w:r>
    </w:p>
    <w:p w14:paraId="56141F7F">
      <w:pPr>
        <w:bidi w:val="0"/>
        <w:rPr>
          <w:rFonts w:hint="eastAsia"/>
          <w:lang w:val="en-US" w:eastAsia="zh-CN"/>
        </w:rPr>
      </w:pPr>
      <w:r>
        <w:rPr>
          <w:rFonts w:hint="eastAsia" w:eastAsia="黑体"/>
          <w:sz w:val="32"/>
          <w:lang w:val="en-US" w:eastAsia="zh-CN"/>
        </w:rPr>
        <w:t>第三十八条</w:t>
      </w:r>
      <w:r>
        <w:rPr>
          <w:rFonts w:hint="eastAsia"/>
          <w:lang w:val="en-US" w:eastAsia="zh-CN"/>
        </w:rPr>
        <w:t>　违反本条例第二十四条规定的，按照下列规定处罚：</w:t>
      </w:r>
    </w:p>
    <w:p w14:paraId="4E6EAFC4">
      <w:pPr>
        <w:bidi w:val="0"/>
        <w:rPr>
          <w:rFonts w:hint="eastAsia"/>
          <w:lang w:val="en-US" w:eastAsia="zh-CN"/>
        </w:rPr>
      </w:pPr>
      <w:r>
        <w:rPr>
          <w:rFonts w:hint="eastAsia"/>
          <w:lang w:val="en-US" w:eastAsia="zh-CN"/>
        </w:rPr>
        <w:t>（一）违反第一、第二、第六、第八项规定，在分散式饮用水水源地保护范围内修建渗水的厕所、化粪池和渗水坑，利用废弃井排放污水，设立生活垃圾的收集、转运站，建设规模化畜禽养殖场、养殖小区，或者其他可能污染饮用水水体的活动的，由生态环境主管部门责令改正，处五百元以上五千元以下的罚款；</w:t>
      </w:r>
    </w:p>
    <w:p w14:paraId="0E855F4D">
      <w:pPr>
        <w:bidi w:val="0"/>
        <w:rPr>
          <w:rFonts w:hint="eastAsia"/>
          <w:lang w:val="en-US" w:eastAsia="zh-CN"/>
        </w:rPr>
      </w:pPr>
      <w:r>
        <w:rPr>
          <w:rFonts w:hint="eastAsia"/>
          <w:lang w:val="en-US" w:eastAsia="zh-CN"/>
        </w:rPr>
        <w:t>（二）违反第三、第四项规定，在分散式饮用水水源地保护范围内堆放医疗垃圾或者堆放有毒有害物质和化学物质，设立有毒、有害化学物品仓库、堆栈的，由生态环境主管部门责令改正，处所需处置费用三倍以上五倍以下的罚款，所需处置费用不足二十万元的，按照二十万元计算；没收违法所得；情节严重的，报经有批准权的人民政府批准，可以责令停业或者关闭；</w:t>
      </w:r>
    </w:p>
    <w:p w14:paraId="6CD08FEC">
      <w:pPr>
        <w:bidi w:val="0"/>
        <w:rPr>
          <w:rFonts w:hint="eastAsia"/>
          <w:lang w:val="en-US" w:eastAsia="zh-CN"/>
        </w:rPr>
      </w:pPr>
      <w:r>
        <w:rPr>
          <w:rFonts w:hint="eastAsia"/>
          <w:lang w:val="en-US" w:eastAsia="zh-CN"/>
        </w:rPr>
        <w:t>（三）违反第五项规定，在分散式饮用水水源地保护范围内施用高毒、高残留农药，随意丢弃和处置农药包装物及清洗器械的，由农业农村主管部门责令改正，对单位处一万元以上十万元以下的罚款，对个人处五百元以上五千元以下的罚款；</w:t>
      </w:r>
    </w:p>
    <w:p w14:paraId="4D5B12D2">
      <w:pPr>
        <w:bidi w:val="0"/>
        <w:rPr>
          <w:rFonts w:hint="eastAsia"/>
          <w:lang w:val="en-US" w:eastAsia="zh-CN"/>
        </w:rPr>
      </w:pPr>
      <w:r>
        <w:rPr>
          <w:rFonts w:hint="eastAsia"/>
          <w:lang w:val="en-US" w:eastAsia="zh-CN"/>
        </w:rPr>
        <w:t>（四）违反第七项规定，在分散式饮用水水源地保护范围内新建、改建、扩建排放污染物的建设项目的，由生态环境主管部门责令改正，对单位处一万元以上十万元以下的罚款，对个人处五百元以上五千元以下的罚款。</w:t>
      </w:r>
    </w:p>
    <w:p w14:paraId="30678B9F">
      <w:pPr>
        <w:bidi w:val="0"/>
        <w:rPr>
          <w:rFonts w:hint="eastAsia"/>
          <w:lang w:val="en-US" w:eastAsia="zh-CN"/>
        </w:rPr>
      </w:pPr>
      <w:r>
        <w:rPr>
          <w:rFonts w:hint="eastAsia" w:eastAsia="黑体"/>
          <w:sz w:val="32"/>
          <w:lang w:val="en-US" w:eastAsia="zh-CN"/>
        </w:rPr>
        <w:t>第三十九条</w:t>
      </w:r>
      <w:r>
        <w:rPr>
          <w:rFonts w:hint="eastAsia"/>
          <w:lang w:val="en-US" w:eastAsia="zh-CN"/>
        </w:rPr>
        <w:t>　国家机关工作人员在饮用水水源地保护和管理工作中滥用职权、玩忽职守、徇私舞弊的，依法给予处分；构成犯罪的，依法追究刑事责任。</w:t>
      </w:r>
    </w:p>
    <w:p w14:paraId="1CB4F411">
      <w:pPr>
        <w:pStyle w:val="14"/>
        <w:bidi w:val="0"/>
        <w:rPr>
          <w:rFonts w:hint="eastAsia"/>
          <w:lang w:val="en-US" w:eastAsia="zh-CN"/>
        </w:rPr>
      </w:pPr>
    </w:p>
    <w:p w14:paraId="34F07DFC">
      <w:pPr>
        <w:pStyle w:val="4"/>
        <w:bidi w:val="0"/>
        <w:rPr>
          <w:rFonts w:hint="eastAsia"/>
          <w:lang w:val="en-US" w:eastAsia="zh-CN"/>
        </w:rPr>
      </w:pPr>
      <w:r>
        <w:rPr>
          <w:rFonts w:hint="eastAsia"/>
          <w:lang w:val="en-US" w:eastAsia="zh-CN"/>
        </w:rPr>
        <w:t>第六章　附　　则</w:t>
      </w:r>
    </w:p>
    <w:p w14:paraId="57FDCE14">
      <w:pPr>
        <w:pStyle w:val="14"/>
        <w:bidi w:val="0"/>
        <w:rPr>
          <w:rFonts w:hint="eastAsia"/>
          <w:lang w:val="en-US" w:eastAsia="zh-CN"/>
        </w:rPr>
      </w:pPr>
    </w:p>
    <w:p w14:paraId="2C294A5C">
      <w:pPr>
        <w:bidi w:val="0"/>
        <w:rPr>
          <w:rFonts w:hint="eastAsia"/>
          <w:lang w:val="en-US" w:eastAsia="zh-CN"/>
        </w:rPr>
      </w:pPr>
      <w:r>
        <w:rPr>
          <w:rFonts w:hint="eastAsia" w:eastAsia="黑体"/>
          <w:sz w:val="32"/>
          <w:lang w:val="en-US" w:eastAsia="zh-CN"/>
        </w:rPr>
        <w:t>第四十条</w:t>
      </w:r>
      <w:r>
        <w:rPr>
          <w:rFonts w:hint="eastAsia"/>
          <w:lang w:val="en-US" w:eastAsia="zh-CN"/>
        </w:rPr>
        <w:t>　本条例自2024年8月1日起施行。</w:t>
      </w:r>
    </w:p>
    <w:sectPr>
      <w:footerReference r:id="rId5" w:type="default"/>
      <w:footerReference r:id="rId6" w:type="even"/>
      <w:pgSz w:w="11906" w:h="16838"/>
      <w:pgMar w:top="2098" w:right="1474" w:bottom="1985" w:left="1588" w:header="851" w:footer="1474" w:gutter="0"/>
      <w:lnNumType w:countBy="0"/>
      <w:pgNumType w:fmt="decimal"/>
      <w:cols w:space="720" w:num="1"/>
      <w:docGrid w:type="linesAndChars" w:linePitch="579" w:charSpace="-8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632"/>
      </w:pPr>
      <w:r>
        <w:separator/>
      </w:r>
    </w:p>
  </w:endnote>
  <w:endnote w:type="continuationSeparator" w:id="1">
    <w:p>
      <w:pPr>
        <w:ind w:firstLine="63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57D3068">
    <w:pPr>
      <w:tabs>
        <w:tab w:val="center" w:pos="4153"/>
        <w:tab w:val="right" w:pos="8306"/>
      </w:tabs>
      <w:wordWrap w:val="0"/>
      <w:jc w:val="right"/>
      <w:rPr>
        <w:rFonts w:eastAsia="宋体"/>
      </w:rPr>
    </w:pPr>
    <w:r>
      <w:rPr>
        <w:sz w:val="32"/>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2029852">
                          <w:pPr>
                            <w:tabs>
                              <w:tab w:val="center" w:pos="4153"/>
                              <w:tab w:val="right" w:pos="8306"/>
                            </w:tabs>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14:paraId="62029852">
                    <w:pPr>
                      <w:tabs>
                        <w:tab w:val="center" w:pos="4153"/>
                        <w:tab w:val="right" w:pos="8306"/>
                      </w:tabs>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0546946">
    <w:pPr>
      <w:tabs>
        <w:tab w:val="center" w:pos="4153"/>
        <w:tab w:val="right" w:pos="8306"/>
      </w:tabs>
      <w:jc w:val="left"/>
      <w:rPr>
        <w:rFonts w:ascii="宋体" w:hAnsi="宋体" w:eastAsia="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C566CAF">
                          <w:pPr>
                            <w:tabs>
                              <w:tab w:val="center" w:pos="4153"/>
                              <w:tab w:val="right" w:pos="8306"/>
                            </w:tabs>
                            <w:ind w:left="0" w:leftChars="0" w:firstLine="0" w:firstLineChars="0"/>
                            <w:jc w:val="left"/>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14:paraId="2C566CAF">
                    <w:pPr>
                      <w:tabs>
                        <w:tab w:val="center" w:pos="4153"/>
                        <w:tab w:val="right" w:pos="8306"/>
                      </w:tabs>
                      <w:ind w:left="0" w:leftChars="0" w:firstLine="0" w:firstLineChars="0"/>
                      <w:jc w:val="left"/>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632"/>
      </w:pPr>
      <w:r>
        <w:separator/>
      </w:r>
    </w:p>
  </w:footnote>
  <w:footnote w:type="continuationSeparator" w:id="1">
    <w:p>
      <w:pPr>
        <w:ind w:firstLine="632"/>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attachedTemplate r:id="rId1"/>
  <w:trackRevisions w:val="1"/>
  <w:documentProtection w:enforcement="0"/>
  <w:defaultTabStop w:val="420"/>
  <w:hyphenationZone w:val="360"/>
  <w:evenAndOddHeaders w:val="1"/>
  <w:drawingGridHorizontalSpacing w:val="158"/>
  <w:drawingGridVerticalSpacing w:val="579"/>
  <w:displayHorizontalDrawingGridEvery w:val="0"/>
  <w:displayVerticalDrawingGridEvery w:val="1"/>
  <w:characterSpacingControl w:val="compressPunctuation"/>
  <w:noLineBreaksAfter w:lang="zh-CN" w:val="$([{£¥·‘“〈《「『【〔〖〝﹙﹛﹝＄（．［｛￡￥"/>
  <w:noLineBreaksBefore w:lang="zh-CN" w:val="!%),.:;&gt;?]}¢¨°·ˇˉ―‖’”…‰′″›℃∶、。〃〉》」』】〕〗〞︶︺︾﹀﹄﹚﹜﹞！＂％＇），．：；？］｀｜｝～￠"/>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mUyMDJiYWIyOWJkZDIxMmZjMTI1NjJiOTNiNzNiZjEifQ=="/>
  </w:docVars>
  <w:rsids>
    <w:rsidRoot w:val="080D40AD"/>
    <w:rsid w:val="00005CBA"/>
    <w:rsid w:val="00024AB2"/>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0398A"/>
    <w:rsid w:val="00F352BC"/>
    <w:rsid w:val="00F3612D"/>
    <w:rsid w:val="00F4604E"/>
    <w:rsid w:val="00F53731"/>
    <w:rsid w:val="00F72984"/>
    <w:rsid w:val="00F72CA9"/>
    <w:rsid w:val="00F7674E"/>
    <w:rsid w:val="00F97604"/>
    <w:rsid w:val="00FA7EE2"/>
    <w:rsid w:val="00FD0030"/>
    <w:rsid w:val="01B8473A"/>
    <w:rsid w:val="03AC38D7"/>
    <w:rsid w:val="050E300A"/>
    <w:rsid w:val="05500244"/>
    <w:rsid w:val="05EE09DC"/>
    <w:rsid w:val="065A0E1D"/>
    <w:rsid w:val="068E3768"/>
    <w:rsid w:val="071947CE"/>
    <w:rsid w:val="080D40AD"/>
    <w:rsid w:val="0AFB0486"/>
    <w:rsid w:val="0BA37602"/>
    <w:rsid w:val="0CFB142B"/>
    <w:rsid w:val="0D9804AC"/>
    <w:rsid w:val="0E3C1CFB"/>
    <w:rsid w:val="0EFF2906"/>
    <w:rsid w:val="11E4354D"/>
    <w:rsid w:val="125C6E10"/>
    <w:rsid w:val="14515052"/>
    <w:rsid w:val="14E76398"/>
    <w:rsid w:val="151350A2"/>
    <w:rsid w:val="16DC7373"/>
    <w:rsid w:val="17E51656"/>
    <w:rsid w:val="183C74C7"/>
    <w:rsid w:val="1B8F60DE"/>
    <w:rsid w:val="1D291CFB"/>
    <w:rsid w:val="1D4F618B"/>
    <w:rsid w:val="205E01F7"/>
    <w:rsid w:val="21AA3D09"/>
    <w:rsid w:val="21D74D73"/>
    <w:rsid w:val="220A23E4"/>
    <w:rsid w:val="234806C1"/>
    <w:rsid w:val="25973F8F"/>
    <w:rsid w:val="26EE0409"/>
    <w:rsid w:val="27C34B9E"/>
    <w:rsid w:val="29484637"/>
    <w:rsid w:val="2A2102CB"/>
    <w:rsid w:val="2B3B078B"/>
    <w:rsid w:val="2C1077C7"/>
    <w:rsid w:val="2DF31F7F"/>
    <w:rsid w:val="2E681AF4"/>
    <w:rsid w:val="344634A2"/>
    <w:rsid w:val="351F3659"/>
    <w:rsid w:val="3591582E"/>
    <w:rsid w:val="35A26038"/>
    <w:rsid w:val="36DA0180"/>
    <w:rsid w:val="37441DBD"/>
    <w:rsid w:val="378116AE"/>
    <w:rsid w:val="385B52F0"/>
    <w:rsid w:val="38C72FA6"/>
    <w:rsid w:val="3B9A7E9A"/>
    <w:rsid w:val="3DE63740"/>
    <w:rsid w:val="3FEA0D08"/>
    <w:rsid w:val="40302BBE"/>
    <w:rsid w:val="42B2200A"/>
    <w:rsid w:val="42F57D79"/>
    <w:rsid w:val="4499567F"/>
    <w:rsid w:val="44C164DB"/>
    <w:rsid w:val="47C979DB"/>
    <w:rsid w:val="481351D2"/>
    <w:rsid w:val="4860600B"/>
    <w:rsid w:val="50EB007B"/>
    <w:rsid w:val="53543565"/>
    <w:rsid w:val="546D287C"/>
    <w:rsid w:val="557D644E"/>
    <w:rsid w:val="558A062C"/>
    <w:rsid w:val="56345682"/>
    <w:rsid w:val="58C3686E"/>
    <w:rsid w:val="59F36CDF"/>
    <w:rsid w:val="5B9F227D"/>
    <w:rsid w:val="5FD73625"/>
    <w:rsid w:val="61D729C7"/>
    <w:rsid w:val="622F12CF"/>
    <w:rsid w:val="62F51D1A"/>
    <w:rsid w:val="64596ABE"/>
    <w:rsid w:val="653E08AD"/>
    <w:rsid w:val="6B7D6667"/>
    <w:rsid w:val="6D176D30"/>
    <w:rsid w:val="6D695DCB"/>
    <w:rsid w:val="6DA51CA6"/>
    <w:rsid w:val="6DCD5C94"/>
    <w:rsid w:val="70822713"/>
    <w:rsid w:val="70A95AA7"/>
    <w:rsid w:val="71B9247E"/>
    <w:rsid w:val="74905ACD"/>
    <w:rsid w:val="74933140"/>
    <w:rsid w:val="79681B1A"/>
    <w:rsid w:val="7A805F15"/>
    <w:rsid w:val="7A861051"/>
    <w:rsid w:val="7C3A702B"/>
    <w:rsid w:val="7C4A4A2C"/>
    <w:rsid w:val="7CE40CE5"/>
    <w:rsid w:val="7D4C0330"/>
    <w:rsid w:val="7EDC56E4"/>
    <w:rsid w:val="7EF639AA"/>
    <w:rsid w:val="7F341F96"/>
    <w:rsid w:val="7F47D4F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632" w:firstLineChars="20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qFormat/>
    <w:uiPriority w:val="9"/>
    <w:pPr>
      <w:keepNext/>
      <w:keepLines/>
      <w:numPr>
        <w:ilvl w:val="0"/>
        <w:numId w:val="0"/>
      </w:numPr>
      <w:spacing w:beforeLines="0" w:beforeAutospacing="0" w:afterLines="0" w:afterAutospacing="0" w:line="240" w:lineRule="auto"/>
      <w:ind w:left="0" w:firstLine="0"/>
      <w:jc w:val="center"/>
      <w:outlineLvl w:val="0"/>
    </w:pPr>
    <w:rPr>
      <w:rFonts w:eastAsia="宋体"/>
      <w:kern w:val="44"/>
      <w:sz w:val="44"/>
    </w:rPr>
  </w:style>
  <w:style w:type="paragraph" w:styleId="3">
    <w:name w:val="heading 2"/>
    <w:basedOn w:val="1"/>
    <w:next w:val="1"/>
    <w:unhideWhenUsed/>
    <w:qFormat/>
    <w:uiPriority w:val="9"/>
    <w:pPr>
      <w:keepNext/>
      <w:keepLines/>
      <w:spacing w:beforeLines="0" w:beforeAutospacing="0" w:afterLines="0" w:afterAutospacing="0" w:line="240" w:lineRule="auto"/>
      <w:jc w:val="center"/>
      <w:outlineLvl w:val="1"/>
    </w:pPr>
    <w:rPr>
      <w:rFonts w:ascii="Arial" w:hAnsi="Arial" w:eastAsia="黑体"/>
    </w:rPr>
  </w:style>
  <w:style w:type="paragraph" w:styleId="4">
    <w:name w:val="heading 3"/>
    <w:basedOn w:val="1"/>
    <w:next w:val="1"/>
    <w:unhideWhenUsed/>
    <w:qFormat/>
    <w:uiPriority w:val="9"/>
    <w:pPr>
      <w:keepNext/>
      <w:keepLines/>
      <w:spacing w:line="240" w:lineRule="auto"/>
      <w:ind w:firstLine="0" w:firstLineChars="0"/>
      <w:jc w:val="center"/>
      <w:outlineLvl w:val="2"/>
    </w:pPr>
    <w:rPr>
      <w:rFonts w:ascii="Times New Roman" w:hAnsi="Times New Roman" w:eastAsia="黑体"/>
      <w:bCs/>
      <w:szCs w:val="32"/>
    </w:rPr>
  </w:style>
  <w:style w:type="paragraph" w:styleId="5">
    <w:name w:val="heading 4"/>
    <w:basedOn w:val="1"/>
    <w:next w:val="1"/>
    <w:unhideWhenUsed/>
    <w:qFormat/>
    <w:uiPriority w:val="9"/>
    <w:pPr>
      <w:keepNext/>
      <w:keepLines/>
      <w:spacing w:line="240" w:lineRule="auto"/>
      <w:jc w:val="center"/>
      <w:outlineLvl w:val="3"/>
    </w:pPr>
    <w:rPr>
      <w:rFonts w:ascii="Cambria" w:hAnsi="Cambria" w:eastAsia="宋体" w:cs="Times New Roman"/>
      <w:bCs/>
      <w:sz w:val="32"/>
      <w:szCs w:val="28"/>
    </w:rPr>
  </w:style>
  <w:style w:type="character" w:default="1" w:styleId="10">
    <w:name w:val="Default Paragraph Font"/>
    <w:unhideWhenUsed/>
    <w:qFormat/>
    <w:uiPriority w:val="1"/>
  </w:style>
  <w:style w:type="table" w:default="1" w:styleId="9">
    <w:name w:val="Normal Table"/>
    <w:unhideWhenUsed/>
    <w:qFormat/>
    <w:uiPriority w:val="99"/>
    <w:tblPr>
      <w:tblCellMar>
        <w:top w:w="0" w:type="dxa"/>
        <w:left w:w="108" w:type="dxa"/>
        <w:bottom w:w="0" w:type="dxa"/>
        <w:right w:w="108" w:type="dxa"/>
      </w:tblCellMar>
    </w:tbl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itle"/>
    <w:basedOn w:val="1"/>
    <w:qFormat/>
    <w:uiPriority w:val="10"/>
    <w:pPr>
      <w:spacing w:before="240" w:beforeLines="0" w:beforeAutospacing="0" w:after="60" w:afterLines="0" w:afterAutospacing="0"/>
      <w:jc w:val="center"/>
      <w:outlineLvl w:val="0"/>
    </w:pPr>
    <w:rPr>
      <w:rFonts w:ascii="Arial" w:hAnsi="Arial"/>
      <w:b/>
      <w:sz w:val="32"/>
    </w:rPr>
  </w:style>
  <w:style w:type="paragraph" w:customStyle="1" w:styleId="11">
    <w:name w:val="ab-法规题注"/>
    <w:basedOn w:val="1"/>
    <w:qFormat/>
    <w:uiPriority w:val="0"/>
    <w:pPr>
      <w:ind w:left="632" w:leftChars="200" w:right="632" w:rightChars="200"/>
    </w:pPr>
    <w:rPr>
      <w:rFonts w:eastAsia="楷体_GB2312"/>
    </w:rPr>
  </w:style>
  <w:style w:type="paragraph" w:customStyle="1" w:styleId="12">
    <w:name w:val="ac-法规目录标题"/>
    <w:basedOn w:val="1"/>
    <w:qFormat/>
    <w:uiPriority w:val="0"/>
    <w:pPr>
      <w:ind w:left="632" w:leftChars="200" w:right="632" w:rightChars="200"/>
      <w:jc w:val="center"/>
    </w:pPr>
    <w:rPr>
      <w:rFonts w:ascii="楷体_GB2312" w:hAnsi="楷体_GB2312" w:eastAsia="楷体_GB2312"/>
    </w:rPr>
  </w:style>
  <w:style w:type="paragraph" w:customStyle="1" w:styleId="13">
    <w:name w:val="ad-法规目录列表章"/>
    <w:basedOn w:val="1"/>
    <w:qFormat/>
    <w:uiPriority w:val="0"/>
    <w:pPr>
      <w:ind w:left="1896" w:leftChars="200" w:right="632" w:rightChars="200" w:hanging="1264" w:hangingChars="400"/>
      <w:jc w:val="left"/>
    </w:pPr>
    <w:rPr>
      <w:rFonts w:ascii="楷体_GB2312" w:hAnsi="楷体_GB2312" w:eastAsia="楷体_GB2312"/>
    </w:rPr>
  </w:style>
  <w:style w:type="paragraph" w:customStyle="1" w:styleId="14">
    <w:name w:val="af-法规空行"/>
    <w:basedOn w:val="1"/>
    <w:next w:val="1"/>
    <w:qFormat/>
    <w:uiPriority w:val="0"/>
    <w:pPr>
      <w:ind w:firstLine="0" w:firstLineChars="0"/>
    </w:pPr>
    <w:rPr>
      <w:rFonts w:hint="eastAsia" w:ascii="Times New Roman" w:hAnsi="Times New Roman" w:eastAsia="宋体"/>
    </w:rPr>
  </w:style>
  <w:style w:type="paragraph" w:customStyle="1" w:styleId="15">
    <w:name w:val="ae-法规目录列表节"/>
    <w:basedOn w:val="1"/>
    <w:qFormat/>
    <w:uiPriority w:val="0"/>
    <w:pPr>
      <w:ind w:left="2528" w:leftChars="400" w:right="1264" w:rightChars="400" w:hanging="1264" w:hangingChars="400"/>
      <w:jc w:val="left"/>
    </w:pPr>
    <w:rPr>
      <w:rFonts w:ascii="楷体_GB2312" w:hAnsi="楷体_GB2312" w:eastAsia="楷体_GB231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25968;&#23383;&#37096;2020-2022\&#20854;&#20182;&#24037;&#20316;\2024&#30003;&#35831;&#27861;&#35268;&#24211;&#39033;&#30446;\&#27169;&#26495;\&#27861;&#35268;&#25991;&#26412;&#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法规文本模板.wpt</Template>
  <Pages>14</Pages>
  <Words>6501</Words>
  <Characters>6512</Characters>
  <Lines>0</Lines>
  <Paragraphs>0</Paragraphs>
  <TotalTime>50</TotalTime>
  <ScaleCrop>false</ScaleCrop>
  <LinksUpToDate>false</LinksUpToDate>
  <CharactersWithSpaces>6575</CharactersWithSpaces>
  <Application>WPS Office_12.1.0.17827_F1E327BC-269C-435d-A152-05C5408002CA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2024-08-01T00:27:00Z</dcterms:created>
  <dc:creator>马儿</dc:creator>
  <cp:lastModifiedBy>作者</cp:lastModifiedBy>
  <dcterms:modified xsi:type="dcterms:W3CDTF">2024-09-10T11:04:13Z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44DD642BC5464C3BABC102EF53B42C53_13</vt:lpwstr>
  </property>
  <property fmtid="{D5CDD505-2E9C-101B-9397-08002B2CF9AE}" pid="3" name="KSOProductBuildVer">
    <vt:lpwstr>2052-12.1.0.17827</vt:lpwstr>
  </property>
</Properties>
</file>