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color w:val="000000"/>
          <w:spacing w:val="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color w:val="000000"/>
          <w:spacing w:val="0"/>
          <w:kern w:val="0"/>
          <w:sz w:val="44"/>
          <w:szCs w:val="44"/>
        </w:rPr>
      </w:pPr>
      <w:r>
        <w:rPr>
          <w:rFonts w:hint="eastAsia" w:ascii="宋体" w:hAnsi="宋体" w:eastAsia="宋体" w:cs="宋体"/>
          <w:b w:val="0"/>
          <w:bCs/>
          <w:color w:val="000000"/>
          <w:spacing w:val="0"/>
          <w:kern w:val="0"/>
          <w:sz w:val="44"/>
          <w:szCs w:val="44"/>
        </w:rPr>
        <w:t>随州市人民代表大会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color w:val="000000"/>
          <w:spacing w:val="0"/>
          <w:kern w:val="0"/>
          <w:sz w:val="44"/>
          <w:szCs w:val="44"/>
        </w:rPr>
      </w:pPr>
      <w:r>
        <w:rPr>
          <w:rFonts w:hint="eastAsia" w:ascii="宋体" w:hAnsi="宋体" w:eastAsia="宋体" w:cs="宋体"/>
          <w:b w:val="0"/>
          <w:bCs/>
          <w:color w:val="000000"/>
          <w:spacing w:val="0"/>
          <w:kern w:val="0"/>
          <w:sz w:val="44"/>
          <w:szCs w:val="44"/>
        </w:rPr>
        <w:t>及其常务委员会立法条例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（2016年1月20日随州市第三届人民代表大会第六次会议通过</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2016年3月30日湖北省第十二届人民代表大会常务委员会第二十一次会议批准）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目</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第一章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第二章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第一节　立法规划和立法计划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第二节　法规草案的起草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第三章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第一节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第二节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第四章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法规解释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第五章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第六章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color w:val="000000"/>
          <w:spacing w:val="0"/>
          <w:kern w:val="0"/>
          <w:sz w:val="32"/>
          <w:szCs w:val="32"/>
        </w:rPr>
      </w:pPr>
      <w:r>
        <w:rPr>
          <w:rFonts w:hint="eastAsia" w:ascii="黑体" w:hAnsi="黑体" w:eastAsia="黑体" w:cs="黑体"/>
          <w:b w:val="0"/>
          <w:bCs/>
          <w:color w:val="000000"/>
          <w:spacing w:val="0"/>
          <w:kern w:val="0"/>
          <w:sz w:val="32"/>
          <w:szCs w:val="32"/>
        </w:rPr>
        <w:t>第一章</w:t>
      </w:r>
      <w:r>
        <w:rPr>
          <w:rFonts w:hint="eastAsia" w:ascii="黑体" w:hAnsi="黑体" w:eastAsia="黑体" w:cs="黑体"/>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第一条</w:t>
      </w: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为了规范市人民代表大会及其常务委员会立法活动，完善立法程序，提高立法质量，发挥立法的引领和推动作用，全面推进法治随州建设，根据宪法、地方组织法、立法法和我省立法条例的有关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第二条</w:t>
      </w: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市人民代表大会及其常务委员会制定、修改、废止和解释地方性法规以及相关立法活动，适用本条例。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市人民代表大会及其常务委员会根据本市的具体情况和实际需要，在不同宪法、法律、行政法规和我省地方性法规相抵触的前提下，对城乡建设与管理、环境保护、历史文化保护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制定地方性法规，遵循立法法和我省立法条例规定的基本原则。对上位法已经明确规定的内容，一般不作重复性规定。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规定本市特别重大事项的地方性法规，应当由市人民代表大会制定，其他地方性法规由市人民代表大会常务委员会（以下简称常务委员会）制定。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第五条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市人民代表大会及其常务委员会应当加强对立法工作的组织协调，发挥在立法工作中的主导作用。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color w:val="000000"/>
          <w:spacing w:val="0"/>
          <w:kern w:val="0"/>
          <w:sz w:val="32"/>
          <w:szCs w:val="32"/>
        </w:rPr>
      </w:pPr>
      <w:r>
        <w:rPr>
          <w:rFonts w:hint="eastAsia" w:ascii="黑体" w:hAnsi="黑体" w:eastAsia="黑体" w:cs="黑体"/>
          <w:b w:val="0"/>
          <w:bCs/>
          <w:color w:val="000000"/>
          <w:spacing w:val="0"/>
          <w:kern w:val="0"/>
          <w:sz w:val="32"/>
          <w:szCs w:val="32"/>
        </w:rPr>
        <w:t>第二章</w:t>
      </w:r>
      <w:r>
        <w:rPr>
          <w:rFonts w:hint="eastAsia" w:ascii="黑体" w:hAnsi="黑体" w:eastAsia="黑体" w:cs="黑体"/>
          <w:b w:val="0"/>
          <w:bCs/>
          <w:color w:val="000000"/>
          <w:spacing w:val="0"/>
          <w:kern w:val="0"/>
          <w:sz w:val="32"/>
          <w:szCs w:val="32"/>
          <w:lang w:eastAsia="zh-CN"/>
        </w:rPr>
        <w:t>　</w:t>
      </w:r>
      <w:r>
        <w:rPr>
          <w:rFonts w:hint="eastAsia" w:ascii="黑体" w:hAnsi="黑体" w:eastAsia="黑体" w:cs="黑体"/>
          <w:b w:val="0"/>
          <w:bCs/>
          <w:color w:val="000000"/>
          <w:spacing w:val="0"/>
          <w:kern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color w:val="000000"/>
          <w:spacing w:val="0"/>
          <w:kern w:val="0"/>
          <w:sz w:val="32"/>
          <w:szCs w:val="32"/>
        </w:rPr>
      </w:pPr>
      <w:r>
        <w:rPr>
          <w:rFonts w:hint="eastAsia" w:ascii="宋体" w:hAnsi="宋体" w:eastAsia="宋体" w:cs="宋体"/>
          <w:b w:val="0"/>
          <w:bCs/>
          <w:color w:val="000000"/>
          <w:spacing w:val="0"/>
          <w:kern w:val="0"/>
          <w:sz w:val="32"/>
          <w:szCs w:val="32"/>
        </w:rPr>
        <w:t>第一节</w:t>
      </w:r>
      <w:r>
        <w:rPr>
          <w:rFonts w:hint="eastAsia" w:ascii="黑体" w:hAnsi="黑体" w:eastAsia="黑体" w:cs="黑体"/>
          <w:b w:val="0"/>
          <w:bCs/>
          <w:color w:val="000000"/>
          <w:spacing w:val="0"/>
          <w:kern w:val="0"/>
          <w:sz w:val="32"/>
          <w:szCs w:val="32"/>
        </w:rPr>
        <w:t>　</w:t>
      </w:r>
      <w:r>
        <w:rPr>
          <w:rFonts w:hint="eastAsia" w:ascii="宋体" w:hAnsi="宋体" w:eastAsia="宋体" w:cs="宋体"/>
          <w:b w:val="0"/>
          <w:bCs/>
          <w:color w:val="000000"/>
          <w:spacing w:val="0"/>
          <w:kern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第六条</w:t>
      </w:r>
      <w:r>
        <w:rPr>
          <w:rFonts w:hint="eastAsia" w:ascii="宋体" w:hAnsi="宋体" w:cs="宋体"/>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常务委员会应当编制年度立法计划，根据需要编制本届任期内的立法规划。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第七条</w:t>
      </w:r>
      <w:r>
        <w:rPr>
          <w:rFonts w:hint="eastAsia" w:ascii="宋体" w:hAnsi="宋体" w:cs="宋体"/>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常务委员会编制立法规划和立法计划，应当分别征求市人民政府及其有关部门、市中级人民法院、市人民检察院以及有关人民团体、社会组织的立法建议,并向社会公开征集立法建议。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国家机关、政党、团体、组织以及公民可以向常务委员会提出制定地方性法规的建议和意见。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立法建议应当采用书面形式，并附有立法依据和主要内容等。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第八条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常务委员会法制工作委员会（以下简称法制工作委员会）根据人民代表大会专门委员会（以下简称专门委员会）、市人民政府法制工作机构以及有关方面的立法建议，统一研究、协调论证，提出立法规划草案和立法计划草案，提请常务委员会主任会议审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第九条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专门委员会、市人民政府及其有关部门、有关人民团体、社会组织应当认真组织实施立法规划和立法计划。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立法规划和立法计划在执行过程中需要作适当调整的，由法制工作委员会根据专门委员会和有关方面的建议，提出方案，报主任会议审定。法规案未能按时提请审议的，提案人应当向主任会议报告并说明情况。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color w:val="000000"/>
          <w:spacing w:val="0"/>
          <w:kern w:val="0"/>
          <w:sz w:val="32"/>
          <w:szCs w:val="32"/>
        </w:rPr>
      </w:pPr>
      <w:r>
        <w:rPr>
          <w:rFonts w:hint="eastAsia" w:ascii="宋体" w:hAnsi="宋体" w:eastAsia="宋体" w:cs="宋体"/>
          <w:b w:val="0"/>
          <w:bCs/>
          <w:color w:val="000000"/>
          <w:spacing w:val="0"/>
          <w:kern w:val="0"/>
          <w:sz w:val="32"/>
          <w:szCs w:val="32"/>
        </w:rPr>
        <w:t>第二节</w:t>
      </w:r>
      <w:r>
        <w:rPr>
          <w:rFonts w:hint="eastAsia" w:ascii="黑体" w:hAnsi="黑体" w:eastAsia="黑体" w:cs="黑体"/>
          <w:b w:val="0"/>
          <w:bCs/>
          <w:color w:val="000000"/>
          <w:spacing w:val="0"/>
          <w:kern w:val="0"/>
          <w:sz w:val="32"/>
          <w:szCs w:val="32"/>
        </w:rPr>
        <w:t>　</w:t>
      </w:r>
      <w:r>
        <w:rPr>
          <w:rFonts w:hint="eastAsia" w:ascii="宋体" w:hAnsi="宋体" w:eastAsia="宋体" w:cs="宋体"/>
          <w:b w:val="0"/>
          <w:bCs/>
          <w:color w:val="000000"/>
          <w:spacing w:val="0"/>
          <w:kern w:val="0"/>
          <w:sz w:val="32"/>
          <w:szCs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第十条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向市人民代表大会或者常务委员会提出法规案，由提案人组织起草法规草案。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有关专门委员会、法制工作委员会以及有关方面应当提前参与法规草案起草工作，了解情况，提出意见。综合性、全局性、基础性的重要法规草案，可以由有关专门委员会或者法制工作委员会组织起草。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第十一条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起草法规草案，应当深入调查研究，广泛征求相关方面意见。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法规草案的起草单位应当主动向有关专门委员会和法制工作委员会报告起草工作情况。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hanging="1"/>
        <w:jc w:val="center"/>
        <w:textAlignment w:val="auto"/>
        <w:outlineLvl w:val="9"/>
        <w:rPr>
          <w:rFonts w:hint="eastAsia" w:ascii="黑体" w:hAnsi="黑体" w:eastAsia="黑体" w:cs="黑体"/>
          <w:b w:val="0"/>
          <w:bCs/>
          <w:color w:val="000000"/>
          <w:spacing w:val="0"/>
          <w:kern w:val="0"/>
          <w:sz w:val="32"/>
          <w:szCs w:val="32"/>
        </w:rPr>
      </w:pPr>
      <w:r>
        <w:rPr>
          <w:rFonts w:hint="eastAsia" w:ascii="黑体" w:hAnsi="黑体" w:eastAsia="黑体" w:cs="黑体"/>
          <w:b w:val="0"/>
          <w:bCs/>
          <w:color w:val="000000"/>
          <w:spacing w:val="0"/>
          <w:kern w:val="0"/>
          <w:sz w:val="32"/>
          <w:szCs w:val="32"/>
        </w:rPr>
        <w:t>第三章</w:t>
      </w:r>
      <w:r>
        <w:rPr>
          <w:rFonts w:hint="eastAsia" w:ascii="黑体" w:hAnsi="黑体" w:eastAsia="黑体" w:cs="黑体"/>
          <w:b w:val="0"/>
          <w:bCs/>
          <w:color w:val="000000"/>
          <w:spacing w:val="0"/>
          <w:kern w:val="0"/>
          <w:sz w:val="32"/>
          <w:szCs w:val="32"/>
          <w:lang w:eastAsia="zh-CN"/>
        </w:rPr>
        <w:t>　</w:t>
      </w:r>
      <w:r>
        <w:rPr>
          <w:rFonts w:hint="eastAsia" w:ascii="黑体" w:hAnsi="黑体" w:eastAsia="黑体" w:cs="黑体"/>
          <w:b w:val="0"/>
          <w:bCs/>
          <w:color w:val="000000"/>
          <w:spacing w:val="0"/>
          <w:kern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hanging="1"/>
        <w:jc w:val="both"/>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hanging="1"/>
        <w:jc w:val="center"/>
        <w:textAlignment w:val="auto"/>
        <w:outlineLvl w:val="9"/>
        <w:rPr>
          <w:rFonts w:hint="eastAsia" w:ascii="宋体" w:hAnsi="宋体" w:eastAsia="宋体" w:cs="宋体"/>
          <w:b w:val="0"/>
          <w:bCs/>
          <w:color w:val="000000"/>
          <w:spacing w:val="0"/>
          <w:kern w:val="0"/>
          <w:sz w:val="32"/>
          <w:szCs w:val="32"/>
        </w:rPr>
      </w:pPr>
      <w:r>
        <w:rPr>
          <w:rFonts w:hint="eastAsia" w:ascii="宋体" w:hAnsi="宋体" w:eastAsia="宋体" w:cs="宋体"/>
          <w:b w:val="0"/>
          <w:bCs/>
          <w:color w:val="000000"/>
          <w:spacing w:val="0"/>
          <w:kern w:val="0"/>
          <w:sz w:val="32"/>
          <w:szCs w:val="32"/>
        </w:rPr>
        <w:t>第一节</w:t>
      </w:r>
      <w:r>
        <w:rPr>
          <w:rFonts w:hint="eastAsia" w:ascii="黑体" w:hAnsi="黑体" w:eastAsia="黑体" w:cs="黑体"/>
          <w:b w:val="0"/>
          <w:bCs/>
          <w:color w:val="000000"/>
          <w:spacing w:val="0"/>
          <w:kern w:val="0"/>
          <w:sz w:val="32"/>
          <w:szCs w:val="32"/>
        </w:rPr>
        <w:t>　</w:t>
      </w:r>
      <w:r>
        <w:rPr>
          <w:rFonts w:hint="eastAsia" w:ascii="宋体" w:hAnsi="宋体" w:eastAsia="宋体" w:cs="宋体"/>
          <w:b w:val="0"/>
          <w:bCs/>
          <w:color w:val="000000"/>
          <w:spacing w:val="0"/>
          <w:kern w:val="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第十二条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常务委员会、市人民政府、专门委员会可以向市人民代表大会提出法规案，由主席团决定列入会议议程，或者先交有关专门委员会审议、提出报告，再由主席团决定列入会议议程。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第十三条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第十四条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第十五条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各代表团审议法规案时，根据代表团的要求，有关机关、团体或者组织应当派人介绍情况。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第十六条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第十七条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列入市人民代表大会会议议程的法规案，必要时，主席团常务主席可以召开各代表团团长或者代表团推选的代表的会议，就法规案中的重大问题听取意见，进行讨论，并将讨论的情况和意见向主席团报告。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第十八条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第十九条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第二十条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第二十一条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市人民代表大会通过的地方性法规，应当自通过之日起十五日内，由常务委员会报请省人民代表大会常务委员会批准；经批准后，由常务委员会发布公告予以公布。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color w:val="000000"/>
          <w:spacing w:val="0"/>
          <w:kern w:val="0"/>
          <w:sz w:val="32"/>
          <w:szCs w:val="32"/>
        </w:rPr>
      </w:pPr>
      <w:r>
        <w:rPr>
          <w:rFonts w:hint="eastAsia" w:ascii="宋体" w:hAnsi="宋体" w:eastAsia="宋体" w:cs="宋体"/>
          <w:b w:val="0"/>
          <w:bCs/>
          <w:color w:val="000000"/>
          <w:spacing w:val="0"/>
          <w:kern w:val="0"/>
          <w:sz w:val="32"/>
          <w:szCs w:val="32"/>
        </w:rPr>
        <w:t>第二节</w:t>
      </w:r>
      <w:r>
        <w:rPr>
          <w:rFonts w:hint="eastAsia" w:ascii="黑体" w:hAnsi="黑体" w:eastAsia="黑体" w:cs="黑体"/>
          <w:b w:val="0"/>
          <w:bCs/>
          <w:color w:val="000000"/>
          <w:spacing w:val="0"/>
          <w:kern w:val="0"/>
          <w:sz w:val="32"/>
          <w:szCs w:val="32"/>
        </w:rPr>
        <w:t>　</w:t>
      </w:r>
      <w:r>
        <w:rPr>
          <w:rFonts w:hint="eastAsia" w:ascii="宋体" w:hAnsi="宋体" w:eastAsia="宋体" w:cs="宋体"/>
          <w:b w:val="0"/>
          <w:bCs/>
          <w:color w:val="000000"/>
          <w:spacing w:val="0"/>
          <w:kern w:val="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第二十二条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第二十三条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第二十四条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拟提请常务委员会会议审议的法规草案，应当在常务委员会会议举行的二十日前报送常务委员会。未能提前二十日报送的，一般列入下次常务委员会会议议程。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第二十五条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常务委员会会议第一次审议法规案，听取提案人的说明并进行审议；常务委员会会议第二次审议法规案，听取法制委员会关于法规草案审议结果的报告并再次审议。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第二十六条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有关专门委员会审议法规案时，可以邀请其他常务委员会组成人员列席会议，发表意见。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第二十七条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专门委员会审议法规案时，应当召开全体会议审议，根据需要，可以要求有关机关、团体或者组织派负责人说明情况。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第二十八条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常务委员会审议法规案时，提案人应当派人听取意见，回答询问。根据需要，有关机关、团体或者组织应当派人介绍情况。列席会议的人员，经主持人同意，可以发表意见。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第二十九条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法制委员会审议法规案时，应当邀请有关专门委员会的成员列席会议，发表意见。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第三十条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列入常务委员会会议议程的法规案，法制委员会、有关专门委员会和法制工作委员会应当广泛听取各方面的意见。听取意见可以采取座谈会、论证会、听证会等多种形式。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法规案中有关问题专业性较强的，专门委员会可以组织有关方面专家、学者或者专业工作者进行论证。论证情况应当向常务委员会报告。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法规案有关问题存在重大意见分歧或者涉及利益关系重大调整的，可以组织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第三十一条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列入常务委员会会议议程的法规案，法制工作委员会应当在常务委员会会议后将法规草案及其说明等向社会公布，征求意见。向社会公布征求意见的时间一般不少于三十日。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法制工作委员会应当将法规草案发送下级人民代表大会常务委员会、相关领域的市人民代表大会代表以及有关部门、团体、组织和专家征求意见。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法制工作委员会应当收集整理常务委员会会议审议的意见和各方面提出的意见以及其他有关资料，分送法制委员会和有关专门委员会，并根据需要，印发常务委员会会议。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第三十二条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常务委员会会议审议法规案，可以组织公民旁听和新闻媒体报道。专门委员会和法制工作委员会进行立法调研，可以邀请有关的市人民代表大会代表参加。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第三十三条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第三十四条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第三十五条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第三十六条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拟提请常务委员会会议表决的法规案，法制工作委员会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第三十七条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表决前，由法制委员会向常务委员会全体会议作关于法规草案修改情况的说明。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第三十八条</w:t>
      </w:r>
      <w:r>
        <w:rPr>
          <w:rFonts w:hint="eastAsia" w:ascii="仿宋_GB2312" w:hAnsi="仿宋_GB2312" w:eastAsia="仿宋_GB2312" w:cs="仿宋_GB2312"/>
          <w:b w:val="0"/>
          <w:bCs/>
          <w:color w:val="000000"/>
          <w:spacing w:val="0"/>
          <w:kern w:val="0"/>
          <w:sz w:val="32"/>
          <w:szCs w:val="32"/>
        </w:rPr>
        <w:t>　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第三十九条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常务委员会通过的地方性法规，应当自通过之日起十五日内，由常务委员会报请省人民代表大会常务委员会批准；经批准后，由常务委员会发布公告予以公布。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color w:val="0D0D0D"/>
          <w:spacing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color w:val="000000"/>
          <w:spacing w:val="0"/>
          <w:kern w:val="0"/>
          <w:sz w:val="32"/>
          <w:szCs w:val="32"/>
        </w:rPr>
      </w:pPr>
      <w:r>
        <w:rPr>
          <w:rFonts w:hint="eastAsia" w:ascii="黑体" w:hAnsi="黑体" w:eastAsia="黑体" w:cs="黑体"/>
          <w:b w:val="0"/>
          <w:bCs/>
          <w:color w:val="000000"/>
          <w:spacing w:val="0"/>
          <w:kern w:val="0"/>
          <w:sz w:val="32"/>
          <w:szCs w:val="32"/>
        </w:rPr>
        <w:t>第四章　法规解释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第四十条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市人民代表大会及其常务委员会通过的地方性法规由常务委员会解释。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第四十一条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市人民政府、市中级人民法院、市人民检察院、专门委员会以及下级人民代表大会常务委员会可以向常务委员会提出法规解释要求。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第四十二条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法制工作委员会研究拟订法规解释草案，由主任会议决定列入常务委员会会议议程。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第四十三条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color w:val="000000"/>
          <w:spacing w:val="0"/>
          <w:kern w:val="0"/>
          <w:sz w:val="32"/>
          <w:szCs w:val="32"/>
        </w:rPr>
      </w:pPr>
      <w:r>
        <w:rPr>
          <w:rFonts w:hint="eastAsia" w:ascii="黑体" w:hAnsi="黑体" w:eastAsia="黑体" w:cs="黑体"/>
          <w:b w:val="0"/>
          <w:bCs/>
          <w:color w:val="000000"/>
          <w:spacing w:val="0"/>
          <w:kern w:val="0"/>
          <w:sz w:val="32"/>
          <w:szCs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第四十四条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提出法规案，应当同时提出法规草案文本及其说明，并提供必要的参阅资料。修改法规的，还应当提交修改前后的对照文本。法规草案的说明应当包括制定该法规的必要性、可行性和主要内容以及起草过程中对重大分歧问题的协调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第四十五条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向市人民代表大会及其常务委员会提出的法规案，在列入会议议程前，提案人有权撤回，但应当以书面形式提出。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第四十六条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交付市人民代表大会及其常务委员会全体会议表决未获得通过的法规案，提案人可以按规定程序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第四十七条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地方性法规经批准后，常务委员会应当发布公告予以公布，及时在常务委员会公报刊登，并自公告之日起十五日内在《随州日报》上刊登。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公布地方性法规的公告应当载明该地方性法规的制定机关、批准机关和通过、批准、施行的日期。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第四十八条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法规部分条文被修改的，应当公布新的法规文本。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第四十九条</w:t>
      </w: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有关机关未能在期限内作出配套规定的，应当向常务委员会报告。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第五十条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有关专门委员会、法制工作委员会应当组织对有关法规或者法规中有关规定进行立法后评估。评估情况应当向常务委员会报告。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第五十一条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制定和修改后的法规实施满一定期限的，法规实施机关应当向常务委员会报告法规实施情况。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第五十二条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市人民代表大会及其常务委员会制定的地方性法规应当自公布之日起十五日内由常务委员会报省人民代表大会常务委员会，由省人民代表大会常务委员会报全国人民代表大会常务委员会和国务院备案。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color w:val="000000"/>
          <w:spacing w:val="0"/>
          <w:kern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第五十三条</w:t>
      </w:r>
      <w:r>
        <w:rPr>
          <w:rFonts w:hint="eastAsia" w:ascii="仿宋_GB2312" w:hAnsi="仿宋_GB2312" w:eastAsia="仿宋_GB2312" w:cs="仿宋_GB2312"/>
          <w:b w:val="0"/>
          <w:bCs/>
          <w:color w:val="000000"/>
          <w:spacing w:val="0"/>
          <w:kern w:val="0"/>
          <w:sz w:val="32"/>
          <w:szCs w:val="32"/>
          <w:lang w:eastAsia="zh-CN"/>
        </w:rPr>
        <w:t>　</w:t>
      </w:r>
      <w:r>
        <w:rPr>
          <w:rFonts w:hint="eastAsia" w:ascii="仿宋_GB2312" w:hAnsi="仿宋_GB2312" w:eastAsia="仿宋_GB2312" w:cs="仿宋_GB2312"/>
          <w:b w:val="0"/>
          <w:bCs/>
          <w:color w:val="000000"/>
          <w:spacing w:val="0"/>
          <w:kern w:val="0"/>
          <w:sz w:val="32"/>
          <w:szCs w:val="32"/>
        </w:rPr>
        <w:t>法制工作委员会可以对市人民代表大会及其常务委员会制定的地方性法规具体应用的询问予以答复，并报常务委员会备案。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color w:val="000000"/>
          <w:spacing w:val="0"/>
          <w:kern w:val="0"/>
          <w:sz w:val="32"/>
          <w:szCs w:val="32"/>
        </w:rPr>
      </w:pPr>
      <w:r>
        <w:rPr>
          <w:rFonts w:hint="eastAsia" w:ascii="黑体" w:hAnsi="黑体" w:eastAsia="黑体" w:cs="黑体"/>
          <w:b w:val="0"/>
          <w:bCs/>
          <w:color w:val="000000"/>
          <w:spacing w:val="0"/>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color w:val="000000"/>
          <w:spacing w:val="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spacing w:val="0"/>
          <w:sz w:val="32"/>
          <w:szCs w:val="32"/>
        </w:rPr>
      </w:pPr>
      <w:r>
        <w:rPr>
          <w:rFonts w:hint="eastAsia" w:ascii="仿宋_GB2312" w:hAnsi="仿宋_GB2312" w:eastAsia="仿宋_GB2312" w:cs="仿宋_GB2312"/>
          <w:b w:val="0"/>
          <w:bCs/>
          <w:color w:val="000000"/>
          <w:spacing w:val="0"/>
          <w:kern w:val="0"/>
          <w:sz w:val="32"/>
          <w:szCs w:val="32"/>
          <w:lang w:val="en-US" w:eastAsia="zh-CN"/>
        </w:rPr>
        <w:t>　　</w:t>
      </w:r>
      <w:r>
        <w:rPr>
          <w:rFonts w:hint="eastAsia" w:ascii="黑体" w:hAnsi="黑体" w:eastAsia="黑体" w:cs="黑体"/>
          <w:b w:val="0"/>
          <w:bCs/>
          <w:color w:val="000000"/>
          <w:spacing w:val="0"/>
          <w:kern w:val="0"/>
          <w:sz w:val="32"/>
          <w:szCs w:val="32"/>
        </w:rPr>
        <w:t>第五十四条</w:t>
      </w:r>
      <w:r>
        <w:rPr>
          <w:rFonts w:hint="eastAsia" w:ascii="仿宋_GB2312" w:hAnsi="仿宋_GB2312" w:eastAsia="仿宋_GB2312" w:cs="仿宋_GB2312"/>
          <w:b w:val="0"/>
          <w:bCs/>
          <w:color w:val="000000"/>
          <w:spacing w:val="0"/>
          <w:kern w:val="0"/>
          <w:sz w:val="32"/>
          <w:szCs w:val="32"/>
          <w:lang w:val="en-US" w:eastAsia="zh-CN"/>
        </w:rPr>
        <w:t>　</w:t>
      </w:r>
      <w:r>
        <w:rPr>
          <w:rFonts w:hint="eastAsia" w:ascii="仿宋_GB2312" w:hAnsi="仿宋_GB2312" w:eastAsia="仿宋_GB2312" w:cs="仿宋_GB2312"/>
          <w:b w:val="0"/>
          <w:bCs/>
          <w:color w:val="000000"/>
          <w:spacing w:val="0"/>
          <w:kern w:val="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6F81D7F"/>
    <w:rsid w:val="0B585CB9"/>
    <w:rsid w:val="177911C8"/>
    <w:rsid w:val="1F8A230B"/>
    <w:rsid w:val="202F5D94"/>
    <w:rsid w:val="209247B4"/>
    <w:rsid w:val="20DF3417"/>
    <w:rsid w:val="212E7298"/>
    <w:rsid w:val="229A7FE2"/>
    <w:rsid w:val="24101AE4"/>
    <w:rsid w:val="26F45ED0"/>
    <w:rsid w:val="275F47EA"/>
    <w:rsid w:val="342A57F5"/>
    <w:rsid w:val="3EF35DF3"/>
    <w:rsid w:val="3F00448A"/>
    <w:rsid w:val="40864C43"/>
    <w:rsid w:val="4FF135F4"/>
    <w:rsid w:val="51582C90"/>
    <w:rsid w:val="58A7285B"/>
    <w:rsid w:val="5D8976F1"/>
    <w:rsid w:val="61156553"/>
    <w:rsid w:val="6B6D6DAD"/>
    <w:rsid w:val="74A068C5"/>
    <w:rsid w:val="76C12CBC"/>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page number"/>
    <w:basedOn w:val="5"/>
    <w:uiPriority w:val="0"/>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2017-02-16T11:20:43Z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