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pageBreakBefore w:val="0"/>
        <w:widowControl/>
        <w:kinsoku/>
        <w:wordWrap/>
        <w:overflowPunct/>
        <w:topLinePunct w:val="0"/>
        <w:autoSpaceDE/>
        <w:autoSpaceDN w:val="0"/>
        <w:bidi w:val="0"/>
        <w:adjustRightInd/>
        <w:snapToGrid/>
        <w:spacing w:line="600" w:lineRule="exact"/>
        <w:jc w:val="center"/>
        <w:textAlignment w:val="auto"/>
        <w:rPr>
          <w:rFonts w:hint="eastAsia" w:asciiTheme="majorEastAsia" w:hAnsiTheme="majorEastAsia" w:eastAsiaTheme="majorEastAsia" w:cstheme="majorEastAsia"/>
          <w:sz w:val="32"/>
          <w:szCs w:val="32"/>
        </w:rPr>
      </w:pPr>
    </w:p>
    <w:p>
      <w:pPr>
        <w:pStyle w:val="10"/>
        <w:keepNext w:val="0"/>
        <w:keepLines w:val="0"/>
        <w:pageBreakBefore w:val="0"/>
        <w:widowControl/>
        <w:kinsoku/>
        <w:wordWrap/>
        <w:overflowPunct/>
        <w:topLinePunct w:val="0"/>
        <w:autoSpaceDE/>
        <w:autoSpaceDN w:val="0"/>
        <w:bidi w:val="0"/>
        <w:adjustRightInd/>
        <w:snapToGrid/>
        <w:spacing w:line="600" w:lineRule="exact"/>
        <w:jc w:val="center"/>
        <w:textAlignment w:val="auto"/>
        <w:rPr>
          <w:rFonts w:hint="eastAsia" w:asciiTheme="majorEastAsia" w:hAnsiTheme="majorEastAsia" w:eastAsiaTheme="majorEastAsia" w:cstheme="majorEastAsia"/>
          <w:sz w:val="32"/>
          <w:szCs w:val="32"/>
        </w:rPr>
      </w:pPr>
    </w:p>
    <w:p>
      <w:pPr>
        <w:pStyle w:val="10"/>
        <w:keepNext w:val="0"/>
        <w:keepLines w:val="0"/>
        <w:pageBreakBefore w:val="0"/>
        <w:widowControl/>
        <w:kinsoku/>
        <w:wordWrap/>
        <w:overflowPunct/>
        <w:topLinePunct w:val="0"/>
        <w:autoSpaceDE/>
        <w:autoSpaceDN w:val="0"/>
        <w:bidi w:val="0"/>
        <w:adjustRightInd/>
        <w:snapToGrid/>
        <w:spacing w:line="600" w:lineRule="exact"/>
        <w:jc w:val="center"/>
        <w:textAlignment w:val="auto"/>
        <w:rPr>
          <w:rFonts w:hint="eastAsia" w:ascii="方正小标宋简体" w:hAnsi="方正小标宋简体" w:eastAsia="方正小标宋简体" w:cs="方正小标宋简体"/>
          <w:sz w:val="48"/>
          <w:szCs w:val="48"/>
        </w:rPr>
      </w:pPr>
      <w:r>
        <w:rPr>
          <w:rFonts w:hint="eastAsia" w:asciiTheme="majorEastAsia" w:hAnsiTheme="majorEastAsia" w:eastAsiaTheme="majorEastAsia" w:cstheme="majorEastAsia"/>
          <w:sz w:val="44"/>
          <w:szCs w:val="44"/>
        </w:rPr>
        <w:t>青海省全民健身条例</w:t>
      </w:r>
    </w:p>
    <w:p>
      <w:pPr>
        <w:pStyle w:val="10"/>
        <w:keepNext w:val="0"/>
        <w:keepLines w:val="0"/>
        <w:pageBreakBefore w:val="0"/>
        <w:widowControl/>
        <w:kinsoku/>
        <w:wordWrap/>
        <w:overflowPunct/>
        <w:topLinePunct w:val="0"/>
        <w:autoSpaceDE/>
        <w:autoSpaceDN/>
        <w:bidi w:val="0"/>
        <w:adjustRightInd/>
        <w:snapToGrid/>
        <w:spacing w:line="600" w:lineRule="exact"/>
        <w:jc w:val="center"/>
        <w:textAlignment w:val="auto"/>
        <w:rPr>
          <w:rFonts w:hint="eastAsia" w:asciiTheme="minorEastAsia" w:hAnsiTheme="minorEastAsia" w:eastAsiaTheme="minorEastAsia" w:cstheme="minorEastAsia"/>
          <w:b w:val="0"/>
          <w:bCs w:val="0"/>
          <w:sz w:val="32"/>
          <w:szCs w:val="32"/>
        </w:rPr>
      </w:pPr>
    </w:p>
    <w:p>
      <w:pPr>
        <w:pStyle w:val="10"/>
        <w:keepNext w:val="0"/>
        <w:keepLines w:val="0"/>
        <w:pageBreakBefore w:val="0"/>
        <w:widowControl/>
        <w:kinsoku/>
        <w:wordWrap/>
        <w:overflowPunct/>
        <w:topLinePunct w:val="0"/>
        <w:autoSpaceDE/>
        <w:autoSpaceDN/>
        <w:bidi w:val="0"/>
        <w:adjustRightInd/>
        <w:snapToGrid/>
        <w:spacing w:line="600" w:lineRule="exact"/>
        <w:ind w:left="624" w:leftChars="200" w:right="624" w:rightChars="200" w:firstLine="0" w:firstLineChars="0"/>
        <w:jc w:val="both"/>
        <w:textAlignment w:val="auto"/>
        <w:outlineLvl w:val="9"/>
        <w:rPr>
          <w:rFonts w:hint="eastAsia" w:ascii="宋体" w:hAnsi="宋体"/>
          <w:b w:val="0"/>
          <w:bCs w:val="0"/>
          <w:sz w:val="32"/>
          <w:szCs w:val="32"/>
        </w:rPr>
      </w:pPr>
      <w:r>
        <w:rPr>
          <w:rFonts w:hint="eastAsia" w:ascii="楷体_GB2312" w:eastAsia="楷体_GB2312"/>
          <w:b w:val="0"/>
          <w:bCs w:val="0"/>
          <w:sz w:val="32"/>
          <w:szCs w:val="32"/>
        </w:rPr>
        <w:t>（2022年11月</w:t>
      </w:r>
      <w:r>
        <w:rPr>
          <w:rFonts w:hint="eastAsia" w:ascii="楷体_GB2312" w:eastAsia="楷体_GB2312"/>
          <w:b w:val="0"/>
          <w:bCs w:val="0"/>
          <w:sz w:val="32"/>
          <w:szCs w:val="32"/>
          <w:lang w:val="en-US" w:eastAsia="zh-CN"/>
        </w:rPr>
        <w:t>29</w:t>
      </w:r>
      <w:r>
        <w:rPr>
          <w:rFonts w:hint="eastAsia" w:ascii="楷体_GB2312" w:eastAsia="楷体_GB2312"/>
          <w:b w:val="0"/>
          <w:bCs w:val="0"/>
          <w:sz w:val="32"/>
          <w:szCs w:val="32"/>
        </w:rPr>
        <w:t>日青海省第十三届人民代表大会常务委员会第三十六次会议通过）</w:t>
      </w:r>
    </w:p>
    <w:p>
      <w:pPr>
        <w:pStyle w:val="12"/>
        <w:autoSpaceDN w:val="0"/>
        <w:spacing w:line="560" w:lineRule="atLeast"/>
        <w:jc w:val="center"/>
        <w:rPr>
          <w:rFonts w:hint="eastAsia" w:ascii="楷体_GB2312" w:eastAsia="楷体_GB2312"/>
          <w:sz w:val="32"/>
          <w:szCs w:val="32"/>
        </w:rPr>
      </w:pPr>
    </w:p>
    <w:p>
      <w:pPr>
        <w:pStyle w:val="12"/>
        <w:autoSpaceDN w:val="0"/>
        <w:spacing w:line="600" w:lineRule="atLeast"/>
        <w:jc w:val="center"/>
        <w:rPr>
          <w:rFonts w:hint="eastAsia" w:ascii="楷体_GB2312" w:eastAsia="楷体_GB2312"/>
          <w:sz w:val="32"/>
          <w:szCs w:val="32"/>
        </w:rPr>
      </w:pPr>
      <w:r>
        <w:rPr>
          <w:rFonts w:hint="eastAsia" w:ascii="楷体_GB2312" w:eastAsia="楷体_GB2312"/>
          <w:sz w:val="32"/>
          <w:szCs w:val="32"/>
        </w:rPr>
        <w:t>目    录</w:t>
      </w:r>
    </w:p>
    <w:p>
      <w:pPr>
        <w:pStyle w:val="12"/>
        <w:autoSpaceDN w:val="0"/>
        <w:spacing w:line="600" w:lineRule="atLeast"/>
        <w:jc w:val="both"/>
        <w:rPr>
          <w:rFonts w:hint="eastAsia" w:ascii="楷体_GB2312" w:eastAsia="楷体_GB2312"/>
          <w:b/>
          <w:bCs/>
          <w:sz w:val="32"/>
          <w:szCs w:val="32"/>
        </w:rPr>
      </w:pPr>
    </w:p>
    <w:p>
      <w:pPr>
        <w:pStyle w:val="12"/>
        <w:autoSpaceDN w:val="0"/>
        <w:spacing w:line="600" w:lineRule="atLeast"/>
        <w:ind w:firstLine="640"/>
        <w:jc w:val="both"/>
        <w:rPr>
          <w:rFonts w:hint="eastAsia" w:ascii="楷体_GB2312" w:eastAsia="楷体_GB2312"/>
          <w:sz w:val="32"/>
          <w:szCs w:val="32"/>
        </w:rPr>
      </w:pPr>
      <w:r>
        <w:rPr>
          <w:rFonts w:hint="eastAsia" w:ascii="楷体_GB2312" w:eastAsia="楷体_GB2312"/>
          <w:sz w:val="32"/>
          <w:szCs w:val="32"/>
        </w:rPr>
        <w:t>第一章  总  则</w:t>
      </w:r>
    </w:p>
    <w:p>
      <w:pPr>
        <w:pStyle w:val="12"/>
        <w:autoSpaceDN w:val="0"/>
        <w:spacing w:line="600" w:lineRule="atLeast"/>
        <w:ind w:firstLine="640"/>
        <w:jc w:val="both"/>
        <w:rPr>
          <w:rFonts w:hint="eastAsia" w:ascii="楷体_GB2312" w:eastAsia="楷体_GB2312"/>
          <w:sz w:val="32"/>
          <w:szCs w:val="32"/>
        </w:rPr>
      </w:pPr>
      <w:r>
        <w:rPr>
          <w:rFonts w:hint="eastAsia" w:ascii="楷体_GB2312" w:eastAsia="楷体_GB2312"/>
          <w:sz w:val="32"/>
          <w:szCs w:val="32"/>
        </w:rPr>
        <w:t>第二章  全民健身活动</w:t>
      </w:r>
    </w:p>
    <w:p>
      <w:pPr>
        <w:pStyle w:val="10"/>
        <w:autoSpaceDN w:val="0"/>
        <w:spacing w:line="600" w:lineRule="atLeast"/>
        <w:ind w:firstLine="640"/>
        <w:rPr>
          <w:rFonts w:hint="eastAsia" w:ascii="楷体_GB2312" w:eastAsia="楷体_GB2312"/>
          <w:sz w:val="32"/>
          <w:szCs w:val="32"/>
        </w:rPr>
      </w:pPr>
      <w:r>
        <w:rPr>
          <w:rFonts w:hint="eastAsia" w:ascii="楷体_GB2312" w:eastAsia="楷体_GB2312"/>
          <w:sz w:val="32"/>
          <w:szCs w:val="32"/>
        </w:rPr>
        <w:t>第三章  全民健身设施</w:t>
      </w:r>
    </w:p>
    <w:p>
      <w:pPr>
        <w:pStyle w:val="10"/>
        <w:autoSpaceDN w:val="0"/>
        <w:spacing w:line="600" w:lineRule="atLeast"/>
        <w:ind w:firstLine="640"/>
        <w:rPr>
          <w:rFonts w:hint="eastAsia" w:ascii="楷体_GB2312" w:eastAsia="楷体_GB2312"/>
          <w:sz w:val="32"/>
          <w:szCs w:val="32"/>
        </w:rPr>
      </w:pPr>
      <w:r>
        <w:rPr>
          <w:rFonts w:hint="eastAsia" w:ascii="楷体_GB2312" w:eastAsia="楷体_GB2312"/>
          <w:sz w:val="32"/>
          <w:szCs w:val="32"/>
        </w:rPr>
        <w:t>第四章  全民健身保障</w:t>
      </w:r>
    </w:p>
    <w:p>
      <w:pPr>
        <w:pStyle w:val="13"/>
        <w:autoSpaceDN w:val="0"/>
        <w:spacing w:after="0" w:line="600" w:lineRule="atLeast"/>
        <w:ind w:firstLine="640"/>
        <w:rPr>
          <w:rFonts w:hint="eastAsia" w:ascii="楷体_GB2312" w:eastAsia="楷体_GB2312"/>
          <w:sz w:val="32"/>
          <w:szCs w:val="32"/>
        </w:rPr>
      </w:pPr>
      <w:r>
        <w:rPr>
          <w:rFonts w:hint="eastAsia" w:ascii="楷体_GB2312" w:eastAsia="楷体_GB2312"/>
          <w:sz w:val="32"/>
          <w:szCs w:val="32"/>
        </w:rPr>
        <w:t>第五章  法律责任</w:t>
      </w:r>
    </w:p>
    <w:p>
      <w:pPr>
        <w:pStyle w:val="13"/>
        <w:autoSpaceDN w:val="0"/>
        <w:spacing w:after="0" w:line="600" w:lineRule="atLeast"/>
        <w:ind w:firstLine="640"/>
        <w:rPr>
          <w:rFonts w:hint="eastAsia" w:ascii="楷体_GB2312" w:eastAsia="楷体_GB2312"/>
          <w:sz w:val="32"/>
          <w:szCs w:val="32"/>
        </w:rPr>
      </w:pPr>
      <w:r>
        <w:rPr>
          <w:rFonts w:hint="eastAsia" w:ascii="楷体_GB2312" w:eastAsia="楷体_GB2312"/>
          <w:sz w:val="32"/>
          <w:szCs w:val="32"/>
        </w:rPr>
        <w:t>第六章  附  则</w:t>
      </w:r>
    </w:p>
    <w:p>
      <w:pPr>
        <w:pStyle w:val="11"/>
        <w:spacing w:line="600" w:lineRule="atLeast"/>
        <w:jc w:val="both"/>
        <w:rPr>
          <w:rFonts w:hint="eastAsia" w:ascii="宋体" w:hAnsi="宋体"/>
          <w:sz w:val="32"/>
          <w:szCs w:val="32"/>
        </w:rPr>
      </w:pPr>
    </w:p>
    <w:p>
      <w:pPr>
        <w:pStyle w:val="10"/>
        <w:keepNext w:val="0"/>
        <w:keepLines w:val="0"/>
        <w:pageBreakBefore w:val="0"/>
        <w:widowControl w:val="0"/>
        <w:kinsoku/>
        <w:wordWrap/>
        <w:overflowPunct/>
        <w:topLinePunct w:val="0"/>
        <w:autoSpaceDE/>
        <w:autoSpaceDN w:val="0"/>
        <w:bidi w:val="0"/>
        <w:adjustRightInd/>
        <w:snapToGrid/>
        <w:spacing w:line="576" w:lineRule="atLeast"/>
        <w:jc w:val="center"/>
        <w:textAlignment w:val="auto"/>
        <w:rPr>
          <w:rFonts w:hint="eastAsia" w:ascii="黑体" w:eastAsia="黑体"/>
          <w:sz w:val="32"/>
          <w:szCs w:val="32"/>
        </w:rPr>
      </w:pPr>
      <w:r>
        <w:rPr>
          <w:rFonts w:hint="eastAsia" w:ascii="黑体" w:eastAsia="黑体"/>
          <w:sz w:val="32"/>
          <w:szCs w:val="32"/>
        </w:rPr>
        <w:t>第一章  总  则</w:t>
      </w:r>
    </w:p>
    <w:p>
      <w:pPr>
        <w:pStyle w:val="11"/>
        <w:keepNext w:val="0"/>
        <w:keepLines w:val="0"/>
        <w:pageBreakBefore w:val="0"/>
        <w:widowControl w:val="0"/>
        <w:kinsoku/>
        <w:wordWrap/>
        <w:overflowPunct/>
        <w:topLinePunct w:val="0"/>
        <w:autoSpaceDE/>
        <w:bidi w:val="0"/>
        <w:adjustRightInd/>
        <w:snapToGrid/>
        <w:spacing w:line="576" w:lineRule="atLeast"/>
        <w:jc w:val="both"/>
        <w:textAlignment w:val="auto"/>
        <w:rPr>
          <w:rFonts w:hint="eastAsia" w:ascii="宋体" w:hAnsi="宋体" w:eastAsia="宋体"/>
          <w:sz w:val="32"/>
          <w:szCs w:val="32"/>
          <w:lang w:val="en-US" w:eastAsia="zh-CN"/>
        </w:rPr>
      </w:pP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hint="eastAsia" w:ascii="Times New Roman" w:hAnsi="Times New Roman" w:cs="Times New Roman"/>
          <w:color w:val="000000"/>
          <w:sz w:val="32"/>
          <w:szCs w:val="32"/>
        </w:rPr>
      </w:pPr>
      <w:r>
        <w:rPr>
          <w:rFonts w:hint="eastAsia" w:ascii="黑体" w:eastAsia="黑体"/>
          <w:sz w:val="32"/>
          <w:szCs w:val="32"/>
        </w:rPr>
        <w:t>第一条</w:t>
      </w:r>
      <w:r>
        <w:rPr>
          <w:rFonts w:ascii="Times New Roman" w:hAnsi="Times New Roman" w:cs="Times New Roman"/>
          <w:sz w:val="32"/>
          <w:szCs w:val="32"/>
        </w:rPr>
        <w:t xml:space="preserve"> </w:t>
      </w:r>
      <w:r>
        <w:rPr>
          <w:rFonts w:hint="eastAsia" w:ascii="Times New Roman" w:hAnsi="Times New Roman" w:cs="Times New Roman"/>
          <w:sz w:val="32"/>
          <w:szCs w:val="32"/>
        </w:rPr>
        <w:t xml:space="preserve"> </w:t>
      </w:r>
      <w:r>
        <w:rPr>
          <w:rFonts w:hint="eastAsia" w:ascii="仿宋_GB2312" w:hAnsi="仿宋_GB2312" w:eastAsia="仿宋_GB2312" w:cs="仿宋_GB2312"/>
          <w:color w:val="000000"/>
          <w:sz w:val="32"/>
          <w:szCs w:val="32"/>
        </w:rPr>
        <w:t>为了实施全民健身国家战略，促进高原体育强省和健康青海建设，保障公民在全民健身活动中的合法权益，提高公民身体素质和健康水平，根据《中华人民共和国体育法》《全民健身条例》《公共文化体育设施条例》等有关法律、行政法规，结合本省实际，制定本条例。</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hint="eastAsia" w:ascii="仿宋_GB2312" w:hAnsi="仿宋_GB2312" w:eastAsia="仿宋_GB2312" w:cs="仿宋_GB2312"/>
          <w:color w:val="000000"/>
          <w:sz w:val="32"/>
          <w:szCs w:val="32"/>
        </w:rPr>
      </w:pPr>
      <w:r>
        <w:rPr>
          <w:rFonts w:hint="eastAsia" w:ascii="黑体" w:eastAsia="黑体"/>
          <w:sz w:val="32"/>
          <w:szCs w:val="32"/>
        </w:rPr>
        <w:t>第二条</w:t>
      </w:r>
      <w:r>
        <w:rPr>
          <w:rFonts w:ascii="Times New Roman" w:hAnsi="Times New Roman" w:cs="Times New Roman"/>
          <w:sz w:val="32"/>
          <w:szCs w:val="32"/>
        </w:rPr>
        <w:t xml:space="preserve"> </w:t>
      </w:r>
      <w:r>
        <w:rPr>
          <w:rFonts w:hint="eastAsia" w:ascii="Times New Roman" w:hAnsi="Times New Roman" w:cs="Times New Roman"/>
          <w:sz w:val="32"/>
          <w:szCs w:val="32"/>
        </w:rPr>
        <w:t xml:space="preserve"> </w:t>
      </w:r>
      <w:r>
        <w:rPr>
          <w:rFonts w:hint="eastAsia" w:ascii="仿宋_GB2312" w:hAnsi="仿宋_GB2312" w:eastAsia="仿宋_GB2312" w:cs="仿宋_GB2312"/>
          <w:color w:val="000000"/>
          <w:sz w:val="32"/>
          <w:szCs w:val="32"/>
        </w:rPr>
        <w:t>本省行政区域内全民健身活动的开展、服务和</w:t>
      </w:r>
      <w:r>
        <w:rPr>
          <w:rFonts w:hint="eastAsia" w:ascii="仿宋_GB2312" w:hAnsi="仿宋_GB2312" w:eastAsia="仿宋_GB2312" w:cs="仿宋_GB2312"/>
          <w:color w:val="000000"/>
          <w:w w:val="98"/>
          <w:sz w:val="32"/>
          <w:szCs w:val="32"/>
        </w:rPr>
        <w:t>保障，全民健身设施的规划、建设、使用和管理，适用本条例。</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hint="eastAsia"/>
          <w:sz w:val="32"/>
          <w:szCs w:val="32"/>
        </w:rPr>
      </w:pPr>
      <w:r>
        <w:rPr>
          <w:rFonts w:hint="eastAsia" w:ascii="仿宋_GB2312" w:hAnsi="仿宋_GB2312" w:eastAsia="仿宋_GB2312" w:cs="仿宋_GB2312"/>
          <w:color w:val="000000"/>
          <w:sz w:val="32"/>
          <w:szCs w:val="32"/>
        </w:rPr>
        <w:t>本条例所称全民健身设施是指用于全民健身活动的建筑物、构筑物、场地和设备，包括公共体育设施、学校体育设施、村（居）民住宅区体育设施、经营性体育设施以及国家机关、企业事业单位和其他组织内部的体育设施。</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ascii="Times New Roman" w:hAnsi="Times New Roman" w:cs="Times New Roman"/>
          <w:color w:val="000000"/>
          <w:sz w:val="32"/>
          <w:szCs w:val="32"/>
        </w:rPr>
      </w:pPr>
      <w:r>
        <w:rPr>
          <w:rFonts w:hint="eastAsia" w:ascii="黑体" w:eastAsia="黑体"/>
          <w:sz w:val="32"/>
          <w:szCs w:val="32"/>
        </w:rPr>
        <w:t>第三条</w:t>
      </w:r>
      <w:r>
        <w:rPr>
          <w:rFonts w:ascii="Times New Roman" w:hAnsi="Times New Roman" w:cs="Times New Roman"/>
          <w:sz w:val="32"/>
          <w:szCs w:val="32"/>
        </w:rPr>
        <w:t xml:space="preserve"> </w:t>
      </w:r>
      <w:r>
        <w:rPr>
          <w:rFonts w:hint="eastAsia" w:ascii="Times New Roman" w:hAnsi="Times New Roman" w:cs="Times New Roman"/>
          <w:sz w:val="32"/>
          <w:szCs w:val="32"/>
        </w:rPr>
        <w:t xml:space="preserve"> </w:t>
      </w:r>
      <w:r>
        <w:rPr>
          <w:rFonts w:hint="eastAsia" w:ascii="仿宋_GB2312" w:hAnsi="仿宋_GB2312" w:eastAsia="仿宋_GB2312" w:cs="仿宋_GB2312"/>
          <w:color w:val="000000"/>
          <w:sz w:val="32"/>
          <w:szCs w:val="32"/>
        </w:rPr>
        <w:t>全民健身坚持以人民健康为中心，遵循科学文明、因地制宜、共建共享、方便群众的原则，实行政府主导、部门协同、社会参与的工作机制。</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hint="eastAsia" w:ascii="仿宋_GB2312" w:hAnsi="仿宋_GB2312" w:eastAsia="仿宋_GB2312" w:cs="仿宋_GB2312"/>
          <w:color w:val="000000"/>
          <w:sz w:val="32"/>
          <w:szCs w:val="32"/>
        </w:rPr>
      </w:pPr>
      <w:r>
        <w:rPr>
          <w:rFonts w:hint="eastAsia" w:ascii="黑体" w:eastAsia="黑体"/>
          <w:sz w:val="32"/>
          <w:szCs w:val="32"/>
        </w:rPr>
        <w:t>第四条</w:t>
      </w:r>
      <w:r>
        <w:rPr>
          <w:rFonts w:hint="eastAsia" w:ascii="Times New Roman" w:hAnsi="Times New Roman" w:cs="Times New Roman"/>
          <w:sz w:val="32"/>
          <w:szCs w:val="32"/>
        </w:rPr>
        <w:t xml:space="preserve">  </w:t>
      </w:r>
      <w:r>
        <w:rPr>
          <w:rFonts w:hint="eastAsia" w:ascii="仿宋_GB2312" w:hAnsi="仿宋_GB2312" w:eastAsia="仿宋_GB2312" w:cs="仿宋_GB2312"/>
          <w:color w:val="000000"/>
          <w:sz w:val="32"/>
          <w:szCs w:val="32"/>
        </w:rPr>
        <w:t>县级以上人民政府应当加强对全民健身工作的组织领导，将全民健身工作纳入国民经济和社会发展规划，制定全民健身实施计划，建立健全工作协调机制，完善全民健身公共服务体系，推动基本公共体育服务均等化、社会化、便利化。</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乡镇人民政府、街道办事处应当组织协调辖区内全民健身工作，支持和帮助村（居）民委员会开展全民健身活动。</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ascii="Times New Roman" w:hAnsi="Times New Roman" w:cs="Times New Roman"/>
          <w:color w:val="000000"/>
          <w:sz w:val="32"/>
          <w:szCs w:val="32"/>
        </w:rPr>
      </w:pPr>
      <w:r>
        <w:rPr>
          <w:rFonts w:hint="eastAsia" w:ascii="仿宋_GB2312" w:hAnsi="仿宋_GB2312" w:eastAsia="仿宋_GB2312" w:cs="仿宋_GB2312"/>
          <w:color w:val="000000"/>
          <w:sz w:val="32"/>
          <w:szCs w:val="32"/>
        </w:rPr>
        <w:t>村（居）民委员会协助乡镇人民政府、街道办事处做好全民健身相关工作。</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hint="eastAsia" w:ascii="仿宋_GB2312" w:hAnsi="仿宋_GB2312" w:eastAsia="仿宋_GB2312" w:cs="仿宋_GB2312"/>
          <w:color w:val="000000"/>
          <w:sz w:val="32"/>
          <w:szCs w:val="32"/>
        </w:rPr>
      </w:pPr>
      <w:r>
        <w:rPr>
          <w:rFonts w:hint="eastAsia" w:ascii="黑体" w:eastAsia="黑体"/>
          <w:sz w:val="32"/>
          <w:szCs w:val="32"/>
        </w:rPr>
        <w:t>第五条</w:t>
      </w:r>
      <w:r>
        <w:rPr>
          <w:rFonts w:ascii="Times New Roman" w:hAnsi="Times New Roman" w:cs="Times New Roman"/>
          <w:sz w:val="32"/>
          <w:szCs w:val="32"/>
        </w:rPr>
        <w:t xml:space="preserve"> </w:t>
      </w:r>
      <w:r>
        <w:rPr>
          <w:rFonts w:hint="eastAsia" w:ascii="Times New Roman" w:hAnsi="Times New Roman" w:cs="Times New Roman"/>
          <w:sz w:val="32"/>
          <w:szCs w:val="32"/>
        </w:rPr>
        <w:t xml:space="preserve"> </w:t>
      </w:r>
      <w:r>
        <w:rPr>
          <w:rFonts w:hint="eastAsia" w:ascii="仿宋_GB2312" w:hAnsi="仿宋_GB2312" w:eastAsia="仿宋_GB2312" w:cs="仿宋_GB2312"/>
          <w:color w:val="000000"/>
          <w:sz w:val="32"/>
          <w:szCs w:val="32"/>
        </w:rPr>
        <w:t>县级以上人民政府体育主管部门负责本行政区域内的全民健身工作。县级以上人民政府其他有关部门按照各自职责，做好全民健身工作。</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ascii="Times New Roman" w:hAnsi="Times New Roman" w:cs="Times New Roman"/>
          <w:color w:val="000000"/>
          <w:sz w:val="32"/>
          <w:szCs w:val="32"/>
        </w:rPr>
      </w:pPr>
      <w:r>
        <w:rPr>
          <w:rFonts w:hint="eastAsia" w:ascii="仿宋_GB2312" w:hAnsi="仿宋_GB2312" w:eastAsia="仿宋_GB2312" w:cs="仿宋_GB2312"/>
          <w:color w:val="000000"/>
          <w:sz w:val="32"/>
          <w:szCs w:val="32"/>
        </w:rPr>
        <w:t>工会、共青团、妇联、残联等群团组织应当结合自身特点组织成员开展全民健身活动。</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ascii="Times New Roman" w:hAnsi="Times New Roman" w:cs="Times New Roman"/>
          <w:color w:val="000000"/>
          <w:sz w:val="32"/>
          <w:szCs w:val="32"/>
        </w:rPr>
      </w:pPr>
      <w:r>
        <w:rPr>
          <w:rFonts w:hint="eastAsia" w:ascii="黑体" w:eastAsia="黑体"/>
          <w:sz w:val="32"/>
          <w:szCs w:val="32"/>
        </w:rPr>
        <w:t>第六条</w:t>
      </w:r>
      <w:r>
        <w:rPr>
          <w:rFonts w:hint="eastAsia" w:ascii="Times New Roman" w:hAnsi="Times New Roman" w:cs="Times New Roman"/>
          <w:sz w:val="32"/>
          <w:szCs w:val="32"/>
        </w:rPr>
        <w:t xml:space="preserve">  </w:t>
      </w:r>
      <w:r>
        <w:rPr>
          <w:rFonts w:hint="eastAsia" w:ascii="仿宋_GB2312" w:hAnsi="仿宋_GB2312" w:eastAsia="仿宋_GB2312" w:cs="仿宋_GB2312"/>
          <w:color w:val="000000"/>
          <w:sz w:val="32"/>
          <w:szCs w:val="32"/>
        </w:rPr>
        <w:t>各级人民政府应当依法保障公民参加全民健身活动的权利，为未成年人、妇女、老年人和残疾人等群体参加全民健身活动提供便利条件。</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hint="eastAsia" w:ascii="仿宋_GB2312" w:hAnsi="仿宋_GB2312" w:eastAsia="仿宋_GB2312" w:cs="仿宋_GB2312"/>
          <w:color w:val="000000"/>
          <w:sz w:val="32"/>
          <w:szCs w:val="32"/>
        </w:rPr>
      </w:pPr>
      <w:r>
        <w:rPr>
          <w:rFonts w:hint="eastAsia" w:ascii="黑体" w:eastAsia="黑体"/>
          <w:sz w:val="32"/>
          <w:szCs w:val="32"/>
        </w:rPr>
        <w:t>第七条</w:t>
      </w:r>
      <w:r>
        <w:rPr>
          <w:rFonts w:ascii="Times New Roman" w:hAnsi="Times New Roman" w:cs="Times New Roman"/>
          <w:sz w:val="32"/>
          <w:szCs w:val="32"/>
        </w:rPr>
        <w:t xml:space="preserve"> </w:t>
      </w:r>
      <w:r>
        <w:rPr>
          <w:rFonts w:hint="eastAsia" w:ascii="Times New Roman" w:hAnsi="Times New Roman" w:cs="Times New Roman"/>
          <w:sz w:val="32"/>
          <w:szCs w:val="32"/>
        </w:rPr>
        <w:t xml:space="preserve"> </w:t>
      </w:r>
      <w:r>
        <w:rPr>
          <w:rFonts w:hint="eastAsia" w:ascii="仿宋_GB2312" w:hAnsi="仿宋_GB2312" w:eastAsia="仿宋_GB2312" w:cs="仿宋_GB2312"/>
          <w:color w:val="000000"/>
          <w:sz w:val="32"/>
          <w:szCs w:val="32"/>
        </w:rPr>
        <w:t>各级人民政府和体育、教育、卫生健康等部门应当加强全民健身宣传，普及科学健身知识，增强公民健身意识。</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ascii="Times New Roman" w:hAnsi="Times New Roman" w:cs="Times New Roman"/>
          <w:color w:val="000000"/>
          <w:sz w:val="32"/>
          <w:szCs w:val="32"/>
        </w:rPr>
      </w:pPr>
      <w:r>
        <w:rPr>
          <w:rFonts w:hint="eastAsia" w:ascii="仿宋_GB2312" w:hAnsi="仿宋_GB2312" w:eastAsia="仿宋_GB2312" w:cs="仿宋_GB2312"/>
          <w:color w:val="000000"/>
          <w:sz w:val="32"/>
          <w:szCs w:val="32"/>
        </w:rPr>
        <w:t>广播、电视、报刊、网络等媒体应当开展全民健身的宣传报道，倡导健康文明的生活方式，营造积极健康的全民健身氛围。</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ascii="Times New Roman" w:hAnsi="Times New Roman" w:cs="Times New Roman"/>
          <w:sz w:val="32"/>
          <w:szCs w:val="32"/>
        </w:rPr>
      </w:pPr>
      <w:r>
        <w:rPr>
          <w:rFonts w:hint="eastAsia" w:ascii="黑体" w:eastAsia="黑体"/>
          <w:sz w:val="32"/>
          <w:szCs w:val="32"/>
        </w:rPr>
        <w:t>第八条</w:t>
      </w:r>
      <w:r>
        <w:rPr>
          <w:rFonts w:hint="eastAsia" w:ascii="Times New Roman" w:hAnsi="Times New Roman" w:cs="Times New Roman"/>
          <w:sz w:val="32"/>
          <w:szCs w:val="32"/>
        </w:rPr>
        <w:t xml:space="preserve">  </w:t>
      </w:r>
      <w:r>
        <w:rPr>
          <w:rFonts w:hint="eastAsia" w:ascii="仿宋_GB2312" w:hAnsi="仿宋_GB2312" w:eastAsia="仿宋_GB2312" w:cs="仿宋_GB2312"/>
          <w:color w:val="000000"/>
          <w:sz w:val="32"/>
          <w:szCs w:val="32"/>
        </w:rPr>
        <w:t>鼓励社会力量参与全民健身设施的建设、管理和运营，举办全民健身活动，兴办体育社会组织，开展科学健身指导，提供全民健身市场化产品和服务，对全民健身事业进行捐赠和赞助。</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ascii="Times New Roman" w:hAnsi="Times New Roman" w:cs="Times New Roman"/>
          <w:color w:val="000000"/>
          <w:sz w:val="32"/>
          <w:szCs w:val="32"/>
        </w:rPr>
      </w:pPr>
      <w:r>
        <w:rPr>
          <w:rFonts w:hint="eastAsia" w:ascii="黑体" w:eastAsia="黑体"/>
          <w:sz w:val="32"/>
          <w:szCs w:val="32"/>
        </w:rPr>
        <w:t>第九条</w:t>
      </w:r>
      <w:r>
        <w:rPr>
          <w:rFonts w:ascii="Times New Roman" w:hAnsi="Times New Roman" w:cs="Times New Roman"/>
          <w:sz w:val="32"/>
          <w:szCs w:val="32"/>
        </w:rPr>
        <w:t xml:space="preserve"> </w:t>
      </w:r>
      <w:r>
        <w:rPr>
          <w:rFonts w:hint="eastAsia" w:ascii="Times New Roman" w:hAnsi="Times New Roman" w:cs="Times New Roman"/>
          <w:sz w:val="32"/>
          <w:szCs w:val="32"/>
        </w:rPr>
        <w:t xml:space="preserve"> </w:t>
      </w:r>
      <w:r>
        <w:rPr>
          <w:rFonts w:hint="eastAsia" w:ascii="仿宋_GB2312" w:hAnsi="仿宋_GB2312" w:eastAsia="仿宋_GB2312" w:cs="仿宋_GB2312"/>
          <w:color w:val="000000"/>
          <w:sz w:val="32"/>
          <w:szCs w:val="32"/>
        </w:rPr>
        <w:t>对在全民健身工作中做出突出贡献的组织和个人，按照有关规定给予表彰、奖励。</w:t>
      </w:r>
    </w:p>
    <w:p>
      <w:pPr>
        <w:pStyle w:val="11"/>
        <w:keepNext w:val="0"/>
        <w:keepLines w:val="0"/>
        <w:pageBreakBefore w:val="0"/>
        <w:widowControl w:val="0"/>
        <w:kinsoku/>
        <w:wordWrap/>
        <w:overflowPunct/>
        <w:topLinePunct w:val="0"/>
        <w:autoSpaceDE/>
        <w:bidi w:val="0"/>
        <w:adjustRightInd/>
        <w:snapToGrid/>
        <w:spacing w:line="576" w:lineRule="atLeast"/>
        <w:jc w:val="both"/>
        <w:textAlignment w:val="auto"/>
        <w:rPr>
          <w:sz w:val="32"/>
          <w:szCs w:val="32"/>
        </w:rPr>
      </w:pPr>
    </w:p>
    <w:p>
      <w:pPr>
        <w:pStyle w:val="10"/>
        <w:keepNext w:val="0"/>
        <w:keepLines w:val="0"/>
        <w:pageBreakBefore w:val="0"/>
        <w:widowControl w:val="0"/>
        <w:kinsoku/>
        <w:wordWrap/>
        <w:overflowPunct/>
        <w:topLinePunct w:val="0"/>
        <w:autoSpaceDE/>
        <w:autoSpaceDN w:val="0"/>
        <w:bidi w:val="0"/>
        <w:adjustRightInd/>
        <w:snapToGrid/>
        <w:spacing w:line="576" w:lineRule="atLeast"/>
        <w:jc w:val="center"/>
        <w:textAlignment w:val="auto"/>
        <w:rPr>
          <w:rFonts w:ascii="黑体" w:eastAsia="黑体"/>
          <w:sz w:val="32"/>
          <w:szCs w:val="32"/>
        </w:rPr>
      </w:pPr>
      <w:r>
        <w:rPr>
          <w:rFonts w:hint="eastAsia" w:ascii="黑体" w:eastAsia="黑体"/>
          <w:sz w:val="32"/>
          <w:szCs w:val="32"/>
        </w:rPr>
        <w:t>第二章  全民健身活动</w:t>
      </w:r>
    </w:p>
    <w:p>
      <w:pPr>
        <w:pStyle w:val="11"/>
        <w:keepNext w:val="0"/>
        <w:keepLines w:val="0"/>
        <w:pageBreakBefore w:val="0"/>
        <w:widowControl w:val="0"/>
        <w:kinsoku/>
        <w:wordWrap/>
        <w:overflowPunct/>
        <w:topLinePunct w:val="0"/>
        <w:autoSpaceDE/>
        <w:bidi w:val="0"/>
        <w:adjustRightInd/>
        <w:snapToGrid/>
        <w:spacing w:line="576" w:lineRule="atLeast"/>
        <w:jc w:val="both"/>
        <w:textAlignment w:val="auto"/>
        <w:rPr>
          <w:rFonts w:hint="eastAsia"/>
          <w:sz w:val="32"/>
          <w:szCs w:val="32"/>
        </w:rPr>
      </w:pP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hint="eastAsia" w:ascii="仿宋_GB2312" w:hAnsi="仿宋_GB2312" w:eastAsia="仿宋_GB2312" w:cs="仿宋_GB2312"/>
          <w:color w:val="000000"/>
          <w:sz w:val="32"/>
          <w:szCs w:val="32"/>
        </w:rPr>
      </w:pPr>
      <w:r>
        <w:rPr>
          <w:rFonts w:hint="eastAsia" w:ascii="黑体" w:eastAsia="黑体"/>
          <w:sz w:val="32"/>
          <w:szCs w:val="32"/>
        </w:rPr>
        <w:t>第十条</w:t>
      </w:r>
      <w:r>
        <w:rPr>
          <w:rFonts w:ascii="Times New Roman" w:hAnsi="Times New Roman" w:cs="Times New Roman"/>
          <w:sz w:val="32"/>
          <w:szCs w:val="32"/>
        </w:rPr>
        <w:t xml:space="preserve"> </w:t>
      </w:r>
      <w:r>
        <w:rPr>
          <w:rFonts w:hint="eastAsia" w:ascii="Times New Roman" w:hAnsi="Times New Roman" w:cs="Times New Roman"/>
          <w:sz w:val="32"/>
          <w:szCs w:val="32"/>
        </w:rPr>
        <w:t xml:space="preserve"> </w:t>
      </w:r>
      <w:r>
        <w:rPr>
          <w:rFonts w:hint="eastAsia" w:ascii="仿宋_GB2312" w:hAnsi="仿宋_GB2312" w:eastAsia="仿宋_GB2312" w:cs="仿宋_GB2312"/>
          <w:color w:val="000000"/>
          <w:sz w:val="32"/>
          <w:szCs w:val="32"/>
        </w:rPr>
        <w:t>每年八月为本省全民健身月。</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县级以上人民政府体育主管部门应当在全民健身月加强全民健身宣传，集中组织开展全民健身展演、竞赛等活动，提供免费健身指导、咨询服务。</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ascii="Times New Roman" w:hAnsi="Times New Roman" w:cs="Times New Roman"/>
          <w:sz w:val="32"/>
          <w:szCs w:val="32"/>
        </w:rPr>
      </w:pPr>
      <w:r>
        <w:rPr>
          <w:rFonts w:hint="eastAsia" w:ascii="仿宋_GB2312" w:hAnsi="仿宋_GB2312" w:eastAsia="仿宋_GB2312" w:cs="仿宋_GB2312"/>
          <w:color w:val="000000"/>
          <w:sz w:val="32"/>
          <w:szCs w:val="32"/>
        </w:rPr>
        <w:t>国家机关、企业事业单位和其他组织，应当结合本单位实际在全民健身月组织开展健身活动。</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hint="eastAsia" w:ascii="仿宋_GB2312" w:hAnsi="仿宋_GB2312" w:eastAsia="仿宋_GB2312" w:cs="仿宋_GB2312"/>
          <w:color w:val="000000"/>
          <w:sz w:val="32"/>
          <w:szCs w:val="32"/>
        </w:rPr>
      </w:pPr>
      <w:r>
        <w:rPr>
          <w:rFonts w:hint="eastAsia" w:ascii="黑体" w:eastAsia="黑体"/>
          <w:sz w:val="32"/>
          <w:szCs w:val="32"/>
        </w:rPr>
        <w:t>第十一条</w:t>
      </w:r>
      <w:r>
        <w:rPr>
          <w:rFonts w:ascii="Times New Roman" w:hAnsi="Times New Roman" w:cs="Times New Roman"/>
          <w:sz w:val="32"/>
          <w:szCs w:val="32"/>
        </w:rPr>
        <w:t xml:space="preserve"> </w:t>
      </w:r>
      <w:r>
        <w:rPr>
          <w:rFonts w:hint="eastAsia" w:ascii="Times New Roman" w:hAnsi="Times New Roman" w:cs="Times New Roman"/>
          <w:sz w:val="32"/>
          <w:szCs w:val="32"/>
        </w:rPr>
        <w:t xml:space="preserve"> </w:t>
      </w:r>
      <w:r>
        <w:rPr>
          <w:rFonts w:hint="eastAsia" w:ascii="仿宋_GB2312" w:hAnsi="仿宋_GB2312" w:eastAsia="仿宋_GB2312" w:cs="仿宋_GB2312"/>
          <w:color w:val="000000"/>
          <w:sz w:val="32"/>
          <w:szCs w:val="32"/>
        </w:rPr>
        <w:t>省人民政府每两年举办一届全民健身大会。</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市（州）、县级人民政府应当结合实际，定期举办群众体育比赛活动。</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ascii="Times New Roman" w:hAnsi="Times New Roman" w:cs="Times New Roman"/>
          <w:color w:val="000000"/>
          <w:sz w:val="32"/>
          <w:szCs w:val="32"/>
        </w:rPr>
      </w:pPr>
      <w:r>
        <w:rPr>
          <w:rFonts w:hint="eastAsia" w:ascii="仿宋_GB2312" w:hAnsi="仿宋_GB2312" w:eastAsia="仿宋_GB2312" w:cs="仿宋_GB2312"/>
          <w:color w:val="000000"/>
          <w:sz w:val="32"/>
          <w:szCs w:val="32"/>
        </w:rPr>
        <w:t>县级以上人民政府体育、教育、农业农村、卫生健康等部门，应当组织开展针对学生、农民、老年人等群体的体育</w:t>
      </w:r>
      <w:r>
        <w:rPr>
          <w:rFonts w:hint="eastAsia" w:ascii="仿宋_GB2312" w:hAnsi="仿宋_GB2312" w:eastAsia="仿宋_GB2312" w:cs="仿宋_GB2312"/>
          <w:color w:val="000000"/>
          <w:w w:val="96"/>
          <w:sz w:val="32"/>
          <w:szCs w:val="32"/>
        </w:rPr>
        <w:t>比赛活动，并结合实际开展全民健身网络赛事和居家健身活动。</w:t>
      </w:r>
    </w:p>
    <w:p>
      <w:pPr>
        <w:pStyle w:val="10"/>
        <w:keepNext w:val="0"/>
        <w:keepLines w:val="0"/>
        <w:pageBreakBefore w:val="0"/>
        <w:widowControl w:val="0"/>
        <w:kinsoku/>
        <w:wordWrap/>
        <w:overflowPunct/>
        <w:topLinePunct w:val="0"/>
        <w:autoSpaceDE/>
        <w:bidi w:val="0"/>
        <w:adjustRightInd/>
        <w:snapToGrid/>
        <w:spacing w:line="576" w:lineRule="atLeast"/>
        <w:ind w:firstLine="640"/>
        <w:textAlignment w:val="auto"/>
        <w:rPr>
          <w:rFonts w:ascii="Times New Roman" w:hAnsi="Times New Roman" w:cs="Times New Roman"/>
          <w:color w:val="000000"/>
          <w:sz w:val="32"/>
          <w:szCs w:val="32"/>
        </w:rPr>
      </w:pPr>
      <w:r>
        <w:rPr>
          <w:rFonts w:hint="eastAsia" w:ascii="黑体" w:eastAsia="黑体"/>
          <w:sz w:val="32"/>
          <w:szCs w:val="32"/>
        </w:rPr>
        <w:t>第十二条</w:t>
      </w:r>
      <w:r>
        <w:rPr>
          <w:rFonts w:ascii="Times New Roman" w:hAnsi="Times New Roman" w:cs="Times New Roman"/>
          <w:sz w:val="32"/>
          <w:szCs w:val="32"/>
        </w:rPr>
        <w:t xml:space="preserve"> </w:t>
      </w:r>
      <w:r>
        <w:rPr>
          <w:rFonts w:hint="eastAsia" w:ascii="Times New Roman" w:hAnsi="Times New Roman" w:cs="Times New Roman"/>
          <w:sz w:val="32"/>
          <w:szCs w:val="32"/>
        </w:rPr>
        <w:t xml:space="preserve"> </w:t>
      </w:r>
      <w:r>
        <w:rPr>
          <w:rFonts w:hint="eastAsia" w:ascii="仿宋_GB2312" w:hAnsi="仿宋_GB2312" w:eastAsia="仿宋_GB2312" w:cs="仿宋_GB2312"/>
          <w:color w:val="000000"/>
          <w:sz w:val="32"/>
          <w:szCs w:val="32"/>
        </w:rPr>
        <w:t>各级人民政府和有关部门应当发掘、整理、培育优秀民族、民间、民俗传统体育文化，依法举办赛马会、那达慕大会等特色体育活动，开展赛马、射箭、摔跤、轮子秋、锅庄、押加等传统体育项目。</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ascii="Times New Roman" w:hAnsi="Times New Roman" w:cs="Times New Roman"/>
          <w:color w:val="000000"/>
          <w:sz w:val="32"/>
          <w:szCs w:val="32"/>
        </w:rPr>
      </w:pPr>
      <w:r>
        <w:rPr>
          <w:rFonts w:hint="eastAsia" w:ascii="黑体" w:eastAsia="黑体"/>
          <w:sz w:val="32"/>
          <w:szCs w:val="32"/>
        </w:rPr>
        <w:t>第十三条</w:t>
      </w:r>
      <w:r>
        <w:rPr>
          <w:rFonts w:ascii="Times New Roman" w:hAnsi="Times New Roman" w:cs="Times New Roman"/>
          <w:sz w:val="32"/>
          <w:szCs w:val="32"/>
        </w:rPr>
        <w:t xml:space="preserve"> </w:t>
      </w:r>
      <w:r>
        <w:rPr>
          <w:rFonts w:hint="eastAsia" w:ascii="Times New Roman" w:hAnsi="Times New Roman" w:cs="Times New Roman"/>
          <w:sz w:val="32"/>
          <w:szCs w:val="32"/>
        </w:rPr>
        <w:t xml:space="preserve"> </w:t>
      </w:r>
      <w:r>
        <w:rPr>
          <w:rFonts w:hint="eastAsia" w:ascii="仿宋_GB2312" w:hAnsi="仿宋_GB2312" w:eastAsia="仿宋_GB2312" w:cs="仿宋_GB2312"/>
          <w:color w:val="000000"/>
          <w:sz w:val="32"/>
          <w:szCs w:val="32"/>
        </w:rPr>
        <w:t>各级人民政府和有关部门应当依托当地自然生态资源优势，开发高原户外运动，结合环青海湖国际公路自行车赛、青海国际冰壶精英赛等体育品牌赛事，推广自行车、冰雪、徒步等体育运动。</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ascii="Times New Roman" w:hAnsi="Times New Roman" w:cs="Times New Roman"/>
          <w:color w:val="000000"/>
          <w:sz w:val="32"/>
          <w:szCs w:val="32"/>
        </w:rPr>
      </w:pPr>
      <w:r>
        <w:rPr>
          <w:rFonts w:hint="eastAsia" w:ascii="黑体" w:eastAsia="黑体"/>
          <w:sz w:val="32"/>
          <w:szCs w:val="32"/>
        </w:rPr>
        <w:t>第十四条</w:t>
      </w:r>
      <w:r>
        <w:rPr>
          <w:rFonts w:ascii="Times New Roman" w:hAnsi="Times New Roman" w:cs="Times New Roman"/>
          <w:sz w:val="32"/>
          <w:szCs w:val="32"/>
        </w:rPr>
        <w:t xml:space="preserve"> </w:t>
      </w:r>
      <w:r>
        <w:rPr>
          <w:rFonts w:hint="eastAsia" w:ascii="Times New Roman" w:hAnsi="Times New Roman" w:cs="Times New Roman"/>
          <w:sz w:val="32"/>
          <w:szCs w:val="32"/>
        </w:rPr>
        <w:t xml:space="preserve"> </w:t>
      </w:r>
      <w:r>
        <w:rPr>
          <w:rFonts w:hint="eastAsia" w:ascii="仿宋_GB2312" w:hAnsi="仿宋_GB2312" w:eastAsia="仿宋_GB2312" w:cs="仿宋_GB2312"/>
          <w:color w:val="000000"/>
          <w:sz w:val="32"/>
          <w:szCs w:val="32"/>
        </w:rPr>
        <w:t>县级以上人民政府应当加强全民健身对外交流合作，发挥地域优势，推进与“一带一路”沿线地区开展特色健身赛事活动。</w:t>
      </w:r>
      <w:r>
        <w:rPr>
          <w:rFonts w:ascii="Times New Roman" w:hAnsi="Times New Roman" w:cs="Times New Roman"/>
          <w:sz w:val="32"/>
          <w:szCs w:val="32"/>
        </w:rPr>
        <w:t xml:space="preserve"> </w:t>
      </w:r>
    </w:p>
    <w:p>
      <w:pPr>
        <w:pStyle w:val="10"/>
        <w:keepNext w:val="0"/>
        <w:keepLines w:val="0"/>
        <w:pageBreakBefore w:val="0"/>
        <w:widowControl w:val="0"/>
        <w:kinsoku/>
        <w:wordWrap/>
        <w:overflowPunct/>
        <w:topLinePunct w:val="0"/>
        <w:autoSpaceDE/>
        <w:bidi w:val="0"/>
        <w:adjustRightInd/>
        <w:snapToGrid/>
        <w:spacing w:line="576" w:lineRule="atLeast"/>
        <w:ind w:firstLine="640"/>
        <w:textAlignment w:val="auto"/>
        <w:rPr>
          <w:rFonts w:ascii="Times New Roman" w:hAnsi="Times New Roman" w:cs="Times New Roman"/>
          <w:sz w:val="32"/>
          <w:szCs w:val="32"/>
        </w:rPr>
      </w:pPr>
      <w:r>
        <w:rPr>
          <w:rFonts w:hint="eastAsia" w:ascii="黑体" w:eastAsia="黑体"/>
          <w:sz w:val="32"/>
          <w:szCs w:val="32"/>
        </w:rPr>
        <w:t>第十五条</w:t>
      </w:r>
      <w:r>
        <w:rPr>
          <w:rFonts w:ascii="Times New Roman" w:hAnsi="Times New Roman" w:cs="Times New Roman"/>
          <w:sz w:val="32"/>
          <w:szCs w:val="32"/>
        </w:rPr>
        <w:t xml:space="preserve"> </w:t>
      </w:r>
      <w:r>
        <w:rPr>
          <w:rFonts w:hint="eastAsia" w:ascii="Times New Roman" w:hAnsi="Times New Roman" w:cs="Times New Roman"/>
          <w:sz w:val="32"/>
          <w:szCs w:val="32"/>
        </w:rPr>
        <w:t xml:space="preserve"> </w:t>
      </w:r>
      <w:r>
        <w:rPr>
          <w:rFonts w:hint="eastAsia" w:ascii="仿宋_GB2312" w:hAnsi="仿宋_GB2312" w:eastAsia="仿宋_GB2312" w:cs="仿宋_GB2312"/>
          <w:color w:val="000000"/>
          <w:sz w:val="32"/>
          <w:szCs w:val="32"/>
        </w:rPr>
        <w:t>国家机关、企业事业单位和其他组织应当根据各自特点组织开展形式多样的健身活动，支持职工参加体育锻炼测验、体质监测等活动。</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hint="eastAsia" w:ascii="仿宋_GB2312" w:hAnsi="仿宋_GB2312" w:eastAsia="仿宋_GB2312" w:cs="仿宋_GB2312"/>
          <w:color w:val="000000"/>
          <w:sz w:val="32"/>
          <w:szCs w:val="32"/>
        </w:rPr>
      </w:pPr>
      <w:r>
        <w:rPr>
          <w:rFonts w:hint="eastAsia" w:ascii="黑体" w:eastAsia="黑体"/>
          <w:sz w:val="32"/>
          <w:szCs w:val="32"/>
        </w:rPr>
        <w:t>第十六条</w:t>
      </w:r>
      <w:r>
        <w:rPr>
          <w:rFonts w:ascii="Times New Roman" w:hAnsi="Times New Roman" w:cs="Times New Roman"/>
          <w:sz w:val="32"/>
          <w:szCs w:val="32"/>
        </w:rPr>
        <w:t xml:space="preserve"> </w:t>
      </w:r>
      <w:r>
        <w:rPr>
          <w:rFonts w:hint="eastAsia" w:ascii="Times New Roman" w:hAnsi="Times New Roman" w:cs="Times New Roman"/>
          <w:sz w:val="32"/>
          <w:szCs w:val="32"/>
        </w:rPr>
        <w:t xml:space="preserve"> </w:t>
      </w:r>
      <w:r>
        <w:rPr>
          <w:rFonts w:hint="eastAsia" w:ascii="仿宋_GB2312" w:hAnsi="仿宋_GB2312" w:eastAsia="仿宋_GB2312" w:cs="仿宋_GB2312"/>
          <w:color w:val="000000"/>
          <w:sz w:val="32"/>
          <w:szCs w:val="32"/>
        </w:rPr>
        <w:t>学校应当按照法律法规规定开齐开足体育课，不得占用或者变相占用体育课程时间。</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学校应当根据学生的年龄、性别、身体状况和兴趣爱好开展体育活动，指导学生掌握科学的健身知识、技能和方法，培养学生良好的体育锻炼习惯和健康生活方式，提高学生的身体素质。</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ascii="Times New Roman" w:hAnsi="Times New Roman" w:cs="Times New Roman"/>
          <w:color w:val="000000"/>
          <w:sz w:val="32"/>
          <w:szCs w:val="32"/>
        </w:rPr>
      </w:pPr>
      <w:r>
        <w:rPr>
          <w:rFonts w:hint="eastAsia" w:ascii="仿宋_GB2312" w:hAnsi="仿宋_GB2312" w:eastAsia="仿宋_GB2312" w:cs="仿宋_GB2312"/>
          <w:color w:val="000000"/>
          <w:sz w:val="32"/>
          <w:szCs w:val="32"/>
        </w:rPr>
        <w:t>学校可以根据实际将民间传统体育项目纳入体育课程内容，开展民间传统体育健身活动。</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hint="eastAsia" w:ascii="仿宋_GB2312" w:hAnsi="仿宋_GB2312" w:eastAsia="仿宋_GB2312" w:cs="仿宋_GB2312"/>
          <w:color w:val="000000"/>
          <w:sz w:val="32"/>
          <w:szCs w:val="32"/>
        </w:rPr>
      </w:pPr>
      <w:r>
        <w:rPr>
          <w:rFonts w:hint="eastAsia" w:ascii="黑体" w:eastAsia="黑体"/>
          <w:sz w:val="32"/>
          <w:szCs w:val="32"/>
        </w:rPr>
        <w:t>第十七条</w:t>
      </w:r>
      <w:r>
        <w:rPr>
          <w:rFonts w:hint="eastAsia" w:ascii="Times New Roman" w:hAnsi="Times New Roman" w:cs="Times New Roman"/>
          <w:sz w:val="32"/>
          <w:szCs w:val="32"/>
        </w:rPr>
        <w:t xml:space="preserve">  </w:t>
      </w:r>
      <w:r>
        <w:rPr>
          <w:rFonts w:hint="eastAsia" w:ascii="仿宋_GB2312" w:hAnsi="仿宋_GB2312" w:eastAsia="仿宋_GB2312" w:cs="仿宋_GB2312"/>
          <w:color w:val="000000"/>
          <w:sz w:val="32"/>
          <w:szCs w:val="32"/>
        </w:rPr>
        <w:t>鼓励居民委员会结合社区实际创新健身项目和方法，举办覆盖广泛、灵活多样、便于参与的社区运动会等健身活动，组织开展经常性、趣味性健身活动。</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sz w:val="32"/>
          <w:szCs w:val="32"/>
        </w:rPr>
      </w:pPr>
      <w:r>
        <w:rPr>
          <w:rFonts w:hint="eastAsia" w:ascii="仿宋_GB2312" w:hAnsi="仿宋_GB2312" w:eastAsia="仿宋_GB2312" w:cs="仿宋_GB2312"/>
          <w:color w:val="000000"/>
          <w:sz w:val="32"/>
          <w:szCs w:val="32"/>
        </w:rPr>
        <w:t>鼓励村民委员会结合农村生产劳动和生活特点，利用农民丰收节、传统节日等组织开展农民运动会、趣味运动会等健身活动。</w:t>
      </w:r>
    </w:p>
    <w:p>
      <w:pPr>
        <w:pStyle w:val="10"/>
        <w:keepNext w:val="0"/>
        <w:keepLines w:val="0"/>
        <w:pageBreakBefore w:val="0"/>
        <w:widowControl w:val="0"/>
        <w:kinsoku/>
        <w:wordWrap/>
        <w:overflowPunct/>
        <w:topLinePunct w:val="0"/>
        <w:autoSpaceDE/>
        <w:bidi w:val="0"/>
        <w:adjustRightInd/>
        <w:snapToGrid/>
        <w:spacing w:line="576" w:lineRule="atLeast"/>
        <w:ind w:firstLine="640"/>
        <w:textAlignment w:val="auto"/>
        <w:rPr>
          <w:rFonts w:ascii="Times New Roman" w:hAnsi="Times New Roman" w:cs="Times New Roman"/>
          <w:color w:val="000000"/>
          <w:sz w:val="32"/>
          <w:szCs w:val="32"/>
        </w:rPr>
      </w:pPr>
      <w:r>
        <w:rPr>
          <w:rFonts w:hint="eastAsia" w:ascii="黑体" w:eastAsia="黑体"/>
          <w:sz w:val="32"/>
          <w:szCs w:val="32"/>
        </w:rPr>
        <w:t>第十八条</w:t>
      </w:r>
      <w:r>
        <w:rPr>
          <w:rFonts w:ascii="Times New Roman" w:hAnsi="Times New Roman" w:cs="Times New Roman"/>
          <w:sz w:val="32"/>
          <w:szCs w:val="32"/>
        </w:rPr>
        <w:t xml:space="preserve"> </w:t>
      </w:r>
      <w:r>
        <w:rPr>
          <w:rFonts w:hint="eastAsia" w:ascii="Times New Roman" w:hAnsi="Times New Roman" w:cs="Times New Roman"/>
          <w:sz w:val="32"/>
          <w:szCs w:val="32"/>
        </w:rPr>
        <w:t xml:space="preserve"> </w:t>
      </w:r>
      <w:r>
        <w:rPr>
          <w:rFonts w:hint="eastAsia" w:ascii="仿宋_GB2312" w:hAnsi="仿宋_GB2312" w:eastAsia="仿宋_GB2312" w:cs="仿宋_GB2312"/>
          <w:color w:val="000000"/>
          <w:sz w:val="32"/>
          <w:szCs w:val="32"/>
        </w:rPr>
        <w:t>体育总会、行业体育协会、单项体育协会、体育俱乐部等体育组织，应当依照法律法规和章程，宣传全民健身知识，培育发展健身队伍，组织开展全民健身活动，指导公众科学健身。</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hint="eastAsia" w:ascii="仿宋_GB2312" w:hAnsi="仿宋_GB2312" w:eastAsia="仿宋_GB2312" w:cs="仿宋_GB2312"/>
          <w:color w:val="000000"/>
          <w:sz w:val="32"/>
          <w:szCs w:val="32"/>
        </w:rPr>
      </w:pPr>
      <w:r>
        <w:rPr>
          <w:rFonts w:hint="eastAsia" w:ascii="黑体" w:eastAsia="黑体"/>
          <w:sz w:val="32"/>
          <w:szCs w:val="32"/>
        </w:rPr>
        <w:t>第十九条</w:t>
      </w:r>
      <w:r>
        <w:rPr>
          <w:rFonts w:ascii="Times New Roman" w:hAnsi="Times New Roman" w:cs="Times New Roman"/>
          <w:sz w:val="32"/>
          <w:szCs w:val="32"/>
        </w:rPr>
        <w:t xml:space="preserve"> </w:t>
      </w:r>
      <w:r>
        <w:rPr>
          <w:rFonts w:hint="eastAsia" w:ascii="Times New Roman" w:hAnsi="Times New Roman" w:cs="Times New Roman"/>
          <w:sz w:val="32"/>
          <w:szCs w:val="32"/>
        </w:rPr>
        <w:t xml:space="preserve"> </w:t>
      </w:r>
      <w:r>
        <w:rPr>
          <w:rFonts w:hint="eastAsia" w:ascii="仿宋_GB2312" w:hAnsi="仿宋_GB2312" w:eastAsia="仿宋_GB2312" w:cs="仿宋_GB2312"/>
          <w:color w:val="000000"/>
          <w:sz w:val="32"/>
          <w:szCs w:val="32"/>
        </w:rPr>
        <w:t>县级以上人民政府体育、公安、应急管理、市场监管等部门按照各自职责对依法开展的大型全民健身活动进行监督管理。</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ascii="Times New Roman" w:hAnsi="Times New Roman" w:cs="Times New Roman"/>
          <w:color w:val="000000"/>
          <w:sz w:val="32"/>
          <w:szCs w:val="32"/>
        </w:rPr>
      </w:pPr>
      <w:r>
        <w:rPr>
          <w:rFonts w:hint="eastAsia" w:ascii="仿宋_GB2312" w:hAnsi="仿宋_GB2312" w:eastAsia="仿宋_GB2312" w:cs="仿宋_GB2312"/>
          <w:color w:val="000000"/>
          <w:sz w:val="32"/>
          <w:szCs w:val="32"/>
        </w:rPr>
        <w:t>全民健身赛事活动的组织者和承办者应当遵守安全管理相关规定，根据赛事活动规模和运动项目特点，制定相应的安全防范工作方案和应急预案，提供物资、医疗、保险等服务，保障赛事活动安全。</w:t>
      </w:r>
    </w:p>
    <w:p>
      <w:pPr>
        <w:pStyle w:val="10"/>
        <w:keepNext w:val="0"/>
        <w:keepLines w:val="0"/>
        <w:pageBreakBefore w:val="0"/>
        <w:widowControl w:val="0"/>
        <w:kinsoku/>
        <w:wordWrap/>
        <w:overflowPunct/>
        <w:topLinePunct w:val="0"/>
        <w:autoSpaceDE/>
        <w:bidi w:val="0"/>
        <w:adjustRightInd/>
        <w:snapToGrid/>
        <w:spacing w:line="576" w:lineRule="atLeast"/>
        <w:ind w:firstLine="640"/>
        <w:textAlignment w:val="auto"/>
        <w:rPr>
          <w:rFonts w:ascii="Times New Roman" w:hAnsi="Times New Roman" w:cs="Times New Roman"/>
          <w:color w:val="000000"/>
          <w:sz w:val="32"/>
          <w:szCs w:val="32"/>
        </w:rPr>
      </w:pPr>
      <w:r>
        <w:rPr>
          <w:rFonts w:hint="eastAsia" w:ascii="黑体" w:eastAsia="黑体"/>
          <w:sz w:val="32"/>
          <w:szCs w:val="32"/>
        </w:rPr>
        <w:t>第二十条</w:t>
      </w:r>
      <w:r>
        <w:rPr>
          <w:rFonts w:ascii="Times New Roman" w:hAnsi="Times New Roman" w:cs="Times New Roman"/>
          <w:sz w:val="32"/>
          <w:szCs w:val="32"/>
        </w:rPr>
        <w:t xml:space="preserve"> </w:t>
      </w:r>
      <w:r>
        <w:rPr>
          <w:rFonts w:hint="eastAsia" w:ascii="Times New Roman" w:hAnsi="Times New Roman" w:cs="Times New Roman"/>
          <w:sz w:val="32"/>
          <w:szCs w:val="32"/>
        </w:rPr>
        <w:t xml:space="preserve"> </w:t>
      </w:r>
      <w:r>
        <w:rPr>
          <w:rFonts w:hint="eastAsia" w:ascii="仿宋_GB2312" w:hAnsi="仿宋_GB2312" w:eastAsia="仿宋_GB2312" w:cs="仿宋_GB2312"/>
          <w:color w:val="000000"/>
          <w:sz w:val="32"/>
          <w:szCs w:val="32"/>
        </w:rPr>
        <w:t>任何组织或者个人在全民健身活动中应当遵守法律法规和社会公德，遵守健身活动安全管理制度，不得利用健身活动进行赌博或者宣扬封建迷信，不得破坏健身设施，不得扰乱公共秩序，不得侵害他人合法权益、影响他人的正常工作和生活。</w:t>
      </w:r>
    </w:p>
    <w:p>
      <w:pPr>
        <w:pStyle w:val="11"/>
        <w:keepNext w:val="0"/>
        <w:keepLines w:val="0"/>
        <w:pageBreakBefore w:val="0"/>
        <w:widowControl w:val="0"/>
        <w:kinsoku/>
        <w:wordWrap/>
        <w:overflowPunct/>
        <w:topLinePunct w:val="0"/>
        <w:autoSpaceDE/>
        <w:bidi w:val="0"/>
        <w:adjustRightInd/>
        <w:snapToGrid/>
        <w:spacing w:line="576" w:lineRule="atLeast"/>
        <w:jc w:val="both"/>
        <w:textAlignment w:val="auto"/>
      </w:pPr>
    </w:p>
    <w:p>
      <w:pPr>
        <w:pStyle w:val="10"/>
        <w:keepNext w:val="0"/>
        <w:keepLines w:val="0"/>
        <w:pageBreakBefore w:val="0"/>
        <w:widowControl w:val="0"/>
        <w:kinsoku/>
        <w:wordWrap/>
        <w:overflowPunct/>
        <w:topLinePunct w:val="0"/>
        <w:autoSpaceDE/>
        <w:autoSpaceDN w:val="0"/>
        <w:bidi w:val="0"/>
        <w:adjustRightInd/>
        <w:snapToGrid/>
        <w:spacing w:line="576" w:lineRule="atLeast"/>
        <w:jc w:val="center"/>
        <w:textAlignment w:val="auto"/>
        <w:rPr>
          <w:rFonts w:ascii="黑体" w:eastAsia="黑体"/>
          <w:sz w:val="32"/>
          <w:szCs w:val="32"/>
        </w:rPr>
      </w:pPr>
      <w:r>
        <w:rPr>
          <w:rFonts w:hint="eastAsia" w:ascii="黑体" w:eastAsia="黑体"/>
          <w:sz w:val="32"/>
          <w:szCs w:val="32"/>
        </w:rPr>
        <w:t>第三章  全民健身设施</w:t>
      </w:r>
    </w:p>
    <w:p>
      <w:pPr>
        <w:pStyle w:val="11"/>
        <w:keepNext w:val="0"/>
        <w:keepLines w:val="0"/>
        <w:pageBreakBefore w:val="0"/>
        <w:widowControl w:val="0"/>
        <w:kinsoku/>
        <w:wordWrap/>
        <w:overflowPunct/>
        <w:topLinePunct w:val="0"/>
        <w:autoSpaceDE/>
        <w:bidi w:val="0"/>
        <w:adjustRightInd/>
        <w:snapToGrid/>
        <w:spacing w:line="576" w:lineRule="atLeast"/>
        <w:jc w:val="both"/>
        <w:textAlignment w:val="auto"/>
        <w:rPr>
          <w:rFonts w:hint="eastAsia"/>
        </w:rPr>
      </w:pPr>
    </w:p>
    <w:p>
      <w:pPr>
        <w:pStyle w:val="11"/>
        <w:keepNext w:val="0"/>
        <w:keepLines w:val="0"/>
        <w:pageBreakBefore w:val="0"/>
        <w:widowControl w:val="0"/>
        <w:kinsoku/>
        <w:wordWrap/>
        <w:overflowPunct/>
        <w:topLinePunct w:val="0"/>
        <w:autoSpaceDE/>
        <w:bidi w:val="0"/>
        <w:adjustRightInd/>
        <w:snapToGrid/>
        <w:spacing w:line="576" w:lineRule="atLeast"/>
        <w:ind w:firstLine="640"/>
        <w:jc w:val="both"/>
        <w:textAlignment w:val="auto"/>
        <w:rPr>
          <w:rFonts w:ascii="仿宋_GB2312" w:eastAsia="仿宋_GB2312"/>
          <w:sz w:val="32"/>
          <w:szCs w:val="32"/>
        </w:rPr>
      </w:pPr>
      <w:r>
        <w:rPr>
          <w:rFonts w:hint="eastAsia" w:ascii="黑体" w:eastAsia="黑体"/>
          <w:sz w:val="32"/>
          <w:szCs w:val="32"/>
        </w:rPr>
        <w:t>第二十一条</w:t>
      </w:r>
      <w:r>
        <w:rPr>
          <w:rFonts w:ascii="Times New Roman" w:hAnsi="Times New Roman" w:eastAsia="宋体" w:cs="Times New Roman"/>
          <w:color w:val="auto"/>
          <w:kern w:val="0"/>
          <w:sz w:val="32"/>
          <w:szCs w:val="32"/>
          <w:lang w:val="en-US" w:eastAsia="zh-CN" w:bidi="ar-SA"/>
        </w:rPr>
        <w:t xml:space="preserve"> </w:t>
      </w:r>
      <w:r>
        <w:rPr>
          <w:rFonts w:hint="eastAsia" w:ascii="Times New Roman" w:hAnsi="Times New Roman" w:eastAsia="宋体" w:cs="Times New Roman"/>
          <w:color w:val="auto"/>
          <w:kern w:val="0"/>
          <w:sz w:val="32"/>
          <w:szCs w:val="32"/>
          <w:lang w:val="en-US" w:eastAsia="zh-CN" w:bidi="ar-SA"/>
        </w:rPr>
        <w:t xml:space="preserve"> </w:t>
      </w:r>
      <w:r>
        <w:rPr>
          <w:rFonts w:hint="eastAsia" w:ascii="仿宋_GB2312" w:hAnsi="仿宋_GB2312" w:eastAsia="仿宋_GB2312" w:cs="仿宋_GB2312"/>
          <w:color w:val="000000"/>
          <w:kern w:val="0"/>
          <w:sz w:val="32"/>
          <w:szCs w:val="32"/>
          <w:lang w:val="en-US" w:eastAsia="zh-CN" w:bidi="ar-SA"/>
        </w:rPr>
        <w:t>县级以上人民政府应当遵循城乡兼顾、合理布局、安全规范、方便利用的原则，加强全民健身设施的规划、建设和管理，优先建设贴近社区（乡村）、方便可达的全民健身设施，并统筹考虑应急避难避险等功能设置。</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hint="eastAsia" w:ascii="仿宋_GB2312" w:hAnsi="仿宋_GB2312" w:eastAsia="仿宋_GB2312" w:cs="仿宋_GB2312"/>
          <w:color w:val="000000"/>
          <w:sz w:val="32"/>
          <w:szCs w:val="32"/>
        </w:rPr>
      </w:pPr>
      <w:r>
        <w:rPr>
          <w:rFonts w:hint="eastAsia" w:ascii="黑体" w:eastAsia="黑体"/>
          <w:sz w:val="32"/>
          <w:szCs w:val="32"/>
        </w:rPr>
        <w:t>第二十二条</w:t>
      </w:r>
      <w:r>
        <w:rPr>
          <w:rFonts w:ascii="Times New Roman" w:hAnsi="Times New Roman" w:cs="Times New Roman"/>
          <w:sz w:val="32"/>
          <w:szCs w:val="32"/>
        </w:rPr>
        <w:t xml:space="preserve"> </w:t>
      </w:r>
      <w:r>
        <w:rPr>
          <w:rFonts w:hint="eastAsia" w:ascii="Times New Roman" w:hAnsi="Times New Roman" w:cs="Times New Roman"/>
          <w:sz w:val="32"/>
          <w:szCs w:val="32"/>
        </w:rPr>
        <w:t xml:space="preserve"> </w:t>
      </w:r>
      <w:r>
        <w:rPr>
          <w:rFonts w:hint="eastAsia" w:ascii="仿宋_GB2312" w:hAnsi="仿宋_GB2312" w:eastAsia="仿宋_GB2312" w:cs="仿宋_GB2312"/>
          <w:color w:val="000000"/>
          <w:sz w:val="32"/>
          <w:szCs w:val="32"/>
        </w:rPr>
        <w:t>县级以上人民政府应当按照有关规定，将公共体育设施建设用地纳入国土空间规划，未经法定程序不得变更。</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ascii="Times New Roman" w:hAnsi="Times New Roman" w:cs="Times New Roman"/>
          <w:color w:val="000000"/>
          <w:sz w:val="32"/>
          <w:szCs w:val="32"/>
        </w:rPr>
      </w:pPr>
      <w:r>
        <w:rPr>
          <w:rFonts w:hint="eastAsia" w:ascii="仿宋_GB2312" w:hAnsi="仿宋_GB2312" w:eastAsia="仿宋_GB2312" w:cs="仿宋_GB2312"/>
          <w:color w:val="000000"/>
          <w:sz w:val="32"/>
          <w:szCs w:val="32"/>
        </w:rPr>
        <w:t>公共体育设施的规划设计和竣工验收，应当征求本级人民政府体育主管部门意见。</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hint="eastAsia" w:ascii="仿宋_GB2312" w:hAnsi="仿宋_GB2312" w:eastAsia="仿宋_GB2312" w:cs="仿宋_GB2312"/>
          <w:color w:val="000000"/>
          <w:sz w:val="32"/>
          <w:szCs w:val="32"/>
        </w:rPr>
      </w:pPr>
      <w:r>
        <w:rPr>
          <w:rFonts w:hint="eastAsia" w:ascii="黑体" w:eastAsia="黑体"/>
          <w:sz w:val="32"/>
          <w:szCs w:val="32"/>
        </w:rPr>
        <w:t>第二十三条</w:t>
      </w:r>
      <w:r>
        <w:rPr>
          <w:rFonts w:hint="eastAsia" w:ascii="Times New Roman" w:hAnsi="Times New Roman" w:cs="Times New Roman"/>
          <w:sz w:val="32"/>
          <w:szCs w:val="32"/>
        </w:rPr>
        <w:t xml:space="preserve">  </w:t>
      </w:r>
      <w:r>
        <w:rPr>
          <w:rFonts w:hint="eastAsia" w:ascii="仿宋_GB2312" w:hAnsi="仿宋_GB2312" w:eastAsia="仿宋_GB2312" w:cs="仿宋_GB2312"/>
          <w:color w:val="000000"/>
          <w:sz w:val="32"/>
          <w:szCs w:val="32"/>
        </w:rPr>
        <w:t>县级以上人民政府及其有关部门应当根据规划建设体育公园、全民健身中心、多功能运动场、球类场地等公共体育设施，并合理利用公园、绿地、广场、河湖沿岸、城市道路、边角地等区域，建设健身步道、登山步道、自行车道等公共体育设施。</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ascii="Times New Roman" w:hAnsi="Times New Roman" w:cs="Times New Roman"/>
          <w:color w:val="000000"/>
          <w:sz w:val="32"/>
          <w:szCs w:val="32"/>
        </w:rPr>
      </w:pPr>
      <w:r>
        <w:rPr>
          <w:rFonts w:hint="eastAsia" w:ascii="仿宋_GB2312" w:hAnsi="仿宋_GB2312" w:eastAsia="仿宋_GB2312" w:cs="仿宋_GB2312"/>
          <w:color w:val="000000"/>
          <w:sz w:val="32"/>
          <w:szCs w:val="32"/>
        </w:rPr>
        <w:t>公共体育设施的建设应当符合国家无障碍环境建设标</w:t>
      </w:r>
      <w:r>
        <w:rPr>
          <w:rFonts w:hint="eastAsia" w:ascii="仿宋_GB2312" w:hAnsi="仿宋_GB2312" w:eastAsia="仿宋_GB2312" w:cs="仿宋_GB2312"/>
          <w:color w:val="000000"/>
          <w:w w:val="98"/>
          <w:sz w:val="32"/>
          <w:szCs w:val="32"/>
        </w:rPr>
        <w:t>准，并满足未成年人、残疾人、老年人等群体健身的特殊需求。</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ascii="Times New Roman" w:hAnsi="Times New Roman" w:cs="Times New Roman"/>
          <w:color w:val="000000"/>
          <w:sz w:val="32"/>
          <w:szCs w:val="32"/>
        </w:rPr>
      </w:pPr>
      <w:r>
        <w:rPr>
          <w:rFonts w:hint="eastAsia" w:ascii="黑体" w:eastAsia="黑体"/>
          <w:sz w:val="32"/>
          <w:szCs w:val="32"/>
        </w:rPr>
        <w:t>第二十四条</w:t>
      </w:r>
      <w:r>
        <w:rPr>
          <w:rFonts w:hint="eastAsia" w:ascii="Times New Roman" w:hAnsi="Times New Roman" w:cs="Times New Roman"/>
          <w:sz w:val="32"/>
          <w:szCs w:val="32"/>
        </w:rPr>
        <w:t xml:space="preserve">  </w:t>
      </w:r>
      <w:r>
        <w:rPr>
          <w:rFonts w:hint="eastAsia" w:ascii="仿宋_GB2312" w:hAnsi="仿宋_GB2312" w:eastAsia="仿宋_GB2312" w:cs="仿宋_GB2312"/>
          <w:color w:val="000000"/>
          <w:sz w:val="32"/>
          <w:szCs w:val="32"/>
        </w:rPr>
        <w:t>教育主管部门和学校应当按照国家和本省规定的学校体育设施配备标准，建设、配置体育场地、专用教室、器材和设备等，并定期进行检查维护，适时予以更新，满足课程教学和学生体育实践活动需求。</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hint="eastAsia" w:ascii="仿宋_GB2312" w:hAnsi="仿宋_GB2312" w:eastAsia="仿宋_GB2312" w:cs="仿宋_GB2312"/>
          <w:color w:val="000000"/>
          <w:sz w:val="32"/>
          <w:szCs w:val="32"/>
        </w:rPr>
      </w:pPr>
      <w:r>
        <w:rPr>
          <w:rFonts w:hint="eastAsia" w:ascii="黑体" w:eastAsia="黑体"/>
          <w:color w:val="000000"/>
          <w:sz w:val="32"/>
          <w:szCs w:val="32"/>
        </w:rPr>
        <w:t>第二十五条</w:t>
      </w:r>
      <w:r>
        <w:rPr>
          <w:rFonts w:ascii="Times New Roman" w:hAnsi="Times New Roman" w:cs="Times New Roman"/>
          <w:sz w:val="32"/>
          <w:szCs w:val="32"/>
        </w:rPr>
        <w:t xml:space="preserve"> </w:t>
      </w:r>
      <w:r>
        <w:rPr>
          <w:rFonts w:hint="eastAsia" w:ascii="Times New Roman" w:hAnsi="Times New Roman" w:cs="Times New Roman"/>
          <w:sz w:val="32"/>
          <w:szCs w:val="32"/>
        </w:rPr>
        <w:t xml:space="preserve"> </w:t>
      </w:r>
      <w:r>
        <w:rPr>
          <w:rFonts w:hint="eastAsia" w:ascii="仿宋_GB2312" w:hAnsi="仿宋_GB2312" w:eastAsia="仿宋_GB2312" w:cs="仿宋_GB2312"/>
          <w:color w:val="000000"/>
          <w:sz w:val="32"/>
          <w:szCs w:val="32"/>
        </w:rPr>
        <w:t>新建、改建、扩建居民住宅区，应当按照有关规定规划和建设相应的体育设施，并与居民住宅区主体工程同时设计、同时施工、同时投入使用。</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ascii="Times New Roman" w:hAnsi="Times New Roman" w:cs="Times New Roman"/>
          <w:color w:val="000000"/>
          <w:spacing w:val="6"/>
          <w:sz w:val="32"/>
          <w:szCs w:val="32"/>
        </w:rPr>
      </w:pPr>
      <w:r>
        <w:rPr>
          <w:rFonts w:hint="eastAsia" w:ascii="仿宋_GB2312" w:hAnsi="仿宋_GB2312" w:eastAsia="仿宋_GB2312" w:cs="仿宋_GB2312"/>
          <w:color w:val="000000"/>
          <w:sz w:val="32"/>
          <w:szCs w:val="32"/>
        </w:rPr>
        <w:t>既有居民住宅区体育设施未达到建设标准的，县级以上人民政府应当结合老旧小区改造，统筹配建体育设施。</w:t>
      </w:r>
    </w:p>
    <w:p>
      <w:pPr>
        <w:pStyle w:val="5"/>
        <w:keepNext w:val="0"/>
        <w:keepLines w:val="0"/>
        <w:pageBreakBefore w:val="0"/>
        <w:widowControl w:val="0"/>
        <w:kinsoku/>
        <w:wordWrap/>
        <w:overflowPunct/>
        <w:topLinePunct w:val="0"/>
        <w:autoSpaceDE/>
        <w:bidi w:val="0"/>
        <w:adjustRightInd/>
        <w:snapToGrid/>
        <w:spacing w:line="576" w:lineRule="atLeast"/>
        <w:ind w:left="0" w:leftChars="0" w:firstLine="648" w:firstLineChars="200"/>
        <w:textAlignment w:val="auto"/>
        <w:rPr>
          <w:rFonts w:hint="eastAsia" w:ascii="仿宋_GB2312" w:hAnsi="仿宋_GB2312" w:eastAsia="仿宋_GB2312" w:cs="仿宋_GB2312"/>
          <w:b w:val="0"/>
          <w:bCs w:val="0"/>
          <w:color w:val="000000"/>
          <w:kern w:val="0"/>
          <w:sz w:val="32"/>
          <w:szCs w:val="32"/>
          <w:lang w:val="en-US" w:eastAsia="zh-CN" w:bidi="ar-SA"/>
        </w:rPr>
      </w:pPr>
      <w:r>
        <w:rPr>
          <w:rFonts w:hint="eastAsia" w:ascii="黑体" w:eastAsia="黑体"/>
          <w:b w:val="0"/>
          <w:bCs w:val="0"/>
          <w:color w:val="000000"/>
          <w:spacing w:val="6"/>
          <w:sz w:val="32"/>
          <w:szCs w:val="32"/>
        </w:rPr>
        <w:t>第二十六条</w:t>
      </w:r>
      <w:r>
        <w:rPr>
          <w:rFonts w:hint="eastAsia" w:ascii="Times New Roman" w:hAnsi="Times New Roman" w:eastAsia="宋体" w:cs="Times New Roman"/>
          <w:b w:val="0"/>
          <w:bCs w:val="0"/>
          <w:kern w:val="0"/>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CN" w:bidi="ar-SA"/>
        </w:rPr>
        <w:t>政府投资兴建的公共体育设施，由政府及其体育主管部门确定的单位负责管理和维护；社会力量投资兴建的全民健身设施，由其建设或者管理单位负责管理和维护；捐赠的全民健身设施，由受捐赠单位负责管理和维护。</w:t>
      </w:r>
    </w:p>
    <w:p>
      <w:pPr>
        <w:pStyle w:val="5"/>
        <w:keepNext w:val="0"/>
        <w:keepLines w:val="0"/>
        <w:pageBreakBefore w:val="0"/>
        <w:widowControl w:val="0"/>
        <w:kinsoku/>
        <w:wordWrap/>
        <w:overflowPunct/>
        <w:topLinePunct w:val="0"/>
        <w:autoSpaceDE/>
        <w:bidi w:val="0"/>
        <w:adjustRightInd/>
        <w:snapToGrid/>
        <w:spacing w:line="576" w:lineRule="atLeast"/>
        <w:ind w:left="0" w:leftChars="0" w:firstLine="624" w:firstLineChars="200"/>
        <w:textAlignment w:val="auto"/>
        <w:rPr>
          <w:rFonts w:hint="eastAsia"/>
        </w:rPr>
      </w:pPr>
      <w:r>
        <w:rPr>
          <w:rFonts w:hint="eastAsia" w:ascii="仿宋_GB2312" w:hAnsi="仿宋_GB2312" w:eastAsia="仿宋_GB2312" w:cs="仿宋_GB2312"/>
          <w:b w:val="0"/>
          <w:bCs w:val="0"/>
          <w:color w:val="000000"/>
          <w:kern w:val="0"/>
          <w:sz w:val="32"/>
          <w:szCs w:val="32"/>
          <w:lang w:val="en-US" w:eastAsia="zh-CN" w:bidi="ar-SA"/>
        </w:rPr>
        <w:t>居民住宅区的全民健身设施由业主共同决定自行管理，或者由物业服务企业或者其他管理人负责。</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hint="eastAsia" w:ascii="仿宋_GB2312" w:hAnsi="仿宋_GB2312" w:eastAsia="仿宋_GB2312" w:cs="仿宋_GB2312"/>
          <w:color w:val="000000"/>
          <w:sz w:val="32"/>
          <w:szCs w:val="32"/>
        </w:rPr>
      </w:pPr>
      <w:r>
        <w:rPr>
          <w:rFonts w:hint="eastAsia" w:ascii="黑体" w:eastAsia="黑体"/>
          <w:color w:val="000000"/>
          <w:sz w:val="32"/>
          <w:szCs w:val="32"/>
        </w:rPr>
        <w:t>第二十七条</w:t>
      </w:r>
      <w:r>
        <w:rPr>
          <w:rFonts w:hint="eastAsia" w:ascii="Times New Roman" w:hAnsi="Times New Roman" w:cs="Times New Roman"/>
          <w:sz w:val="32"/>
          <w:szCs w:val="32"/>
        </w:rPr>
        <w:t xml:space="preserve">  </w:t>
      </w:r>
      <w:r>
        <w:rPr>
          <w:rFonts w:hint="eastAsia" w:ascii="仿宋_GB2312" w:hAnsi="仿宋_GB2312" w:eastAsia="仿宋_GB2312" w:cs="仿宋_GB2312"/>
          <w:color w:val="000000"/>
          <w:sz w:val="32"/>
          <w:szCs w:val="32"/>
        </w:rPr>
        <w:t>公共体育设施应当全年向公众开放，开放时间与当地公众的工作时间、学习时间适当错开，并在公休日、法定节假日、学校寒假暑假和适宜季节延长开放时间。因举办赛事、设施维护、公共卫生事件等特殊情况需要暂时停止开放的，应当提前向社会公告。</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hint="eastAsia"/>
        </w:rPr>
      </w:pPr>
      <w:r>
        <w:rPr>
          <w:rFonts w:hint="eastAsia" w:ascii="仿宋_GB2312" w:hAnsi="仿宋_GB2312" w:eastAsia="仿宋_GB2312" w:cs="仿宋_GB2312"/>
          <w:color w:val="000000"/>
          <w:sz w:val="32"/>
          <w:szCs w:val="32"/>
        </w:rPr>
        <w:t>公共体育设施管理和维护单位应当按照有关规定免费或者低收费开放；实行收费的，应当在设施醒目位置或者官方网站公示收费单位、服务内容、开放时间、收费依据、收费项目、收费标准等。</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hint="eastAsia" w:ascii="仿宋_GB2312" w:hAnsi="仿宋_GB2312" w:eastAsia="仿宋_GB2312" w:cs="仿宋_GB2312"/>
          <w:color w:val="000000"/>
          <w:sz w:val="32"/>
          <w:szCs w:val="32"/>
        </w:rPr>
      </w:pPr>
      <w:r>
        <w:rPr>
          <w:rFonts w:hint="eastAsia" w:ascii="黑体" w:eastAsia="黑体"/>
          <w:sz w:val="32"/>
          <w:szCs w:val="32"/>
        </w:rPr>
        <w:t>第二十八条</w:t>
      </w:r>
      <w:r>
        <w:rPr>
          <w:rFonts w:hint="eastAsia" w:ascii="Times New Roman" w:hAnsi="Times New Roman" w:cs="Times New Roman"/>
          <w:sz w:val="32"/>
          <w:szCs w:val="32"/>
        </w:rPr>
        <w:t xml:space="preserve">  </w:t>
      </w:r>
      <w:r>
        <w:rPr>
          <w:rFonts w:hint="eastAsia" w:ascii="仿宋_GB2312" w:hAnsi="仿宋_GB2312" w:eastAsia="仿宋_GB2312" w:cs="仿宋_GB2312"/>
          <w:color w:val="000000"/>
          <w:sz w:val="32"/>
          <w:szCs w:val="32"/>
        </w:rPr>
        <w:t>学校应当在课余时间和节假日向学生开放体育设施。公办学校应当积极创造条件向公众开放体育设施；鼓励民办学校向公众开放体育设施。</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向公众开放体育设施的学校，可以自行管理，也可以与所在地的社区、村（居）民委员会或者体育组织合作管理；学校应当与参与管理的各方协商建立体育设施开放安全管理制度，与公众依法约定卫生、安全责任，保证学校体育设施开放安全、有序。</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ascii="Times New Roman" w:hAnsi="Times New Roman" w:cs="Times New Roman"/>
          <w:color w:val="000000"/>
          <w:sz w:val="32"/>
          <w:szCs w:val="32"/>
        </w:rPr>
      </w:pPr>
      <w:r>
        <w:rPr>
          <w:rFonts w:hint="eastAsia" w:ascii="仿宋_GB2312" w:hAnsi="仿宋_GB2312" w:eastAsia="仿宋_GB2312" w:cs="仿宋_GB2312"/>
          <w:color w:val="000000"/>
          <w:sz w:val="32"/>
          <w:szCs w:val="32"/>
        </w:rPr>
        <w:t>县级人民政府应当对向公众开放体育设施的学校给予支持，为向公众开放体育设施的学校办理有关责任保险。</w:t>
      </w:r>
    </w:p>
    <w:p>
      <w:pPr>
        <w:pStyle w:val="11"/>
        <w:keepNext w:val="0"/>
        <w:keepLines w:val="0"/>
        <w:pageBreakBefore w:val="0"/>
        <w:widowControl w:val="0"/>
        <w:kinsoku/>
        <w:wordWrap/>
        <w:overflowPunct/>
        <w:topLinePunct w:val="0"/>
        <w:autoSpaceDE/>
        <w:bidi w:val="0"/>
        <w:adjustRightInd/>
        <w:snapToGrid/>
        <w:spacing w:line="576" w:lineRule="atLeast"/>
        <w:ind w:firstLine="640"/>
        <w:jc w:val="both"/>
        <w:textAlignment w:val="auto"/>
        <w:rPr>
          <w:sz w:val="32"/>
          <w:szCs w:val="32"/>
        </w:rPr>
      </w:pPr>
      <w:r>
        <w:rPr>
          <w:rFonts w:hint="eastAsia" w:ascii="黑体" w:eastAsia="黑体"/>
          <w:sz w:val="32"/>
          <w:szCs w:val="32"/>
        </w:rPr>
        <w:t>第二十九条</w:t>
      </w:r>
      <w:r>
        <w:rPr>
          <w:rFonts w:ascii="Times New Roman" w:hAnsi="Times New Roman" w:eastAsia="宋体" w:cs="Times New Roman"/>
          <w:color w:val="auto"/>
          <w:kern w:val="0"/>
          <w:sz w:val="32"/>
          <w:szCs w:val="32"/>
          <w:lang w:val="en-US" w:eastAsia="zh-CN" w:bidi="ar-SA"/>
        </w:rPr>
        <w:t xml:space="preserve"> </w:t>
      </w:r>
      <w:r>
        <w:rPr>
          <w:rFonts w:hint="eastAsia" w:ascii="Times New Roman" w:hAnsi="Times New Roman" w:eastAsia="宋体" w:cs="Times New Roman"/>
          <w:color w:val="auto"/>
          <w:kern w:val="0"/>
          <w:sz w:val="32"/>
          <w:szCs w:val="32"/>
          <w:lang w:val="en-US" w:eastAsia="zh-CN" w:bidi="ar-SA"/>
        </w:rPr>
        <w:t xml:space="preserve"> </w:t>
      </w:r>
      <w:r>
        <w:rPr>
          <w:rFonts w:hint="eastAsia" w:ascii="仿宋_GB2312" w:hAnsi="仿宋_GB2312" w:eastAsia="仿宋_GB2312" w:cs="仿宋_GB2312"/>
          <w:color w:val="000000"/>
          <w:kern w:val="0"/>
          <w:sz w:val="32"/>
          <w:szCs w:val="32"/>
          <w:lang w:val="en-US" w:eastAsia="zh-CN" w:bidi="ar-SA"/>
        </w:rPr>
        <w:t>鼓励国家机关、企业事业单位和其他组织向社会开放内部的体育设施。</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hint="eastAsia" w:ascii="仿宋_GB2312" w:hAnsi="仿宋_GB2312" w:eastAsia="仿宋_GB2312" w:cs="仿宋_GB2312"/>
          <w:color w:val="000000"/>
          <w:sz w:val="32"/>
          <w:szCs w:val="32"/>
        </w:rPr>
      </w:pPr>
      <w:r>
        <w:rPr>
          <w:rFonts w:hint="eastAsia" w:ascii="黑体" w:eastAsia="黑体"/>
          <w:sz w:val="32"/>
          <w:szCs w:val="32"/>
        </w:rPr>
        <w:t>第三十条</w:t>
      </w:r>
      <w:r>
        <w:rPr>
          <w:rFonts w:ascii="Times New Roman" w:hAnsi="Times New Roman" w:cs="Times New Roman"/>
          <w:sz w:val="32"/>
          <w:szCs w:val="32"/>
        </w:rPr>
        <w:t xml:space="preserve"> </w:t>
      </w:r>
      <w:r>
        <w:rPr>
          <w:rFonts w:hint="eastAsia" w:ascii="Times New Roman" w:hAnsi="Times New Roman" w:cs="Times New Roman"/>
          <w:sz w:val="32"/>
          <w:szCs w:val="32"/>
        </w:rPr>
        <w:t xml:space="preserve"> </w:t>
      </w:r>
      <w:r>
        <w:rPr>
          <w:rFonts w:hint="eastAsia" w:ascii="仿宋_GB2312" w:hAnsi="仿宋_GB2312" w:eastAsia="仿宋_GB2312" w:cs="仿宋_GB2312"/>
          <w:color w:val="000000"/>
          <w:sz w:val="32"/>
          <w:szCs w:val="32"/>
        </w:rPr>
        <w:t>县级以上人民政府体育、市场监管等部门应当加强对体育健身场馆的监督管理。</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ascii="Times New Roman" w:hAnsi="Times New Roman" w:cs="Times New Roman"/>
          <w:color w:val="000000"/>
          <w:sz w:val="32"/>
          <w:szCs w:val="32"/>
        </w:rPr>
      </w:pPr>
      <w:r>
        <w:rPr>
          <w:rFonts w:hint="eastAsia" w:ascii="仿宋_GB2312" w:hAnsi="仿宋_GB2312" w:eastAsia="仿宋_GB2312" w:cs="仿宋_GB2312"/>
          <w:color w:val="000000"/>
          <w:sz w:val="32"/>
          <w:szCs w:val="32"/>
        </w:rPr>
        <w:t>体育健身场馆经营者销售预收款健身卡应当符合有关规定，不得擅自停止服务。对擅自停止服务、拒绝或者无故拖延退还预收款等侵害消费者合法权益的行为，依法将其失信信息纳入公共信用信息平台，实施失信惩戒。</w:t>
      </w:r>
    </w:p>
    <w:p>
      <w:pPr>
        <w:pStyle w:val="11"/>
        <w:keepNext w:val="0"/>
        <w:keepLines w:val="0"/>
        <w:pageBreakBefore w:val="0"/>
        <w:widowControl w:val="0"/>
        <w:kinsoku/>
        <w:wordWrap/>
        <w:overflowPunct/>
        <w:topLinePunct w:val="0"/>
        <w:autoSpaceDE/>
        <w:bidi w:val="0"/>
        <w:adjustRightInd/>
        <w:snapToGrid/>
        <w:spacing w:line="576" w:lineRule="atLeast"/>
        <w:jc w:val="both"/>
        <w:textAlignment w:val="auto"/>
      </w:pPr>
    </w:p>
    <w:p>
      <w:pPr>
        <w:pStyle w:val="10"/>
        <w:keepNext w:val="0"/>
        <w:keepLines w:val="0"/>
        <w:pageBreakBefore w:val="0"/>
        <w:widowControl w:val="0"/>
        <w:kinsoku/>
        <w:wordWrap/>
        <w:overflowPunct/>
        <w:topLinePunct w:val="0"/>
        <w:autoSpaceDE/>
        <w:autoSpaceDN w:val="0"/>
        <w:bidi w:val="0"/>
        <w:adjustRightInd/>
        <w:snapToGrid/>
        <w:spacing w:line="576" w:lineRule="atLeast"/>
        <w:jc w:val="center"/>
        <w:textAlignment w:val="auto"/>
        <w:rPr>
          <w:rFonts w:ascii="黑体" w:eastAsia="黑体"/>
          <w:sz w:val="32"/>
          <w:szCs w:val="32"/>
        </w:rPr>
      </w:pPr>
      <w:r>
        <w:rPr>
          <w:rFonts w:hint="eastAsia" w:ascii="黑体" w:eastAsia="黑体"/>
          <w:sz w:val="32"/>
          <w:szCs w:val="32"/>
        </w:rPr>
        <w:t>第四章  全民健身保障</w:t>
      </w:r>
    </w:p>
    <w:p>
      <w:pPr>
        <w:pStyle w:val="11"/>
        <w:keepNext w:val="0"/>
        <w:keepLines w:val="0"/>
        <w:pageBreakBefore w:val="0"/>
        <w:widowControl w:val="0"/>
        <w:kinsoku/>
        <w:wordWrap/>
        <w:overflowPunct/>
        <w:topLinePunct w:val="0"/>
        <w:autoSpaceDE/>
        <w:bidi w:val="0"/>
        <w:adjustRightInd/>
        <w:snapToGrid/>
        <w:spacing w:line="576" w:lineRule="atLeast"/>
        <w:jc w:val="both"/>
        <w:textAlignment w:val="auto"/>
        <w:rPr>
          <w:rFonts w:hint="eastAsia"/>
        </w:rPr>
      </w:pP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hint="eastAsia" w:ascii="仿宋_GB2312" w:hAnsi="仿宋_GB2312" w:eastAsia="仿宋_GB2312" w:cs="仿宋_GB2312"/>
          <w:color w:val="000000"/>
          <w:sz w:val="32"/>
          <w:szCs w:val="32"/>
        </w:rPr>
      </w:pPr>
      <w:r>
        <w:rPr>
          <w:rFonts w:hint="eastAsia" w:ascii="黑体" w:eastAsia="黑体"/>
          <w:sz w:val="32"/>
          <w:szCs w:val="32"/>
        </w:rPr>
        <w:t>第三十一条</w:t>
      </w:r>
      <w:r>
        <w:rPr>
          <w:rFonts w:hint="eastAsia" w:ascii="Times New Roman" w:hAnsi="Times New Roman" w:cs="Times New Roman"/>
          <w:sz w:val="32"/>
          <w:szCs w:val="32"/>
        </w:rPr>
        <w:t xml:space="preserve">  </w:t>
      </w:r>
      <w:r>
        <w:rPr>
          <w:rFonts w:hint="eastAsia" w:ascii="仿宋_GB2312" w:hAnsi="仿宋_GB2312" w:eastAsia="仿宋_GB2312" w:cs="仿宋_GB2312"/>
          <w:color w:val="000000"/>
          <w:sz w:val="32"/>
          <w:szCs w:val="32"/>
        </w:rPr>
        <w:t>县级以上人民政府应当将全民健身工作所需经费列入本级财政预算，并建立与国民经济和社会发展相适应的投入机制。</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ascii="Times New Roman" w:hAnsi="Times New Roman" w:cs="Times New Roman"/>
          <w:color w:val="000000"/>
          <w:sz w:val="32"/>
          <w:szCs w:val="32"/>
        </w:rPr>
      </w:pPr>
      <w:r>
        <w:rPr>
          <w:rFonts w:hint="eastAsia" w:ascii="仿宋_GB2312" w:hAnsi="仿宋_GB2312" w:eastAsia="仿宋_GB2312" w:cs="仿宋_GB2312"/>
          <w:color w:val="000000"/>
          <w:sz w:val="32"/>
          <w:szCs w:val="32"/>
        </w:rPr>
        <w:t>县级以上人民政府体育主管部门分配使用的彩票公益金，应当按照有关规定用于全民健身事业，并定期向社会公布使用情况，依法接受财政、审计部门和社会公众的监督。</w:t>
      </w:r>
    </w:p>
    <w:p>
      <w:pPr>
        <w:pStyle w:val="11"/>
        <w:keepNext w:val="0"/>
        <w:keepLines w:val="0"/>
        <w:pageBreakBefore w:val="0"/>
        <w:widowControl w:val="0"/>
        <w:kinsoku/>
        <w:wordWrap/>
        <w:overflowPunct/>
        <w:topLinePunct w:val="0"/>
        <w:autoSpaceDE/>
        <w:bidi w:val="0"/>
        <w:adjustRightInd/>
        <w:snapToGrid/>
        <w:spacing w:line="576" w:lineRule="atLeast"/>
        <w:ind w:firstLine="640"/>
        <w:jc w:val="both"/>
        <w:textAlignment w:val="auto"/>
        <w:rPr>
          <w:rFonts w:hint="eastAsia" w:ascii="仿宋_GB2312" w:hAnsi="仿宋_GB2312" w:eastAsia="仿宋_GB2312" w:cs="仿宋_GB2312"/>
          <w:color w:val="000000"/>
          <w:kern w:val="0"/>
          <w:sz w:val="32"/>
          <w:szCs w:val="32"/>
          <w:lang w:val="en-US" w:eastAsia="zh-CN" w:bidi="ar-SA"/>
        </w:rPr>
      </w:pPr>
      <w:r>
        <w:rPr>
          <w:rFonts w:hint="eastAsia" w:ascii="黑体" w:eastAsia="黑体"/>
          <w:sz w:val="32"/>
          <w:szCs w:val="32"/>
        </w:rPr>
        <w:t>第三十二条</w:t>
      </w:r>
      <w:r>
        <w:rPr>
          <w:rFonts w:ascii="Times New Roman" w:hAnsi="Times New Roman" w:eastAsia="宋体" w:cs="Times New Roman"/>
          <w:color w:val="auto"/>
          <w:kern w:val="0"/>
          <w:sz w:val="32"/>
          <w:szCs w:val="32"/>
          <w:lang w:val="en-US" w:eastAsia="zh-CN" w:bidi="ar-SA"/>
        </w:rPr>
        <w:t xml:space="preserve"> </w:t>
      </w:r>
      <w:r>
        <w:rPr>
          <w:rFonts w:hint="eastAsia" w:ascii="Times New Roman" w:hAnsi="Times New Roman" w:eastAsia="宋体" w:cs="Times New Roman"/>
          <w:color w:val="auto"/>
          <w:kern w:val="0"/>
          <w:sz w:val="32"/>
          <w:szCs w:val="32"/>
          <w:lang w:val="en-US" w:eastAsia="zh-CN" w:bidi="ar-SA"/>
        </w:rPr>
        <w:t xml:space="preserve"> </w:t>
      </w:r>
      <w:r>
        <w:rPr>
          <w:rFonts w:hint="eastAsia" w:ascii="仿宋_GB2312" w:hAnsi="仿宋_GB2312" w:eastAsia="仿宋_GB2312" w:cs="仿宋_GB2312"/>
          <w:color w:val="000000"/>
          <w:kern w:val="0"/>
          <w:sz w:val="32"/>
          <w:szCs w:val="32"/>
          <w:lang w:val="en-US" w:eastAsia="zh-CN" w:bidi="ar-SA"/>
        </w:rPr>
        <w:t>省人民政府体育主管部门应当会同财政部门制定政府购买体育服务指导性目录。</w:t>
      </w:r>
    </w:p>
    <w:p>
      <w:pPr>
        <w:pStyle w:val="10"/>
        <w:keepNext w:val="0"/>
        <w:keepLines w:val="0"/>
        <w:pageBreakBefore w:val="0"/>
        <w:widowControl w:val="0"/>
        <w:kinsoku/>
        <w:wordWrap/>
        <w:overflowPunct/>
        <w:topLinePunct w:val="0"/>
        <w:autoSpaceDE/>
        <w:bidi w:val="0"/>
        <w:adjustRightInd/>
        <w:snapToGrid/>
        <w:spacing w:line="576" w:lineRule="atLeast"/>
        <w:ind w:firstLine="640"/>
        <w:textAlignment w:val="auto"/>
        <w:rPr>
          <w:rFonts w:ascii="Times New Roman" w:hAnsi="Times New Roman" w:cs="Times New Roman"/>
          <w:color w:val="000000"/>
          <w:sz w:val="32"/>
          <w:szCs w:val="32"/>
        </w:rPr>
      </w:pPr>
      <w:r>
        <w:rPr>
          <w:rFonts w:hint="eastAsia" w:ascii="仿宋_GB2312" w:hAnsi="仿宋_GB2312" w:eastAsia="仿宋_GB2312" w:cs="仿宋_GB2312"/>
          <w:color w:val="000000"/>
          <w:kern w:val="0"/>
          <w:sz w:val="32"/>
          <w:szCs w:val="32"/>
          <w:lang w:val="en-US" w:eastAsia="zh-CN" w:bidi="ar-SA"/>
        </w:rPr>
        <w:t>各级人民政府和有关部门可以通过政府购买服务的方式，委托社会力量提供健身设施运营与管理、健身赛事活动、公益性体育培训、健身指导、国民体质监测等公共服务。</w:t>
      </w:r>
    </w:p>
    <w:p>
      <w:pPr>
        <w:pStyle w:val="5"/>
        <w:keepNext w:val="0"/>
        <w:keepLines w:val="0"/>
        <w:pageBreakBefore w:val="0"/>
        <w:widowControl w:val="0"/>
        <w:kinsoku/>
        <w:wordWrap/>
        <w:overflowPunct/>
        <w:topLinePunct w:val="0"/>
        <w:autoSpaceDE/>
        <w:bidi w:val="0"/>
        <w:adjustRightInd/>
        <w:snapToGrid/>
        <w:spacing w:line="576" w:lineRule="atLeast"/>
        <w:ind w:left="0" w:leftChars="0" w:firstLine="624" w:firstLineChars="200"/>
        <w:textAlignment w:val="auto"/>
        <w:rPr>
          <w:sz w:val="32"/>
          <w:szCs w:val="32"/>
        </w:rPr>
      </w:pPr>
      <w:r>
        <w:rPr>
          <w:rFonts w:hint="eastAsia" w:ascii="黑体" w:eastAsia="黑体"/>
          <w:b w:val="0"/>
          <w:bCs w:val="0"/>
          <w:color w:val="000000"/>
          <w:sz w:val="32"/>
          <w:szCs w:val="32"/>
        </w:rPr>
        <w:t>第三十三条</w:t>
      </w:r>
      <w:r>
        <w:rPr>
          <w:rFonts w:ascii="Times New Roman" w:hAnsi="Times New Roman" w:eastAsia="宋体" w:cs="Times New Roman"/>
          <w:b w:val="0"/>
          <w:bCs w:val="0"/>
          <w:kern w:val="0"/>
          <w:sz w:val="32"/>
          <w:szCs w:val="32"/>
          <w:lang w:val="en-US" w:eastAsia="zh-CN" w:bidi="ar-SA"/>
        </w:rPr>
        <w:t xml:space="preserve"> </w:t>
      </w:r>
      <w:r>
        <w:rPr>
          <w:rFonts w:hint="eastAsia" w:ascii="Times New Roman" w:hAnsi="Times New Roman" w:eastAsia="宋体" w:cs="Times New Roman"/>
          <w:b w:val="0"/>
          <w:bCs w:val="0"/>
          <w:kern w:val="0"/>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CN" w:bidi="ar-SA"/>
        </w:rPr>
        <w:t>县级以上人民政府及其有关部门应当制定体育产业和体育消费政策措施，培育和推广体育与教育、科技、文化、旅游、康养等相融合的体育旅游目的地、体育旅游示范基地、健身休闲项目等，规范和壮大全民健身市场，提供优质产品和服务，促进全民健身相关产业高质量发展。</w:t>
      </w:r>
    </w:p>
    <w:p>
      <w:pPr>
        <w:pStyle w:val="10"/>
        <w:keepNext w:val="0"/>
        <w:keepLines w:val="0"/>
        <w:pageBreakBefore w:val="0"/>
        <w:widowControl w:val="0"/>
        <w:kinsoku/>
        <w:wordWrap/>
        <w:overflowPunct/>
        <w:topLinePunct w:val="0"/>
        <w:autoSpaceDE/>
        <w:bidi w:val="0"/>
        <w:adjustRightInd/>
        <w:snapToGrid/>
        <w:spacing w:line="576" w:lineRule="atLeast"/>
        <w:ind w:firstLine="640"/>
        <w:textAlignment w:val="auto"/>
        <w:rPr>
          <w:rFonts w:ascii="Times New Roman" w:hAnsi="Times New Roman" w:cs="Times New Roman"/>
          <w:color w:val="000000"/>
          <w:sz w:val="32"/>
          <w:szCs w:val="32"/>
        </w:rPr>
      </w:pPr>
      <w:r>
        <w:rPr>
          <w:rFonts w:hint="eastAsia" w:ascii="黑体" w:eastAsia="黑体"/>
          <w:color w:val="000000"/>
          <w:sz w:val="32"/>
          <w:szCs w:val="32"/>
        </w:rPr>
        <w:t>第三十四条</w:t>
      </w:r>
      <w:r>
        <w:rPr>
          <w:rFonts w:ascii="Times New Roman" w:hAnsi="Times New Roman" w:cs="Times New Roman"/>
          <w:sz w:val="32"/>
          <w:szCs w:val="32"/>
        </w:rPr>
        <w:t xml:space="preserve"> </w:t>
      </w:r>
      <w:r>
        <w:rPr>
          <w:rFonts w:hint="eastAsia" w:ascii="Times New Roman" w:hAnsi="Times New Roman" w:cs="Times New Roman"/>
          <w:sz w:val="32"/>
          <w:szCs w:val="32"/>
        </w:rPr>
        <w:t xml:space="preserve"> </w:t>
      </w:r>
      <w:r>
        <w:rPr>
          <w:rFonts w:hint="eastAsia" w:ascii="仿宋_GB2312" w:hAnsi="仿宋_GB2312" w:eastAsia="仿宋_GB2312" w:cs="仿宋_GB2312"/>
          <w:color w:val="000000"/>
          <w:sz w:val="32"/>
          <w:szCs w:val="32"/>
        </w:rPr>
        <w:t>县级以上人民政府及其有关部门应当支持优秀民族、民间、民俗传统体育项目列入非物质文化遗产代表性项目名录，促进健身文化建设，并按照国家和本省有关规定给予扶持。</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hint="eastAsia" w:ascii="仿宋_GB2312" w:hAnsi="仿宋_GB2312" w:eastAsia="仿宋_GB2312" w:cs="仿宋_GB2312"/>
          <w:color w:val="000000"/>
          <w:sz w:val="32"/>
          <w:szCs w:val="32"/>
        </w:rPr>
      </w:pPr>
      <w:r>
        <w:rPr>
          <w:rFonts w:hint="eastAsia" w:ascii="黑体" w:eastAsia="黑体"/>
          <w:sz w:val="32"/>
          <w:szCs w:val="32"/>
        </w:rPr>
        <w:t>第三十五条</w:t>
      </w:r>
      <w:r>
        <w:rPr>
          <w:rFonts w:ascii="Times New Roman" w:hAnsi="Times New Roman" w:cs="Times New Roman"/>
          <w:sz w:val="32"/>
          <w:szCs w:val="32"/>
        </w:rPr>
        <w:t xml:space="preserve"> </w:t>
      </w:r>
      <w:r>
        <w:rPr>
          <w:rFonts w:hint="eastAsia" w:ascii="Times New Roman" w:hAnsi="Times New Roman" w:cs="Times New Roman"/>
          <w:sz w:val="32"/>
          <w:szCs w:val="32"/>
        </w:rPr>
        <w:t xml:space="preserve"> </w:t>
      </w:r>
      <w:r>
        <w:rPr>
          <w:rFonts w:hint="eastAsia" w:ascii="仿宋_GB2312" w:hAnsi="仿宋_GB2312" w:eastAsia="仿宋_GB2312" w:cs="仿宋_GB2312"/>
          <w:color w:val="000000"/>
          <w:sz w:val="32"/>
          <w:szCs w:val="32"/>
        </w:rPr>
        <w:t>县级以上人民政府应当将国民体质监测指标纳入全民健身实施计划。</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ascii="Times New Roman" w:hAnsi="Times New Roman" w:cs="Times New Roman"/>
          <w:color w:val="000000"/>
          <w:sz w:val="32"/>
          <w:szCs w:val="32"/>
        </w:rPr>
      </w:pPr>
      <w:r>
        <w:rPr>
          <w:rFonts w:hint="eastAsia" w:ascii="仿宋_GB2312" w:hAnsi="仿宋_GB2312" w:eastAsia="仿宋_GB2312" w:cs="仿宋_GB2312"/>
          <w:color w:val="000000"/>
          <w:sz w:val="32"/>
          <w:szCs w:val="32"/>
        </w:rPr>
        <w:t>县级以上人民政府体育主管部门应当会同统计、教育、卫生健康等部门建立健全国民体质监测网络，定期开展国民体质监测。</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hint="eastAsia" w:ascii="仿宋_GB2312" w:hAnsi="仿宋_GB2312" w:eastAsia="仿宋_GB2312" w:cs="仿宋_GB2312"/>
          <w:color w:val="000000"/>
          <w:sz w:val="32"/>
          <w:szCs w:val="32"/>
        </w:rPr>
      </w:pPr>
      <w:r>
        <w:rPr>
          <w:rFonts w:hint="eastAsia" w:ascii="黑体" w:eastAsia="黑体"/>
          <w:sz w:val="32"/>
          <w:szCs w:val="32"/>
        </w:rPr>
        <w:t>第三十六条</w:t>
      </w:r>
      <w:r>
        <w:rPr>
          <w:rFonts w:hint="eastAsia" w:ascii="Times New Roman" w:hAnsi="Times New Roman" w:cs="Times New Roman"/>
          <w:sz w:val="32"/>
          <w:szCs w:val="32"/>
        </w:rPr>
        <w:t xml:space="preserve">  </w:t>
      </w:r>
      <w:r>
        <w:rPr>
          <w:rFonts w:hint="eastAsia" w:ascii="仿宋_GB2312" w:hAnsi="仿宋_GB2312" w:eastAsia="仿宋_GB2312" w:cs="仿宋_GB2312"/>
          <w:color w:val="000000"/>
          <w:sz w:val="32"/>
          <w:szCs w:val="32"/>
        </w:rPr>
        <w:t>县级以上人民政府体育主管部门应当健全全民健身志愿服务工作体系，建立全民健身志愿服务队伍，组织开展志愿服务。</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ascii="Times New Roman" w:hAnsi="Times New Roman" w:cs="Times New Roman"/>
          <w:color w:val="000000"/>
          <w:sz w:val="32"/>
          <w:szCs w:val="32"/>
        </w:rPr>
      </w:pPr>
      <w:r>
        <w:rPr>
          <w:rFonts w:hint="eastAsia" w:ascii="仿宋_GB2312" w:hAnsi="仿宋_GB2312" w:eastAsia="仿宋_GB2312" w:cs="仿宋_GB2312"/>
          <w:color w:val="000000"/>
          <w:sz w:val="32"/>
          <w:szCs w:val="32"/>
        </w:rPr>
        <w:t>县级以上人民政府体育主管部门应当加强社会体育指导员队伍建设，开展社会体育指导员教育培训、等级评定和激励保障等工作，支持社会体育指导员在开展志愿服务、组织基层体育活动、指导科学健身等方面发挥作用，传授运动健身技能，普及科学健身知识。</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ascii="Times New Roman" w:hAnsi="Times New Roman" w:cs="Times New Roman"/>
          <w:color w:val="000000"/>
          <w:sz w:val="32"/>
          <w:szCs w:val="32"/>
        </w:rPr>
      </w:pPr>
      <w:r>
        <w:rPr>
          <w:rFonts w:hint="eastAsia" w:ascii="黑体" w:eastAsia="黑体"/>
          <w:sz w:val="32"/>
          <w:szCs w:val="32"/>
        </w:rPr>
        <w:t>第三十七条</w:t>
      </w:r>
      <w:r>
        <w:rPr>
          <w:rFonts w:ascii="Times New Roman" w:hAnsi="Times New Roman" w:cs="Times New Roman"/>
          <w:sz w:val="32"/>
          <w:szCs w:val="32"/>
        </w:rPr>
        <w:t xml:space="preserve"> </w:t>
      </w:r>
      <w:r>
        <w:rPr>
          <w:rFonts w:hint="eastAsia" w:ascii="Times New Roman" w:hAnsi="Times New Roman" w:cs="Times New Roman"/>
          <w:sz w:val="32"/>
          <w:szCs w:val="32"/>
        </w:rPr>
        <w:t xml:space="preserve"> </w:t>
      </w:r>
      <w:r>
        <w:rPr>
          <w:rFonts w:hint="eastAsia" w:ascii="仿宋_GB2312" w:hAnsi="仿宋_GB2312" w:eastAsia="仿宋_GB2312" w:cs="仿宋_GB2312"/>
          <w:color w:val="000000"/>
          <w:sz w:val="32"/>
          <w:szCs w:val="32"/>
        </w:rPr>
        <w:t>县级以上人民政府体育主管部门应当丰富体育赛事供给，定期发布赛事活动目录，组织开展公益讲座、体育观赛、健身咨询、交流研讨等健身科普活动，促进</w:t>
      </w:r>
      <w:r>
        <w:rPr>
          <w:rFonts w:hint="eastAsia" w:ascii="仿宋_GB2312" w:hAnsi="仿宋_GB2312" w:eastAsia="仿宋_GB2312" w:cs="仿宋_GB2312"/>
          <w:color w:val="000000"/>
          <w:w w:val="98"/>
          <w:sz w:val="32"/>
          <w:szCs w:val="32"/>
        </w:rPr>
        <w:t>竞技体育与全民健身融合发展，推进竞技体育成果全民共享。</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ascii="Times New Roman" w:hAnsi="Times New Roman" w:cs="Times New Roman"/>
          <w:color w:val="000000"/>
          <w:sz w:val="32"/>
          <w:szCs w:val="32"/>
        </w:rPr>
      </w:pPr>
      <w:r>
        <w:rPr>
          <w:rFonts w:hint="eastAsia" w:ascii="黑体" w:eastAsia="黑体"/>
          <w:sz w:val="32"/>
          <w:szCs w:val="32"/>
        </w:rPr>
        <w:t>第三十八条</w:t>
      </w:r>
      <w:r>
        <w:rPr>
          <w:rFonts w:ascii="Times New Roman" w:hAnsi="Times New Roman" w:cs="Times New Roman"/>
          <w:sz w:val="32"/>
          <w:szCs w:val="32"/>
        </w:rPr>
        <w:t xml:space="preserve"> </w:t>
      </w:r>
      <w:r>
        <w:rPr>
          <w:rFonts w:hint="eastAsia" w:ascii="Times New Roman" w:hAnsi="Times New Roman" w:cs="Times New Roman"/>
          <w:sz w:val="32"/>
          <w:szCs w:val="32"/>
        </w:rPr>
        <w:t xml:space="preserve"> </w:t>
      </w:r>
      <w:r>
        <w:rPr>
          <w:rFonts w:hint="eastAsia" w:ascii="仿宋_GB2312" w:hAnsi="仿宋_GB2312" w:eastAsia="仿宋_GB2312" w:cs="仿宋_GB2312"/>
          <w:color w:val="000000"/>
          <w:sz w:val="32"/>
          <w:szCs w:val="32"/>
        </w:rPr>
        <w:t>鼓励运用互联网等现代信息技术提供场地预约、健身指导、体质监测、赛事活动参与等综合服务，提高全民健身公共服务的智能化、信息化、数字化水平。</w:t>
      </w:r>
    </w:p>
    <w:p>
      <w:pPr>
        <w:pStyle w:val="11"/>
        <w:keepNext w:val="0"/>
        <w:keepLines w:val="0"/>
        <w:pageBreakBefore w:val="0"/>
        <w:widowControl w:val="0"/>
        <w:kinsoku/>
        <w:wordWrap/>
        <w:overflowPunct/>
        <w:topLinePunct w:val="0"/>
        <w:autoSpaceDE/>
        <w:bidi w:val="0"/>
        <w:adjustRightInd/>
        <w:snapToGrid/>
        <w:spacing w:line="576" w:lineRule="atLeast"/>
        <w:jc w:val="both"/>
        <w:textAlignment w:val="auto"/>
      </w:pPr>
    </w:p>
    <w:p>
      <w:pPr>
        <w:pStyle w:val="10"/>
        <w:keepNext w:val="0"/>
        <w:keepLines w:val="0"/>
        <w:pageBreakBefore w:val="0"/>
        <w:widowControl w:val="0"/>
        <w:kinsoku/>
        <w:wordWrap/>
        <w:overflowPunct/>
        <w:topLinePunct w:val="0"/>
        <w:autoSpaceDE/>
        <w:autoSpaceDN w:val="0"/>
        <w:bidi w:val="0"/>
        <w:adjustRightInd/>
        <w:snapToGrid/>
        <w:spacing w:line="576" w:lineRule="atLeast"/>
        <w:jc w:val="center"/>
        <w:textAlignment w:val="auto"/>
        <w:rPr>
          <w:rFonts w:ascii="黑体" w:eastAsia="黑体"/>
          <w:sz w:val="32"/>
          <w:szCs w:val="32"/>
        </w:rPr>
      </w:pPr>
      <w:r>
        <w:rPr>
          <w:rFonts w:hint="eastAsia" w:ascii="黑体" w:eastAsia="黑体"/>
          <w:sz w:val="32"/>
          <w:szCs w:val="32"/>
        </w:rPr>
        <w:t>第五章  法律责任</w:t>
      </w:r>
    </w:p>
    <w:p>
      <w:pPr>
        <w:pStyle w:val="11"/>
        <w:keepNext w:val="0"/>
        <w:keepLines w:val="0"/>
        <w:pageBreakBefore w:val="0"/>
        <w:widowControl w:val="0"/>
        <w:kinsoku/>
        <w:wordWrap/>
        <w:overflowPunct/>
        <w:topLinePunct w:val="0"/>
        <w:autoSpaceDE/>
        <w:bidi w:val="0"/>
        <w:adjustRightInd/>
        <w:snapToGrid/>
        <w:spacing w:line="576" w:lineRule="atLeast"/>
        <w:jc w:val="both"/>
        <w:textAlignment w:val="auto"/>
        <w:rPr>
          <w:rFonts w:hint="eastAsia"/>
        </w:rPr>
      </w:pP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ascii="Times New Roman" w:hAnsi="Times New Roman" w:cs="Times New Roman"/>
          <w:color w:val="000000"/>
          <w:sz w:val="32"/>
          <w:szCs w:val="32"/>
        </w:rPr>
      </w:pPr>
      <w:r>
        <w:rPr>
          <w:rFonts w:hint="eastAsia" w:ascii="黑体" w:eastAsia="黑体"/>
          <w:sz w:val="32"/>
          <w:szCs w:val="32"/>
        </w:rPr>
        <w:t>第三十九条</w:t>
      </w:r>
      <w:r>
        <w:rPr>
          <w:rFonts w:ascii="Times New Roman" w:hAnsi="Times New Roman" w:cs="Times New Roman"/>
          <w:sz w:val="32"/>
          <w:szCs w:val="32"/>
        </w:rPr>
        <w:t xml:space="preserve"> </w:t>
      </w:r>
      <w:r>
        <w:rPr>
          <w:rFonts w:hint="eastAsia" w:ascii="Times New Roman" w:hAnsi="Times New Roman" w:cs="Times New Roman"/>
          <w:sz w:val="32"/>
          <w:szCs w:val="32"/>
        </w:rPr>
        <w:t xml:space="preserve"> </w:t>
      </w:r>
      <w:r>
        <w:rPr>
          <w:rFonts w:hint="eastAsia" w:ascii="仿宋_GB2312" w:hAnsi="仿宋_GB2312" w:eastAsia="仿宋_GB2312" w:cs="仿宋_GB2312"/>
          <w:color w:val="000000"/>
          <w:sz w:val="32"/>
          <w:szCs w:val="32"/>
        </w:rPr>
        <w:t>违反本条例规定的行为，法律法规已规定法律责任的，从其规定。</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ascii="Times New Roman" w:hAnsi="Times New Roman" w:cs="Times New Roman"/>
          <w:color w:val="000000"/>
          <w:sz w:val="32"/>
          <w:szCs w:val="32"/>
        </w:rPr>
      </w:pPr>
      <w:r>
        <w:rPr>
          <w:rFonts w:hint="eastAsia" w:ascii="黑体" w:eastAsia="黑体"/>
          <w:sz w:val="32"/>
          <w:szCs w:val="32"/>
        </w:rPr>
        <w:t>第四十条</w:t>
      </w:r>
      <w:r>
        <w:rPr>
          <w:rFonts w:hint="eastAsia" w:ascii="Times New Roman" w:hAnsi="Times New Roman" w:cs="Times New Roman"/>
          <w:sz w:val="32"/>
          <w:szCs w:val="32"/>
        </w:rPr>
        <w:t xml:space="preserve">  </w:t>
      </w:r>
      <w:r>
        <w:rPr>
          <w:rFonts w:hint="eastAsia" w:ascii="仿宋_GB2312" w:hAnsi="仿宋_GB2312" w:eastAsia="仿宋_GB2312" w:cs="仿宋_GB2312"/>
          <w:color w:val="000000"/>
          <w:sz w:val="32"/>
          <w:szCs w:val="32"/>
        </w:rPr>
        <w:t>违反本条例规定，利用健身活动进行赌博或者宣扬封建迷信、破坏健身设施、扰乱公共秩序、侵害他人合法权益、影响他人的正常工作和生活，构成违反治安管理行为的，由公安机关依法给予治安管理处罚；构成犯罪的，依法追究刑事责任。</w:t>
      </w:r>
    </w:p>
    <w:p>
      <w:pPr>
        <w:pStyle w:val="10"/>
        <w:keepNext w:val="0"/>
        <w:keepLines w:val="0"/>
        <w:pageBreakBefore w:val="0"/>
        <w:widowControl w:val="0"/>
        <w:kinsoku/>
        <w:wordWrap/>
        <w:overflowPunct/>
        <w:topLinePunct w:val="0"/>
        <w:autoSpaceDE/>
        <w:autoSpaceDN w:val="0"/>
        <w:bidi w:val="0"/>
        <w:adjustRightInd/>
        <w:snapToGrid/>
        <w:spacing w:line="576" w:lineRule="atLeast"/>
        <w:ind w:firstLine="640"/>
        <w:textAlignment w:val="auto"/>
        <w:rPr>
          <w:rFonts w:ascii="Times New Roman" w:hAnsi="Times New Roman" w:cs="Times New Roman"/>
          <w:color w:val="000000"/>
          <w:sz w:val="32"/>
          <w:szCs w:val="32"/>
        </w:rPr>
      </w:pPr>
      <w:r>
        <w:rPr>
          <w:rFonts w:hint="eastAsia" w:ascii="黑体" w:eastAsia="黑体"/>
          <w:sz w:val="32"/>
          <w:szCs w:val="32"/>
        </w:rPr>
        <w:t>第四十一条</w:t>
      </w:r>
      <w:r>
        <w:rPr>
          <w:rFonts w:ascii="Times New Roman" w:hAnsi="Times New Roman" w:cs="Times New Roman"/>
          <w:sz w:val="32"/>
          <w:szCs w:val="32"/>
        </w:rPr>
        <w:t xml:space="preserve">  </w:t>
      </w:r>
      <w:r>
        <w:rPr>
          <w:rFonts w:hint="eastAsia" w:ascii="仿宋_GB2312" w:hAnsi="仿宋_GB2312" w:eastAsia="仿宋_GB2312" w:cs="仿宋_GB2312"/>
          <w:color w:val="000000"/>
          <w:sz w:val="32"/>
          <w:szCs w:val="32"/>
        </w:rPr>
        <w:t>违反本条例规定，国家机关及其工作人员在全民健身工作中玩忽职守、滥用职权、徇私舞弊的，依法给予处分；构成犯罪的，依法追究刑事责任。</w:t>
      </w:r>
    </w:p>
    <w:p>
      <w:pPr>
        <w:pStyle w:val="11"/>
        <w:keepNext w:val="0"/>
        <w:keepLines w:val="0"/>
        <w:pageBreakBefore w:val="0"/>
        <w:widowControl w:val="0"/>
        <w:kinsoku/>
        <w:wordWrap/>
        <w:overflowPunct/>
        <w:topLinePunct w:val="0"/>
        <w:autoSpaceDE/>
        <w:bidi w:val="0"/>
        <w:adjustRightInd/>
        <w:snapToGrid/>
        <w:spacing w:line="576" w:lineRule="atLeast"/>
        <w:jc w:val="both"/>
        <w:textAlignment w:val="auto"/>
      </w:pPr>
    </w:p>
    <w:p>
      <w:pPr>
        <w:pStyle w:val="10"/>
        <w:keepNext w:val="0"/>
        <w:keepLines w:val="0"/>
        <w:pageBreakBefore w:val="0"/>
        <w:widowControl w:val="0"/>
        <w:kinsoku/>
        <w:wordWrap/>
        <w:overflowPunct/>
        <w:topLinePunct w:val="0"/>
        <w:autoSpaceDE/>
        <w:autoSpaceDN w:val="0"/>
        <w:bidi w:val="0"/>
        <w:adjustRightInd/>
        <w:snapToGrid/>
        <w:spacing w:line="576" w:lineRule="atLeast"/>
        <w:jc w:val="center"/>
        <w:textAlignment w:val="auto"/>
        <w:rPr>
          <w:rFonts w:ascii="黑体" w:eastAsia="黑体"/>
          <w:sz w:val="32"/>
          <w:szCs w:val="32"/>
        </w:rPr>
      </w:pPr>
      <w:r>
        <w:rPr>
          <w:rFonts w:hint="eastAsia" w:ascii="黑体" w:eastAsia="黑体"/>
          <w:sz w:val="32"/>
          <w:szCs w:val="32"/>
        </w:rPr>
        <w:t>第六章  附  则</w:t>
      </w:r>
    </w:p>
    <w:p>
      <w:pPr>
        <w:pStyle w:val="11"/>
        <w:keepNext w:val="0"/>
        <w:keepLines w:val="0"/>
        <w:pageBreakBefore w:val="0"/>
        <w:widowControl w:val="0"/>
        <w:kinsoku/>
        <w:wordWrap/>
        <w:overflowPunct/>
        <w:topLinePunct w:val="0"/>
        <w:autoSpaceDE/>
        <w:bidi w:val="0"/>
        <w:adjustRightInd/>
        <w:snapToGrid/>
        <w:spacing w:line="576" w:lineRule="atLeast"/>
        <w:jc w:val="both"/>
        <w:textAlignment w:val="auto"/>
        <w:rPr>
          <w:rFonts w:hint="eastAsia"/>
        </w:rPr>
      </w:pPr>
    </w:p>
    <w:p>
      <w:pPr>
        <w:pStyle w:val="10"/>
        <w:keepNext w:val="0"/>
        <w:keepLines w:val="0"/>
        <w:pageBreakBefore w:val="0"/>
        <w:widowControl w:val="0"/>
        <w:kinsoku/>
        <w:wordWrap/>
        <w:overflowPunct/>
        <w:topLinePunct w:val="0"/>
        <w:autoSpaceDE/>
        <w:bidi w:val="0"/>
        <w:adjustRightInd/>
        <w:snapToGrid/>
        <w:spacing w:line="576" w:lineRule="atLeast"/>
        <w:ind w:firstLine="640"/>
        <w:textAlignment w:val="auto"/>
        <w:rPr>
          <w:rFonts w:hint="eastAsia" w:ascii="仿宋_GB2312" w:hAnsi="仿宋_GB2312" w:eastAsia="仿宋_GB2312" w:cs="仿宋_GB2312"/>
          <w:color w:val="000000"/>
          <w:sz w:val="32"/>
          <w:szCs w:val="32"/>
        </w:rPr>
      </w:pPr>
      <w:r>
        <w:rPr>
          <w:rFonts w:hint="eastAsia" w:ascii="黑体" w:eastAsia="黑体"/>
          <w:sz w:val="32"/>
          <w:szCs w:val="32"/>
        </w:rPr>
        <w:t>第四十二条</w:t>
      </w:r>
      <w:r>
        <w:rPr>
          <w:rFonts w:hint="eastAsia" w:ascii="Times New Roman" w:hAnsi="Times New Roman" w:cs="Times New Roman"/>
          <w:sz w:val="32"/>
          <w:szCs w:val="32"/>
        </w:rPr>
        <w:t xml:space="preserve"> </w:t>
      </w:r>
      <w:r>
        <w:rPr>
          <w:rFonts w:ascii="Times New Roman" w:hAnsi="Times New Roman" w:cs="Times New Roman"/>
          <w:sz w:val="32"/>
          <w:szCs w:val="32"/>
        </w:rPr>
        <w:t xml:space="preserve"> </w:t>
      </w:r>
      <w:r>
        <w:rPr>
          <w:rFonts w:hint="eastAsia" w:ascii="仿宋_GB2312" w:hAnsi="仿宋_GB2312" w:eastAsia="仿宋_GB2312" w:cs="仿宋_GB2312"/>
          <w:color w:val="000000"/>
          <w:sz w:val="32"/>
          <w:szCs w:val="32"/>
        </w:rPr>
        <w:t>本条例自2023年1月1日起施行。</w:t>
      </w:r>
    </w:p>
    <w:p/>
    <w:sectPr>
      <w:headerReference r:id="rId3" w:type="default"/>
      <w:footerReference r:id="rId5" w:type="default"/>
      <w:headerReference r:id="rId4" w:type="even"/>
      <w:footerReference r:id="rId6" w:type="even"/>
      <w:pgSz w:w="11906" w:h="16838"/>
      <w:pgMar w:top="2098" w:right="1587" w:bottom="2098" w:left="1587" w:header="851" w:footer="1644" w:gutter="0"/>
      <w:paperSrc/>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Liberation Sans">
    <w:altName w:val="微软雅黑"/>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仿宋_GB2312">
    <w:panose1 w:val="02010609030101010101"/>
    <w:charset w:val="86"/>
    <w:family w:val="auto"/>
    <w:pitch w:val="default"/>
    <w:sig w:usb0="00000001" w:usb1="080E0000" w:usb2="00000000" w:usb3="00000000" w:csb0="00040000" w:csb1="00000000"/>
  </w:font>
  <w:font w:name="CESI仿宋-GB18030">
    <w:altName w:val="仿宋"/>
    <w:panose1 w:val="02000500000000000000"/>
    <w:charset w:val="86"/>
    <w:family w:val="auto"/>
    <w:pitch w:val="default"/>
    <w:sig w:usb0="00000000" w:usb1="00000000" w:usb2="00000016" w:usb3="00000000" w:csb0="0004000F"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黑体_GBK">
    <w:altName w:val="微软雅黑"/>
    <w:panose1 w:val="02000000000000000000"/>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方正祥隶简体">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方正大标宋简体">
    <w:panose1 w:val="02010601030101010101"/>
    <w:charset w:val="86"/>
    <w:family w:val="auto"/>
    <w:pitch w:val="default"/>
    <w:sig w:usb0="00000001" w:usb1="080E0000" w:usb2="00000000" w:usb3="00000000" w:csb0="00040000" w:csb1="00000000"/>
  </w:font>
  <w:font w:name="方正大黑繁体">
    <w:panose1 w:val="03000509000000000000"/>
    <w:charset w:val="86"/>
    <w:family w:val="auto"/>
    <w:pitch w:val="default"/>
    <w:sig w:usb0="00000001" w:usb1="080E0000" w:usb2="00000000" w:usb3="00000000" w:csb0="00040000" w:csb1="00000000"/>
  </w:font>
  <w:font w:name="Broadway">
    <w:panose1 w:val="04040905080B02020502"/>
    <w:charset w:val="00"/>
    <w:family w:val="auto"/>
    <w:pitch w:val="default"/>
    <w:sig w:usb0="00000003" w:usb1="00000000" w:usb2="00000000" w:usb3="00000000" w:csb0="20000001"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Brush Script MT">
    <w:panose1 w:val="030608020404060703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bookmarkStart w:id="0" w:name="_GoBack"/>
    <w:bookmarkEnd w:id="0"/>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eastAsia="zh-CN"/>
                            </w:rPr>
                            <w:t>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eastAsia="zh-CN"/>
                      </w:rPr>
                      <w:t>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7E3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bidi w:val="0"/>
      <w:jc w:val="both"/>
    </w:pPr>
    <w:rPr>
      <w:rFonts w:ascii="Calibri" w:hAnsi="Calibri" w:eastAsia="仿宋_GB2312" w:cs="Times New Roman"/>
      <w:color w:val="auto"/>
      <w:kern w:val="2"/>
      <w:sz w:val="32"/>
      <w:szCs w:val="24"/>
      <w:lang w:val="en-US" w:eastAsia="zh-CN" w:bidi="ar-SA"/>
    </w:rPr>
  </w:style>
  <w:style w:type="paragraph" w:styleId="5">
    <w:name w:val="heading 2"/>
    <w:basedOn w:val="1"/>
    <w:next w:val="1"/>
    <w:unhideWhenUsed/>
    <w:qFormat/>
    <w:uiPriority w:val="0"/>
    <w:pPr>
      <w:widowControl/>
      <w:ind w:firstLine="420"/>
      <w:outlineLvl w:val="1"/>
    </w:pPr>
    <w:rPr>
      <w:rFonts w:ascii="Arial" w:hAnsi="Arial" w:cs="Arial"/>
      <w:b/>
      <w:bCs/>
      <w:kern w:val="0"/>
      <w:szCs w:val="21"/>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next w:val="1"/>
    <w:uiPriority w:val="0"/>
    <w:pPr>
      <w:widowControl w:val="0"/>
      <w:tabs>
        <w:tab w:val="left" w:pos="9639"/>
      </w:tabs>
      <w:suppressAutoHyphens/>
      <w:bidi w:val="0"/>
      <w:spacing w:before="0" w:after="140" w:line="276" w:lineRule="auto"/>
      <w:ind w:firstLine="420" w:firstLineChars="100"/>
      <w:jc w:val="both"/>
    </w:pPr>
    <w:rPr>
      <w:rFonts w:ascii="Calibri" w:hAnsi="Calibri" w:eastAsia="宋体" w:cs="Calibri"/>
      <w:color w:val="auto"/>
      <w:kern w:val="2"/>
      <w:sz w:val="21"/>
      <w:szCs w:val="24"/>
      <w:lang w:val="en-US" w:eastAsia="zh-CN" w:bidi="ar-SA"/>
    </w:rPr>
  </w:style>
  <w:style w:type="paragraph" w:styleId="3">
    <w:name w:val="Body Text"/>
    <w:basedOn w:val="1"/>
    <w:next w:val="4"/>
    <w:uiPriority w:val="0"/>
    <w:pPr>
      <w:spacing w:before="0" w:after="140" w:line="276" w:lineRule="auto"/>
    </w:pPr>
  </w:style>
  <w:style w:type="paragraph" w:styleId="4">
    <w:name w:val="Body Text Indent"/>
    <w:basedOn w:val="1"/>
    <w:next w:val="1"/>
    <w:uiPriority w:val="0"/>
    <w:pPr>
      <w:keepNext w:val="0"/>
      <w:keepLines w:val="0"/>
      <w:widowControl w:val="0"/>
      <w:suppressLineNumbers w:val="0"/>
      <w:spacing w:before="0" w:beforeAutospacing="0" w:after="0" w:afterAutospacing="0"/>
      <w:ind w:left="0" w:right="0" w:firstLine="720" w:firstLineChars="225"/>
      <w:jc w:val="both"/>
    </w:pPr>
    <w:rPr>
      <w:rFonts w:hint="default" w:ascii="Times New Roman" w:hAnsi="Times New Roman" w:cs="Times New Roman"/>
      <w:kern w:val="2"/>
      <w:sz w:val="32"/>
      <w:szCs w:val="32"/>
      <w:lang w:val="en-US" w:eastAsia="zh-CN" w:bidi="ar"/>
    </w:rPr>
  </w:style>
  <w:style w:type="paragraph" w:styleId="6">
    <w:name w:val="footer"/>
    <w:basedOn w:val="1"/>
    <w:next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10">
    <w:name w:val="p0"/>
    <w:basedOn w:val="1"/>
    <w:qFormat/>
    <w:uiPriority w:val="0"/>
    <w:pPr>
      <w:widowControl/>
    </w:pPr>
    <w:rPr>
      <w:rFonts w:ascii="Calibri" w:hAnsi="Calibri" w:cs="宋体"/>
      <w:kern w:val="0"/>
      <w:szCs w:val="21"/>
    </w:rPr>
  </w:style>
  <w:style w:type="paragraph" w:customStyle="1" w:styleId="11">
    <w:name w:val="p17"/>
    <w:basedOn w:val="1"/>
    <w:qFormat/>
    <w:uiPriority w:val="0"/>
    <w:pPr>
      <w:widowControl/>
      <w:snapToGrid w:val="0"/>
      <w:jc w:val="left"/>
    </w:pPr>
    <w:rPr>
      <w:color w:val="000000"/>
      <w:kern w:val="0"/>
      <w:sz w:val="24"/>
    </w:rPr>
  </w:style>
  <w:style w:type="paragraph" w:customStyle="1" w:styleId="12">
    <w:name w:val="p18"/>
    <w:basedOn w:val="1"/>
    <w:qFormat/>
    <w:uiPriority w:val="0"/>
    <w:pPr>
      <w:widowControl/>
      <w:jc w:val="left"/>
    </w:pPr>
    <w:rPr>
      <w:rFonts w:ascii="Calibri" w:hAnsi="Calibri" w:cs="宋体"/>
      <w:kern w:val="0"/>
      <w:sz w:val="24"/>
    </w:rPr>
  </w:style>
  <w:style w:type="paragraph" w:customStyle="1" w:styleId="13">
    <w:name w:val="p15"/>
    <w:basedOn w:val="1"/>
    <w:qFormat/>
    <w:uiPriority w:val="0"/>
    <w:pPr>
      <w:widowControl/>
      <w:spacing w:after="140" w:line="273" w:lineRule="auto"/>
      <w:ind w:firstLine="210"/>
    </w:pPr>
    <w:rPr>
      <w:rFonts w:ascii="Calibri" w:hAnsi="Calibri" w:cs="宋体"/>
      <w:kern w:val="0"/>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2023-01-06T06:07:56Z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