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bidi w:val="0"/>
        <w:adjustRightInd/>
        <w:snapToGrid/>
        <w:spacing w:line="560" w:lineRule="exact"/>
        <w:jc w:val="center"/>
        <w:textAlignment w:val="auto"/>
        <w:rPr>
          <w:rFonts w:hint="eastAsia" w:ascii="宋体" w:hAnsi="宋体" w:eastAsia="宋体" w:cs="宋体"/>
          <w:b w:val="0"/>
          <w:bCs w:val="0"/>
          <w:color w:val="000000"/>
          <w:sz w:val="32"/>
          <w:szCs w:val="32"/>
        </w:rPr>
      </w:pPr>
    </w:p>
    <w:p>
      <w:pPr>
        <w:keepNext w:val="0"/>
        <w:keepLines w:val="0"/>
        <w:pageBreakBefore w:val="0"/>
        <w:kinsoku/>
        <w:overflowPunct/>
        <w:topLinePunct w:val="0"/>
        <w:autoSpaceDE/>
        <w:bidi w:val="0"/>
        <w:adjustRightInd/>
        <w:snapToGrid/>
        <w:spacing w:line="560" w:lineRule="exact"/>
        <w:jc w:val="both"/>
        <w:textAlignment w:val="auto"/>
        <w:rPr>
          <w:rFonts w:hint="eastAsia" w:ascii="宋体" w:hAnsi="宋体" w:eastAsia="宋体" w:cs="宋体"/>
          <w:b w:val="0"/>
          <w:bCs w:val="0"/>
          <w:color w:val="000000"/>
          <w:sz w:val="32"/>
          <w:szCs w:val="32"/>
        </w:rPr>
      </w:pPr>
    </w:p>
    <w:p>
      <w:pPr>
        <w:keepNext w:val="0"/>
        <w:keepLines w:val="0"/>
        <w:pageBreakBefore w:val="0"/>
        <w:kinsoku/>
        <w:overflowPunct/>
        <w:topLinePunct w:val="0"/>
        <w:autoSpaceDE/>
        <w:bidi w:val="0"/>
        <w:adjustRightInd/>
        <w:snapToGrid/>
        <w:spacing w:line="560" w:lineRule="exact"/>
        <w:jc w:val="center"/>
        <w:textAlignment w:val="auto"/>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鹰潭市信江饮用水水源保护条例</w:t>
      </w:r>
    </w:p>
    <w:p>
      <w:pPr>
        <w:keepNext w:val="0"/>
        <w:keepLines w:val="0"/>
        <w:pageBreakBefore w:val="0"/>
        <w:kinsoku/>
        <w:overflowPunct/>
        <w:topLinePunct w:val="0"/>
        <w:autoSpaceDE/>
        <w:bidi w:val="0"/>
        <w:adjustRightInd/>
        <w:snapToGrid/>
        <w:spacing w:line="560" w:lineRule="exact"/>
        <w:jc w:val="center"/>
        <w:textAlignment w:val="auto"/>
        <w:rPr>
          <w:rFonts w:hint="eastAsia" w:ascii="宋体" w:hAnsi="宋体" w:eastAsia="宋体" w:cs="宋体"/>
          <w:b w:val="0"/>
          <w:bCs w:val="0"/>
          <w:color w:val="000000"/>
          <w:sz w:val="32"/>
          <w:szCs w:val="32"/>
        </w:rPr>
      </w:pPr>
    </w:p>
    <w:p>
      <w:pPr>
        <w:keepNext w:val="0"/>
        <w:keepLines w:val="0"/>
        <w:pageBreakBefore w:val="0"/>
        <w:widowControl/>
        <w:kinsoku/>
        <w:wordWrap w:val="0"/>
        <w:overflowPunct/>
        <w:topLinePunct w:val="0"/>
        <w:autoSpaceDE/>
        <w:autoSpaceDN/>
        <w:bidi w:val="0"/>
        <w:adjustRightInd/>
        <w:snapToGrid/>
        <w:spacing w:line="560" w:lineRule="exact"/>
        <w:ind w:left="626" w:leftChars="0" w:right="600" w:rightChars="190" w:hanging="626" w:hangingChars="198"/>
        <w:jc w:val="left"/>
        <w:textAlignment w:val="auto"/>
        <w:outlineLvl w:val="9"/>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lang w:val="en-US" w:eastAsia="zh-CN"/>
        </w:rPr>
        <w:t xml:space="preserve">   （</w:t>
      </w:r>
      <w:r>
        <w:rPr>
          <w:rFonts w:hint="eastAsia" w:ascii="楷体_GB2312" w:hAnsi="楷体_GB2312" w:eastAsia="楷体_GB2312" w:cs="楷体_GB2312"/>
          <w:sz w:val="32"/>
          <w:szCs w:val="32"/>
          <w:highlight w:val="none"/>
        </w:rPr>
        <w:t>2018年</w:t>
      </w:r>
      <w:r>
        <w:rPr>
          <w:rFonts w:hint="eastAsia" w:ascii="楷体_GB2312" w:hAnsi="楷体_GB2312" w:eastAsia="楷体_GB2312" w:cs="楷体_GB2312"/>
          <w:sz w:val="32"/>
          <w:szCs w:val="32"/>
          <w:highlight w:val="none"/>
          <w:lang w:val="en-US" w:eastAsia="zh-CN"/>
        </w:rPr>
        <w:t>9</w:t>
      </w:r>
      <w:r>
        <w:rPr>
          <w:rFonts w:hint="eastAsia" w:ascii="楷体_GB2312" w:hAnsi="楷体_GB2312" w:eastAsia="楷体_GB2312" w:cs="楷体_GB2312"/>
          <w:sz w:val="32"/>
          <w:szCs w:val="32"/>
          <w:highlight w:val="none"/>
        </w:rPr>
        <w:t>月</w:t>
      </w:r>
      <w:r>
        <w:rPr>
          <w:rFonts w:hint="eastAsia" w:ascii="楷体_GB2312" w:hAnsi="楷体_GB2312" w:eastAsia="楷体_GB2312" w:cs="楷体_GB2312"/>
          <w:sz w:val="32"/>
          <w:szCs w:val="32"/>
          <w:highlight w:val="none"/>
          <w:lang w:val="en-US" w:eastAsia="zh-CN"/>
        </w:rPr>
        <w:t>27</w:t>
      </w:r>
      <w:r>
        <w:rPr>
          <w:rFonts w:hint="eastAsia" w:ascii="楷体_GB2312" w:hAnsi="楷体_GB2312" w:eastAsia="楷体_GB2312" w:cs="楷体_GB2312"/>
          <w:sz w:val="32"/>
          <w:szCs w:val="32"/>
          <w:highlight w:val="none"/>
        </w:rPr>
        <w:t>日</w:t>
      </w:r>
      <w:r>
        <w:rPr>
          <w:rFonts w:hint="eastAsia" w:ascii="楷体_GB2312" w:eastAsia="楷体_GB2312"/>
          <w:sz w:val="32"/>
          <w:szCs w:val="32"/>
        </w:rPr>
        <w:t>鹰潭市第九届</w:t>
      </w:r>
      <w:r>
        <w:rPr>
          <w:rFonts w:hint="eastAsia" w:ascii="楷体_GB2312" w:hAnsi="楷体_GB2312" w:eastAsia="楷体_GB2312" w:cs="楷体_GB2312"/>
          <w:sz w:val="32"/>
          <w:szCs w:val="32"/>
          <w:highlight w:val="none"/>
        </w:rPr>
        <w:t>人民代表大会常务委员会第</w:t>
      </w:r>
      <w:r>
        <w:rPr>
          <w:rFonts w:hint="eastAsia" w:ascii="楷体_GB2312" w:eastAsia="楷体_GB2312"/>
          <w:spacing w:val="2"/>
          <w:sz w:val="32"/>
          <w:szCs w:val="32"/>
        </w:rPr>
        <w:t>二十</w:t>
      </w:r>
      <w:r>
        <w:rPr>
          <w:rFonts w:hint="eastAsia" w:ascii="楷体_GB2312" w:hAnsi="楷体_GB2312" w:eastAsia="楷体_GB2312" w:cs="楷体_GB2312"/>
          <w:sz w:val="32"/>
          <w:szCs w:val="32"/>
          <w:highlight w:val="none"/>
        </w:rPr>
        <w:t>次会议通过  2018年11月29日江西省第十三届人民代表大会常务委员会第九次会议批准）</w:t>
      </w:r>
    </w:p>
    <w:p>
      <w:pPr>
        <w:keepNext w:val="0"/>
        <w:keepLines w:val="0"/>
        <w:pageBreakBefore w:val="0"/>
        <w:kinsoku/>
        <w:overflowPunct/>
        <w:topLinePunct w:val="0"/>
        <w:autoSpaceDE/>
        <w:bidi w:val="0"/>
        <w:adjustRightInd/>
        <w:snapToGrid/>
        <w:spacing w:line="560" w:lineRule="exact"/>
        <w:jc w:val="center"/>
        <w:textAlignment w:val="auto"/>
        <w:rPr>
          <w:rFonts w:hint="eastAsia" w:ascii="宋体" w:hAnsi="宋体" w:eastAsia="宋体" w:cs="宋体"/>
          <w:color w:val="000000"/>
          <w:sz w:val="32"/>
          <w:szCs w:val="32"/>
        </w:rPr>
      </w:pPr>
    </w:p>
    <w:p>
      <w:pPr>
        <w:keepNext w:val="0"/>
        <w:keepLines w:val="0"/>
        <w:pageBreakBefore w:val="0"/>
        <w:kinsoku/>
        <w:overflowPunct/>
        <w:topLinePunct w:val="0"/>
        <w:autoSpaceDE/>
        <w:bidi w:val="0"/>
        <w:adjustRightInd/>
        <w:snapToGrid/>
        <w:spacing w:line="560" w:lineRule="exact"/>
        <w:ind w:firstLine="0" w:firstLineChars="0"/>
        <w:jc w:val="center"/>
        <w:textAlignment w:val="auto"/>
        <w:rPr>
          <w:rFonts w:hint="eastAsia" w:ascii="楷体_GB2312" w:hAnsi="楷体" w:eastAsia="楷体_GB2312" w:cs="Times New Roman"/>
          <w:color w:val="000000"/>
          <w:sz w:val="32"/>
          <w:szCs w:val="32"/>
        </w:rPr>
      </w:pPr>
      <w:r>
        <w:rPr>
          <w:rFonts w:hint="eastAsia" w:ascii="楷体_GB2312" w:hAnsi="楷体" w:eastAsia="楷体_GB2312" w:cs="Times New Roman"/>
          <w:color w:val="000000"/>
          <w:sz w:val="32"/>
          <w:szCs w:val="32"/>
        </w:rPr>
        <w:t>目</w:t>
      </w:r>
      <w:r>
        <w:rPr>
          <w:rFonts w:hint="eastAsia" w:ascii="楷体_GB2312" w:hAnsi="Arial" w:eastAsia="楷体_GB2312" w:cs="Arial"/>
          <w:szCs w:val="32"/>
        </w:rPr>
        <w:t xml:space="preserve">  </w:t>
      </w:r>
      <w:r>
        <w:rPr>
          <w:rFonts w:hint="eastAsia" w:ascii="楷体_GB2312" w:hAnsi="楷体" w:eastAsia="楷体_GB2312" w:cs="Times New Roman"/>
          <w:color w:val="000000"/>
          <w:sz w:val="32"/>
          <w:szCs w:val="32"/>
        </w:rPr>
        <w:t>录</w:t>
      </w:r>
    </w:p>
    <w:p>
      <w:pPr>
        <w:keepNext w:val="0"/>
        <w:keepLines w:val="0"/>
        <w:pageBreakBefore w:val="0"/>
        <w:kinsoku/>
        <w:overflowPunct/>
        <w:topLinePunct w:val="0"/>
        <w:autoSpaceDE/>
        <w:bidi w:val="0"/>
        <w:adjustRightInd/>
        <w:snapToGrid/>
        <w:spacing w:line="560" w:lineRule="exact"/>
        <w:ind w:firstLine="632" w:firstLineChars="200"/>
        <w:jc w:val="left"/>
        <w:textAlignment w:val="auto"/>
        <w:rPr>
          <w:rFonts w:hint="eastAsia" w:ascii="楷体_GB2312" w:hAnsi="楷体" w:eastAsia="楷体_GB2312"/>
          <w:sz w:val="32"/>
          <w:szCs w:val="32"/>
        </w:rPr>
      </w:pPr>
      <w:r>
        <w:rPr>
          <w:rFonts w:hint="eastAsia" w:ascii="楷体_GB2312" w:hAnsi="楷体" w:eastAsia="楷体_GB2312"/>
          <w:sz w:val="32"/>
          <w:szCs w:val="32"/>
        </w:rPr>
        <w:t>第一章  总则</w:t>
      </w:r>
    </w:p>
    <w:p>
      <w:pPr>
        <w:keepNext w:val="0"/>
        <w:keepLines w:val="0"/>
        <w:pageBreakBefore w:val="0"/>
        <w:shd w:val="clear" w:color="auto" w:fill="auto"/>
        <w:kinsoku/>
        <w:overflowPunct/>
        <w:topLinePunct w:val="0"/>
        <w:autoSpaceDE/>
        <w:bidi w:val="0"/>
        <w:adjustRightInd/>
        <w:snapToGrid/>
        <w:spacing w:line="560" w:lineRule="exact"/>
        <w:ind w:firstLine="648" w:firstLineChars="0"/>
        <w:jc w:val="left"/>
        <w:textAlignment w:val="auto"/>
        <w:rPr>
          <w:rFonts w:hint="eastAsia" w:ascii="楷体_GB2312" w:hAnsi="楷体" w:eastAsia="楷体_GB2312"/>
          <w:sz w:val="32"/>
          <w:szCs w:val="32"/>
        </w:rPr>
      </w:pPr>
      <w:r>
        <w:rPr>
          <w:rFonts w:hint="eastAsia" w:ascii="楷体_GB2312" w:hAnsi="楷体" w:eastAsia="楷体_GB2312"/>
          <w:sz w:val="32"/>
          <w:szCs w:val="32"/>
        </w:rPr>
        <w:t>第二章  饮用水水源保护</w:t>
      </w:r>
    </w:p>
    <w:p>
      <w:pPr>
        <w:keepNext w:val="0"/>
        <w:keepLines w:val="0"/>
        <w:pageBreakBefore w:val="0"/>
        <w:shd w:val="clear" w:color="auto" w:fill="auto"/>
        <w:kinsoku/>
        <w:overflowPunct/>
        <w:topLinePunct w:val="0"/>
        <w:autoSpaceDE/>
        <w:bidi w:val="0"/>
        <w:adjustRightInd/>
        <w:snapToGrid/>
        <w:spacing w:line="560" w:lineRule="exact"/>
        <w:ind w:firstLine="648" w:firstLineChars="0"/>
        <w:jc w:val="left"/>
        <w:textAlignment w:val="auto"/>
        <w:rPr>
          <w:rFonts w:hint="eastAsia" w:ascii="楷体_GB2312" w:hAnsi="楷体" w:eastAsia="楷体_GB2312"/>
          <w:sz w:val="32"/>
          <w:szCs w:val="32"/>
        </w:rPr>
      </w:pPr>
      <w:r>
        <w:rPr>
          <w:rFonts w:hint="eastAsia" w:ascii="楷体_GB2312" w:hAnsi="楷体" w:eastAsia="楷体_GB2312"/>
          <w:sz w:val="32"/>
          <w:szCs w:val="32"/>
        </w:rPr>
        <w:t>第三章  监督管理</w:t>
      </w:r>
    </w:p>
    <w:p>
      <w:pPr>
        <w:keepNext w:val="0"/>
        <w:keepLines w:val="0"/>
        <w:pageBreakBefore w:val="0"/>
        <w:kinsoku/>
        <w:overflowPunct/>
        <w:topLinePunct w:val="0"/>
        <w:autoSpaceDE/>
        <w:bidi w:val="0"/>
        <w:adjustRightInd/>
        <w:snapToGrid/>
        <w:spacing w:line="560" w:lineRule="exact"/>
        <w:ind w:firstLine="648" w:firstLineChars="0"/>
        <w:jc w:val="left"/>
        <w:textAlignment w:val="auto"/>
        <w:rPr>
          <w:rFonts w:hint="eastAsia" w:ascii="楷体_GB2312" w:hAnsi="楷体" w:eastAsia="楷体_GB2312"/>
          <w:sz w:val="32"/>
          <w:szCs w:val="32"/>
        </w:rPr>
      </w:pPr>
      <w:r>
        <w:rPr>
          <w:rFonts w:hint="eastAsia" w:ascii="楷体_GB2312" w:hAnsi="楷体" w:eastAsia="楷体_GB2312"/>
          <w:sz w:val="32"/>
          <w:szCs w:val="32"/>
        </w:rPr>
        <w:t>第四章  法律责任</w:t>
      </w:r>
    </w:p>
    <w:p>
      <w:pPr>
        <w:keepNext w:val="0"/>
        <w:keepLines w:val="0"/>
        <w:pageBreakBefore w:val="0"/>
        <w:shd w:val="clear" w:color="auto" w:fill="auto"/>
        <w:kinsoku/>
        <w:overflowPunct/>
        <w:topLinePunct w:val="0"/>
        <w:autoSpaceDE/>
        <w:bidi w:val="0"/>
        <w:adjustRightInd/>
        <w:snapToGrid/>
        <w:spacing w:line="560" w:lineRule="exact"/>
        <w:ind w:firstLine="648" w:firstLineChars="0"/>
        <w:jc w:val="left"/>
        <w:textAlignment w:val="auto"/>
        <w:rPr>
          <w:rFonts w:hint="eastAsia" w:ascii="楷体_GB2312" w:hAnsi="楷体" w:eastAsia="楷体_GB2312"/>
          <w:sz w:val="32"/>
          <w:szCs w:val="32"/>
        </w:rPr>
      </w:pPr>
      <w:r>
        <w:rPr>
          <w:rFonts w:hint="eastAsia" w:ascii="楷体_GB2312" w:hAnsi="楷体" w:eastAsia="楷体_GB2312"/>
          <w:sz w:val="32"/>
          <w:szCs w:val="32"/>
        </w:rPr>
        <w:t>第五章  附则</w:t>
      </w:r>
    </w:p>
    <w:p>
      <w:pPr>
        <w:keepNext w:val="0"/>
        <w:keepLines w:val="0"/>
        <w:pageBreakBefore w:val="0"/>
        <w:kinsoku/>
        <w:overflowPunct/>
        <w:topLinePunct w:val="0"/>
        <w:autoSpaceDE/>
        <w:bidi w:val="0"/>
        <w:adjustRightInd/>
        <w:snapToGrid/>
        <w:spacing w:line="560" w:lineRule="exact"/>
        <w:jc w:val="center"/>
        <w:textAlignment w:val="auto"/>
        <w:rPr>
          <w:rFonts w:hint="eastAsia" w:ascii="宋体" w:hAnsi="宋体" w:eastAsia="宋体" w:cs="宋体"/>
          <w:color w:val="000000"/>
          <w:w w:val="100"/>
          <w:sz w:val="32"/>
          <w:szCs w:val="32"/>
        </w:rPr>
      </w:pPr>
    </w:p>
    <w:p>
      <w:pPr>
        <w:keepNext w:val="0"/>
        <w:keepLines w:val="0"/>
        <w:pageBreakBefore w:val="0"/>
        <w:widowControl w:val="0"/>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r>
        <w:rPr>
          <w:rFonts w:hint="eastAsia" w:ascii="黑体" w:eastAsia="黑体"/>
          <w:color w:val="000000"/>
          <w:w w:val="100"/>
          <w:sz w:val="32"/>
          <w:szCs w:val="32"/>
        </w:rPr>
        <w:t>第一章  总则</w:t>
      </w:r>
    </w:p>
    <w:p>
      <w:pPr>
        <w:keepNext w:val="0"/>
        <w:keepLines w:val="0"/>
        <w:pageBreakBefore w:val="0"/>
        <w:widowControl w:val="0"/>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第一条</w:t>
      </w:r>
      <w:r>
        <w:rPr>
          <w:rFonts w:hint="eastAsia" w:ascii="楷体_GB2312"/>
          <w:color w:val="000000"/>
          <w:w w:val="100"/>
          <w:sz w:val="32"/>
          <w:szCs w:val="32"/>
        </w:rPr>
        <w:t xml:space="preserve"> </w:t>
      </w:r>
      <w:r>
        <w:rPr>
          <w:rFonts w:hint="eastAsia" w:ascii="仿宋_GB2312" w:eastAsia="仿宋_GB2312"/>
          <w:color w:val="000000"/>
          <w:w w:val="100"/>
          <w:sz w:val="32"/>
          <w:szCs w:val="32"/>
        </w:rPr>
        <w:t xml:space="preserve"> 为了保护鹰潭市信江饮用水水源，改善饮用水水质，保障饮用水安全，根据《中华人民共和国水污染防治法》等法律、法规</w:t>
      </w:r>
      <w:r>
        <w:rPr>
          <w:rFonts w:hint="eastAsia" w:ascii="仿宋_GB2312" w:hAnsi="Times New Roman" w:eastAsia="仿宋_GB2312" w:cs="Times New Roman"/>
          <w:color w:val="000000"/>
          <w:w w:val="100"/>
          <w:sz w:val="32"/>
          <w:szCs w:val="32"/>
          <w:shd w:val="clear" w:color="auto" w:fill="auto"/>
          <w:lang w:eastAsia="zh-CN" w:bidi="ar-SA"/>
        </w:rPr>
        <w:t>的规定</w:t>
      </w:r>
      <w:r>
        <w:rPr>
          <w:rFonts w:hint="eastAsia" w:ascii="仿宋_GB2312" w:eastAsia="仿宋_GB2312"/>
          <w:color w:val="000000"/>
          <w:w w:val="100"/>
          <w:sz w:val="32"/>
          <w:szCs w:val="32"/>
        </w:rPr>
        <w:t>，结合本市实际，制定本条例。</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hAnsi="Times New Roman" w:eastAsia="仿宋_GB2312" w:cs="Times New Roman"/>
          <w:color w:val="000000"/>
          <w:w w:val="100"/>
          <w:sz w:val="32"/>
          <w:szCs w:val="32"/>
          <w:shd w:val="clear" w:color="auto" w:fill="auto"/>
          <w:lang w:eastAsia="zh-CN" w:bidi="ar-SA"/>
        </w:rPr>
      </w:pPr>
      <w:r>
        <w:rPr>
          <w:rFonts w:hint="eastAsia" w:ascii="黑体" w:eastAsia="黑体"/>
          <w:bCs w:val="0"/>
          <w:color w:val="000000"/>
          <w:w w:val="100"/>
          <w:sz w:val="32"/>
          <w:szCs w:val="32"/>
        </w:rPr>
        <w:t>第二条</w:t>
      </w:r>
      <w:r>
        <w:rPr>
          <w:rFonts w:hint="eastAsia" w:ascii="楷体_GB2312"/>
          <w:bCs/>
          <w:color w:val="000000"/>
          <w:w w:val="100"/>
          <w:sz w:val="32"/>
          <w:szCs w:val="32"/>
        </w:rPr>
        <w:t xml:space="preserve"> </w:t>
      </w:r>
      <w:r>
        <w:rPr>
          <w:rFonts w:hint="eastAsia" w:ascii="仿宋_GB2312" w:eastAsia="仿宋_GB2312"/>
          <w:bCs/>
          <w:color w:val="000000"/>
          <w:w w:val="100"/>
          <w:sz w:val="32"/>
          <w:szCs w:val="32"/>
        </w:rPr>
        <w:t xml:space="preserve"> </w:t>
      </w:r>
      <w:r>
        <w:rPr>
          <w:rFonts w:hint="eastAsia" w:ascii="仿宋_GB2312" w:hAnsi="Times New Roman" w:eastAsia="仿宋_GB2312" w:cs="Times New Roman"/>
          <w:color w:val="000000"/>
          <w:w w:val="100"/>
          <w:sz w:val="32"/>
          <w:szCs w:val="32"/>
          <w:shd w:val="clear" w:color="auto" w:fill="auto"/>
          <w:lang w:eastAsia="zh-CN" w:bidi="ar-SA"/>
        </w:rPr>
        <w:t>本条例所称信江饮用水水源，是指信江鹰潭段（含一级支流）用于城乡集中式供水的饮用水水源。</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hAnsi="Times New Roman" w:eastAsia="仿宋_GB2312" w:cs="Times New Roman"/>
          <w:color w:val="000000"/>
          <w:w w:val="100"/>
          <w:sz w:val="32"/>
          <w:szCs w:val="32"/>
          <w:shd w:val="clear" w:color="auto" w:fill="auto"/>
          <w:lang w:eastAsia="zh-CN" w:bidi="ar-SA"/>
        </w:rPr>
      </w:pPr>
      <w:r>
        <w:rPr>
          <w:rFonts w:hint="eastAsia" w:ascii="仿宋_GB2312" w:hAnsi="Times New Roman" w:eastAsia="仿宋_GB2312" w:cs="Times New Roman"/>
          <w:color w:val="000000"/>
          <w:w w:val="100"/>
          <w:sz w:val="32"/>
          <w:szCs w:val="32"/>
          <w:shd w:val="clear" w:color="auto" w:fill="auto"/>
          <w:lang w:eastAsia="zh-CN" w:bidi="ar-SA"/>
        </w:rPr>
        <w:t>信江饮用水水源实行保护区制度。</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bCs w:val="0"/>
          <w:color w:val="000000"/>
          <w:w w:val="100"/>
          <w:sz w:val="32"/>
          <w:szCs w:val="32"/>
        </w:rPr>
      </w:pPr>
      <w:r>
        <w:rPr>
          <w:rFonts w:hint="eastAsia" w:ascii="仿宋_GB2312" w:eastAsia="仿宋_GB2312"/>
          <w:bCs/>
          <w:color w:val="000000"/>
          <w:w w:val="100"/>
          <w:sz w:val="32"/>
          <w:szCs w:val="32"/>
        </w:rPr>
        <w:t>本市行政区域内信江</w:t>
      </w:r>
      <w:r>
        <w:rPr>
          <w:rFonts w:hint="eastAsia" w:ascii="仿宋_GB2312" w:eastAsia="仿宋_GB2312"/>
          <w:color w:val="000000"/>
          <w:w w:val="100"/>
          <w:sz w:val="32"/>
          <w:szCs w:val="32"/>
        </w:rPr>
        <w:t>饮用水水源</w:t>
      </w:r>
      <w:r>
        <w:rPr>
          <w:rFonts w:hint="eastAsia" w:ascii="仿宋_GB2312" w:hAnsi="Times New Roman" w:eastAsia="仿宋_GB2312" w:cs="Times New Roman"/>
          <w:color w:val="000000"/>
          <w:w w:val="100"/>
          <w:sz w:val="32"/>
          <w:szCs w:val="32"/>
          <w:shd w:val="clear" w:color="auto" w:fill="auto"/>
          <w:lang w:eastAsia="zh-CN" w:bidi="ar-SA"/>
        </w:rPr>
        <w:t>及保护区的</w:t>
      </w:r>
      <w:r>
        <w:rPr>
          <w:rFonts w:hint="eastAsia" w:ascii="仿宋_GB2312" w:eastAsia="仿宋_GB2312"/>
          <w:color w:val="000000"/>
          <w:w w:val="100"/>
          <w:sz w:val="32"/>
          <w:szCs w:val="32"/>
        </w:rPr>
        <w:t>保护</w:t>
      </w:r>
      <w:r>
        <w:rPr>
          <w:rFonts w:hint="eastAsia" w:ascii="仿宋_GB2312" w:hAnsi="Times New Roman" w:eastAsia="仿宋_GB2312" w:cs="Times New Roman"/>
          <w:color w:val="000000"/>
          <w:w w:val="100"/>
          <w:sz w:val="32"/>
          <w:szCs w:val="32"/>
          <w:shd w:val="clear" w:color="auto" w:fill="auto"/>
          <w:lang w:eastAsia="zh-CN" w:bidi="ar-SA"/>
        </w:rPr>
        <w:t>和相关</w:t>
      </w:r>
      <w:r>
        <w:rPr>
          <w:rFonts w:hint="eastAsia" w:ascii="仿宋_GB2312" w:eastAsia="仿宋_GB2312"/>
          <w:color w:val="000000"/>
          <w:w w:val="100"/>
          <w:sz w:val="32"/>
          <w:szCs w:val="32"/>
        </w:rPr>
        <w:t>管理</w:t>
      </w:r>
      <w:r>
        <w:rPr>
          <w:rFonts w:hint="eastAsia" w:ascii="仿宋_GB2312" w:hAnsi="Times New Roman" w:eastAsia="仿宋_GB2312" w:cs="Times New Roman"/>
          <w:color w:val="000000"/>
          <w:w w:val="100"/>
          <w:sz w:val="32"/>
          <w:szCs w:val="32"/>
          <w:shd w:val="clear" w:color="auto" w:fill="auto"/>
          <w:lang w:eastAsia="zh-CN" w:bidi="ar-SA"/>
        </w:rPr>
        <w:t>活动</w:t>
      </w:r>
      <w:r>
        <w:rPr>
          <w:rFonts w:hint="eastAsia" w:ascii="仿宋_GB2312" w:eastAsia="仿宋_GB2312"/>
          <w:color w:val="000000"/>
          <w:w w:val="100"/>
          <w:sz w:val="32"/>
          <w:szCs w:val="32"/>
        </w:rPr>
        <w:t>，适用本</w:t>
      </w:r>
      <w:r>
        <w:rPr>
          <w:rFonts w:hint="eastAsia" w:ascii="仿宋_GB2312" w:eastAsia="仿宋_GB2312"/>
          <w:bCs w:val="0"/>
          <w:color w:val="000000"/>
          <w:w w:val="100"/>
          <w:sz w:val="32"/>
          <w:szCs w:val="32"/>
        </w:rPr>
        <w:t>条例。</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第三条</w:t>
      </w:r>
      <w:r>
        <w:rPr>
          <w:rFonts w:hint="eastAsia" w:ascii="楷体_GB2312"/>
          <w:bCs/>
          <w:color w:val="000000"/>
          <w:w w:val="100"/>
          <w:sz w:val="32"/>
          <w:szCs w:val="32"/>
        </w:rPr>
        <w:t xml:space="preserve"> </w:t>
      </w:r>
      <w:r>
        <w:rPr>
          <w:rFonts w:hint="eastAsia" w:ascii="仿宋_GB2312" w:eastAsia="仿宋_GB2312"/>
          <w:color w:val="000000"/>
          <w:w w:val="100"/>
          <w:sz w:val="32"/>
          <w:szCs w:val="32"/>
        </w:rPr>
        <w:t xml:space="preserve"> 信江饮用水水源保护应当遵循科学规划、预防为主、保护优先、综合治理、依法监管、确保安全的原则。</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第四条</w:t>
      </w:r>
      <w:r>
        <w:rPr>
          <w:rFonts w:hint="eastAsia" w:ascii="楷体_GB2312"/>
          <w:bCs/>
          <w:color w:val="000000"/>
          <w:w w:val="100"/>
          <w:sz w:val="32"/>
          <w:szCs w:val="32"/>
        </w:rPr>
        <w:t xml:space="preserve"> </w:t>
      </w:r>
      <w:r>
        <w:rPr>
          <w:rFonts w:hint="eastAsia" w:ascii="仿宋_GB2312" w:eastAsia="仿宋_GB2312"/>
          <w:color w:val="000000"/>
          <w:w w:val="100"/>
          <w:sz w:val="32"/>
          <w:szCs w:val="32"/>
        </w:rPr>
        <w:t xml:space="preserve"> 市、区（市）人民政府（管委会）和有关乡镇人民政府（街道办事处）对辖区内的信江饮用水水源环境质量负责。</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市、区（市）人民政府每年向本级人民代表大会或者其常务委员会报告环境状况和环境保护目标完成情况时，应当报告本行政区域内信江饮用水水源保护情况，并向社会公开。</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有关乡镇人民政府应当每年向乡镇人民代表大会报告本行政区域内信江饮用水水源保护情况。</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有关村（居）民委员会应当协助做好本辖区内信江饮用水水源的保护工作。</w:t>
      </w:r>
    </w:p>
    <w:p>
      <w:pPr>
        <w:keepNext w:val="0"/>
        <w:keepLines w:val="0"/>
        <w:pageBreakBefore w:val="0"/>
        <w:widowControl w:val="0"/>
        <w:kinsoku/>
        <w:wordWrap/>
        <w:overflowPunct/>
        <w:topLinePunct w:val="0"/>
        <w:autoSpaceDE/>
        <w:bidi w:val="0"/>
        <w:adjustRightInd/>
        <w:snapToGrid/>
        <w:spacing w:line="560" w:lineRule="exact"/>
        <w:ind w:firstLine="632" w:firstLineChars="200"/>
        <w:textAlignment w:val="auto"/>
        <w:outlineLvl w:val="9"/>
        <w:rPr>
          <w:rFonts w:eastAsia="楷体_GB2312"/>
          <w:w w:val="100"/>
          <w:sz w:val="32"/>
          <w:szCs w:val="32"/>
        </w:rPr>
      </w:pPr>
      <w:r>
        <w:rPr>
          <w:rFonts w:hint="eastAsia" w:ascii="黑体" w:eastAsia="黑体"/>
          <w:bCs w:val="0"/>
          <w:color w:val="000000"/>
          <w:w w:val="100"/>
          <w:sz w:val="32"/>
          <w:szCs w:val="32"/>
        </w:rPr>
        <w:t xml:space="preserve">第五条 </w:t>
      </w:r>
      <w:r>
        <w:rPr>
          <w:rFonts w:hint="eastAsia" w:ascii="楷体_GB2312"/>
          <w:bCs/>
          <w:color w:val="000000"/>
          <w:w w:val="100"/>
          <w:sz w:val="32"/>
          <w:szCs w:val="32"/>
        </w:rPr>
        <w:t xml:space="preserve"> </w:t>
      </w:r>
      <w:r>
        <w:rPr>
          <w:rFonts w:hint="eastAsia" w:ascii="仿宋_GB2312" w:eastAsia="仿宋_GB2312"/>
          <w:color w:val="000000"/>
          <w:w w:val="100"/>
          <w:sz w:val="32"/>
          <w:szCs w:val="32"/>
        </w:rPr>
        <w:t>生态环境主管部门对信江饮用水水源保护实施统一监督管理，市、区（市）人民政府（管委会）水行政、农业</w:t>
      </w:r>
      <w:r>
        <w:rPr>
          <w:rFonts w:hint="eastAsia" w:ascii="仿宋_GB2312" w:eastAsia="仿宋_GB2312"/>
          <w:color w:val="000000"/>
          <w:w w:val="100"/>
          <w:sz w:val="32"/>
          <w:szCs w:val="32"/>
          <w:lang w:eastAsia="zh-CN"/>
        </w:rPr>
        <w:t>、林业、自然资源</w:t>
      </w:r>
      <w:r>
        <w:rPr>
          <w:rFonts w:hint="eastAsia" w:ascii="仿宋_GB2312" w:eastAsia="仿宋_GB2312"/>
          <w:color w:val="000000"/>
          <w:w w:val="100"/>
          <w:sz w:val="32"/>
          <w:szCs w:val="32"/>
        </w:rPr>
        <w:t>、城乡建设、城市管理、</w:t>
      </w:r>
      <w:r>
        <w:rPr>
          <w:rFonts w:hint="eastAsia" w:ascii="仿宋_GB2312" w:eastAsia="仿宋_GB2312"/>
          <w:color w:val="000000"/>
          <w:w w:val="100"/>
          <w:sz w:val="32"/>
          <w:szCs w:val="32"/>
          <w:lang w:eastAsia="zh-CN"/>
        </w:rPr>
        <w:t>工业和信息化、</w:t>
      </w:r>
      <w:r>
        <w:rPr>
          <w:rFonts w:hint="eastAsia" w:ascii="仿宋_GB2312" w:eastAsia="仿宋_GB2312"/>
          <w:color w:val="000000"/>
          <w:w w:val="100"/>
          <w:sz w:val="32"/>
          <w:szCs w:val="32"/>
        </w:rPr>
        <w:t>公安、交通、海事、</w:t>
      </w:r>
      <w:r>
        <w:rPr>
          <w:rFonts w:hint="eastAsia" w:ascii="仿宋_GB2312" w:hAnsi="Times New Roman" w:eastAsia="仿宋_GB2312" w:cs="Times New Roman"/>
          <w:color w:val="000000"/>
          <w:w w:val="100"/>
          <w:sz w:val="32"/>
          <w:szCs w:val="32"/>
          <w:shd w:val="clear" w:color="auto" w:fill="auto"/>
          <w:lang w:eastAsia="zh-CN" w:bidi="ar-SA"/>
        </w:rPr>
        <w:t>应急管理</w:t>
      </w:r>
      <w:r>
        <w:rPr>
          <w:rFonts w:hint="eastAsia" w:ascii="仿宋_GB2312" w:eastAsia="仿宋_GB2312"/>
          <w:color w:val="000000"/>
          <w:w w:val="100"/>
          <w:sz w:val="32"/>
          <w:szCs w:val="32"/>
        </w:rPr>
        <w:t>等部门按照法定职责，做好相关保护工作。</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第六条</w:t>
      </w:r>
      <w:r>
        <w:rPr>
          <w:rFonts w:hint="eastAsia" w:ascii="楷体_GB2312"/>
          <w:bCs/>
          <w:color w:val="000000"/>
          <w:w w:val="100"/>
          <w:sz w:val="32"/>
          <w:szCs w:val="32"/>
        </w:rPr>
        <w:t xml:space="preserve"> </w:t>
      </w:r>
      <w:r>
        <w:rPr>
          <w:rFonts w:hint="eastAsia" w:ascii="仿宋_GB2312" w:eastAsia="仿宋_GB2312"/>
          <w:color w:val="000000"/>
          <w:w w:val="100"/>
          <w:sz w:val="32"/>
          <w:szCs w:val="32"/>
        </w:rPr>
        <w:t xml:space="preserve"> 市、区（市）人民政府（管委会）应当将信江饮用水水源保护工作纳入目标管理考核，并纳入领导干部自然资源资产离任审计。</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第七条</w:t>
      </w:r>
      <w:r>
        <w:rPr>
          <w:rFonts w:hint="eastAsia" w:ascii="楷体_GB2312"/>
          <w:bCs/>
          <w:color w:val="000000"/>
          <w:w w:val="100"/>
          <w:sz w:val="32"/>
          <w:szCs w:val="32"/>
        </w:rPr>
        <w:t xml:space="preserve"> </w:t>
      </w:r>
      <w:r>
        <w:rPr>
          <w:rFonts w:hint="eastAsia" w:ascii="仿宋_GB2312" w:eastAsia="仿宋_GB2312"/>
          <w:color w:val="000000"/>
          <w:w w:val="100"/>
          <w:sz w:val="32"/>
          <w:szCs w:val="32"/>
        </w:rPr>
        <w:t xml:space="preserve"> 市、区（市）人民政府（管委会）应当建立信江饮用水水源保护补偿机制，推动本辖区内信江饮用水水源的保护、治理。</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第八条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市、区（市）人民政府（管委会）应当建设应急备用水源工程或者联网供水，建立健全应急水源保护措施，并制定城乡饮用水安全应急预案。</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第九条</w:t>
      </w:r>
      <w:r>
        <w:rPr>
          <w:rFonts w:hint="eastAsia" w:ascii="楷体_GB2312"/>
          <w:bCs/>
          <w:color w:val="000000"/>
          <w:w w:val="100"/>
          <w:sz w:val="32"/>
          <w:szCs w:val="32"/>
        </w:rPr>
        <w:t xml:space="preserve"> </w:t>
      </w:r>
      <w:r>
        <w:rPr>
          <w:rFonts w:hint="eastAsia" w:ascii="仿宋_GB2312" w:eastAsia="仿宋_GB2312"/>
          <w:color w:val="000000"/>
          <w:w w:val="100"/>
          <w:sz w:val="32"/>
          <w:szCs w:val="32"/>
        </w:rPr>
        <w:t xml:space="preserve"> 任何单位和个人都有保护信江饮用水水源的义务，有权制止和举报污染饮用水水源、破坏饮用水水源保护设施的行为。</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市、区（市）人民政府（管委会）及其有关部门应当对在信江饮用水水源保护工作中作出显著成绩的单位和个人给予表彰和奖励。</w:t>
      </w:r>
    </w:p>
    <w:p>
      <w:pPr>
        <w:keepNext w:val="0"/>
        <w:keepLines w:val="0"/>
        <w:pageBreakBefore w:val="0"/>
        <w:widowControl w:val="0"/>
        <w:kinsoku/>
        <w:wordWrap/>
        <w:overflowPunct/>
        <w:topLinePunct w:val="0"/>
        <w:autoSpaceDE/>
        <w:bidi w:val="0"/>
        <w:adjustRightInd/>
        <w:snapToGrid/>
        <w:spacing w:line="560" w:lineRule="exact"/>
        <w:jc w:val="both"/>
        <w:textAlignment w:val="auto"/>
        <w:outlineLvl w:val="9"/>
        <w:rPr>
          <w:rFonts w:hint="eastAsia" w:ascii="黑体" w:eastAsia="黑体"/>
          <w:color w:val="000000"/>
          <w:w w:val="100"/>
          <w:sz w:val="32"/>
          <w:szCs w:val="32"/>
        </w:rPr>
      </w:pPr>
      <w:r>
        <w:rPr>
          <w:rFonts w:hint="eastAsia" w:ascii="黑体" w:eastAsia="黑体"/>
          <w:color w:val="000000"/>
          <w:w w:val="100"/>
          <w:sz w:val="32"/>
          <w:szCs w:val="32"/>
        </w:rPr>
        <w:t xml:space="preserve">    第十条 </w:t>
      </w:r>
      <w:r>
        <w:rPr>
          <w:rFonts w:hint="eastAsia" w:ascii="仿宋_GB2312" w:eastAsia="仿宋_GB2312"/>
          <w:color w:val="000000"/>
          <w:w w:val="100"/>
          <w:sz w:val="32"/>
          <w:szCs w:val="32"/>
        </w:rPr>
        <w:t xml:space="preserve"> </w:t>
      </w:r>
      <w:r>
        <w:rPr>
          <w:rFonts w:hint="eastAsia" w:ascii="仿宋_GB2312" w:hAnsi="Times New Roman" w:eastAsia="仿宋_GB2312" w:cs="Times New Roman"/>
          <w:color w:val="000000"/>
          <w:w w:val="100"/>
          <w:sz w:val="32"/>
          <w:szCs w:val="32"/>
          <w:shd w:val="clear" w:color="auto" w:fill="auto"/>
          <w:lang w:eastAsia="zh-CN" w:bidi="ar-SA"/>
        </w:rPr>
        <w:t>对污染</w:t>
      </w:r>
      <w:r>
        <w:rPr>
          <w:rFonts w:hint="eastAsia" w:ascii="仿宋_GB2312" w:eastAsia="仿宋_GB2312"/>
          <w:color w:val="000000"/>
          <w:w w:val="100"/>
          <w:sz w:val="32"/>
          <w:szCs w:val="32"/>
        </w:rPr>
        <w:t>信江饮用水水源的</w:t>
      </w:r>
      <w:r>
        <w:rPr>
          <w:rFonts w:hint="eastAsia" w:ascii="仿宋_GB2312" w:hAnsi="Times New Roman" w:eastAsia="仿宋_GB2312" w:cs="Times New Roman"/>
          <w:color w:val="000000"/>
          <w:w w:val="100"/>
          <w:sz w:val="32"/>
          <w:szCs w:val="32"/>
          <w:shd w:val="clear" w:color="auto" w:fill="auto"/>
          <w:lang w:eastAsia="zh-CN" w:bidi="ar-SA"/>
        </w:rPr>
        <w:t>行为</w:t>
      </w:r>
      <w:r>
        <w:rPr>
          <w:rFonts w:hint="eastAsia" w:ascii="仿宋_GB2312" w:eastAsia="仿宋_GB2312"/>
          <w:color w:val="000000"/>
          <w:w w:val="100"/>
          <w:sz w:val="32"/>
          <w:szCs w:val="32"/>
        </w:rPr>
        <w:t>，法律规定的机关和有关组织可以依法提起公益诉讼。</w:t>
      </w:r>
    </w:p>
    <w:p>
      <w:pPr>
        <w:keepNext w:val="0"/>
        <w:keepLines w:val="0"/>
        <w:pageBreakBefore w:val="0"/>
        <w:widowControl w:val="0"/>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p>
    <w:p>
      <w:pPr>
        <w:keepNext w:val="0"/>
        <w:keepLines w:val="0"/>
        <w:pageBreakBefore w:val="0"/>
        <w:widowControl w:val="0"/>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r>
        <w:rPr>
          <w:rFonts w:hint="eastAsia" w:ascii="黑体" w:eastAsia="黑体"/>
          <w:color w:val="000000"/>
          <w:w w:val="100"/>
          <w:sz w:val="32"/>
          <w:szCs w:val="32"/>
        </w:rPr>
        <w:t>第二章  饮用水水源保护</w:t>
      </w:r>
    </w:p>
    <w:p>
      <w:pPr>
        <w:keepNext w:val="0"/>
        <w:keepLines w:val="0"/>
        <w:pageBreakBefore w:val="0"/>
        <w:widowControl w:val="0"/>
        <w:kinsoku/>
        <w:wordWrap/>
        <w:overflowPunct/>
        <w:topLinePunct w:val="0"/>
        <w:autoSpaceDE/>
        <w:bidi w:val="0"/>
        <w:adjustRightInd/>
        <w:snapToGrid/>
        <w:spacing w:line="560" w:lineRule="exact"/>
        <w:jc w:val="center"/>
        <w:textAlignment w:val="auto"/>
        <w:outlineLvl w:val="9"/>
        <w:rPr>
          <w:rFonts w:hint="eastAsia" w:ascii="仿宋_GB2312" w:eastAsia="仿宋_GB2312"/>
          <w:color w:val="000000"/>
          <w:w w:val="100"/>
          <w:sz w:val="32"/>
          <w:szCs w:val="32"/>
        </w:rPr>
      </w:pP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第十一条</w:t>
      </w:r>
      <w:r>
        <w:rPr>
          <w:rFonts w:hint="eastAsia" w:ascii="仿宋_GB2312" w:eastAsia="仿宋_GB2312"/>
          <w:color w:val="000000"/>
          <w:w w:val="100"/>
          <w:sz w:val="32"/>
          <w:szCs w:val="32"/>
        </w:rPr>
        <w:t xml:space="preserve">  信江饮用水水源保护区分为一级保护区和二级保护区。</w:t>
      </w:r>
    </w:p>
    <w:p>
      <w:pPr>
        <w:keepNext w:val="0"/>
        <w:keepLines w:val="0"/>
        <w:pageBreakBefore w:val="0"/>
        <w:widowControl w:val="0"/>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用于市、县级城区供水的信江饮用水水源，应当划定准保护区。用于企业及乡镇供水的信江饮用水水源，可以根据需要划定准保护区。</w:t>
      </w:r>
    </w:p>
    <w:p>
      <w:pPr>
        <w:keepNext w:val="0"/>
        <w:keepLines w:val="0"/>
        <w:pageBreakBefore w:val="0"/>
        <w:widowControl w:val="0"/>
        <w:kinsoku/>
        <w:wordWrap/>
        <w:overflowPunct/>
        <w:topLinePunct w:val="0"/>
        <w:autoSpaceDE/>
        <w:bidi w:val="0"/>
        <w:adjustRightInd/>
        <w:snapToGrid/>
        <w:spacing w:line="560" w:lineRule="exact"/>
        <w:ind w:firstLine="632" w:firstLineChars="200"/>
        <w:textAlignment w:val="auto"/>
        <w:outlineLvl w:val="9"/>
        <w:rPr>
          <w:rFonts w:hint="eastAsia" w:ascii="仿宋_GB2312" w:eastAsia="仿宋_GB2312" w:cs="宋体"/>
          <w:w w:val="100"/>
          <w:kern w:val="0"/>
          <w:sz w:val="32"/>
          <w:szCs w:val="32"/>
        </w:rPr>
      </w:pPr>
      <w:r>
        <w:rPr>
          <w:rFonts w:hint="eastAsia" w:ascii="仿宋_GB2312" w:eastAsia="仿宋_GB2312"/>
          <w:color w:val="000000"/>
          <w:w w:val="100"/>
          <w:sz w:val="32"/>
          <w:szCs w:val="32"/>
        </w:rPr>
        <w:t>鹰潭市、贵溪市人民政府应当按照法律、法规规定的程序和国家饮用水水源保护区划分技术规范的要求，提出信江饮用水水源保护区、准保护区的划定方案，报省人民政府批准。</w:t>
      </w:r>
    </w:p>
    <w:p>
      <w:pPr>
        <w:keepNext w:val="0"/>
        <w:keepLines w:val="0"/>
        <w:pageBreakBefore w:val="0"/>
        <w:widowControl w:val="0"/>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第十二条</w:t>
      </w:r>
      <w:r>
        <w:rPr>
          <w:rFonts w:hint="eastAsia" w:ascii="仿宋_GB2312" w:eastAsia="仿宋_GB2312"/>
          <w:color w:val="000000"/>
          <w:w w:val="100"/>
          <w:sz w:val="32"/>
          <w:szCs w:val="32"/>
        </w:rPr>
        <w:t xml:space="preserve">  经依法划定的信江饮用水水源保护区、准保护区不得擅自调整。因取水口变化等原因确需调整的，应当及时提出调整方案，并按照规定的程序报请批准。</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第十</w:t>
      </w:r>
      <w:r>
        <w:rPr>
          <w:rFonts w:hint="eastAsia" w:ascii="黑体" w:hAnsi="Times New Roman" w:eastAsia="黑体" w:cs="Times New Roman"/>
          <w:color w:val="000000"/>
          <w:w w:val="100"/>
          <w:sz w:val="32"/>
          <w:szCs w:val="32"/>
          <w:shd w:val="clear" w:color="auto" w:fill="auto"/>
          <w:lang w:eastAsia="zh-CN" w:bidi="ar-SA"/>
        </w:rPr>
        <w:t>三</w:t>
      </w:r>
      <w:r>
        <w:rPr>
          <w:rFonts w:hint="eastAsia" w:ascii="黑体" w:eastAsia="黑体"/>
          <w:bCs w:val="0"/>
          <w:color w:val="000000"/>
          <w:w w:val="100"/>
          <w:sz w:val="32"/>
          <w:szCs w:val="32"/>
        </w:rPr>
        <w:t>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市、区（市）人民政府（管委会）应当依照国家饮用水水源保护区标志技术要求，在饮用水水源保护区和准保护区的边界设立明确的地理界标和明显的警示标志。饮用水水源一级保护区周边生产、生活活动频繁的区域，应当设置隔离防护设施。</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任何单位和个人不得损毁、擅自移动饮用水水源保护区、准保护区的地理界标、警示标志和隔离防护设施。</w:t>
      </w:r>
    </w:p>
    <w:p>
      <w:pPr>
        <w:keepNext w:val="0"/>
        <w:keepLines w:val="0"/>
        <w:pageBreakBefore w:val="0"/>
        <w:widowControl w:val="0"/>
        <w:kinsoku/>
        <w:wordWrap/>
        <w:overflowPunct/>
        <w:topLinePunct w:val="0"/>
        <w:autoSpaceDE/>
        <w:bidi w:val="0"/>
        <w:adjustRightInd/>
        <w:snapToGrid/>
        <w:spacing w:line="560" w:lineRule="exact"/>
        <w:ind w:firstLine="632" w:firstLineChars="200"/>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第十</w:t>
      </w:r>
      <w:r>
        <w:rPr>
          <w:rFonts w:hint="eastAsia" w:ascii="黑体" w:hAnsi="Times New Roman" w:eastAsia="黑体" w:cs="Times New Roman"/>
          <w:color w:val="000000"/>
          <w:w w:val="100"/>
          <w:sz w:val="32"/>
          <w:szCs w:val="32"/>
          <w:shd w:val="clear" w:color="auto" w:fill="auto"/>
          <w:lang w:eastAsia="zh-CN" w:bidi="ar-SA"/>
        </w:rPr>
        <w:t>四</w:t>
      </w:r>
      <w:r>
        <w:rPr>
          <w:rFonts w:hint="eastAsia" w:ascii="黑体" w:eastAsia="黑体"/>
          <w:bCs w:val="0"/>
          <w:color w:val="000000"/>
          <w:w w:val="100"/>
          <w:sz w:val="32"/>
          <w:szCs w:val="32"/>
        </w:rPr>
        <w:t xml:space="preserve">条 </w:t>
      </w:r>
      <w:r>
        <w:rPr>
          <w:rFonts w:hint="eastAsia" w:ascii="仿宋_GB2312" w:eastAsia="仿宋_GB2312"/>
          <w:color w:val="000000"/>
          <w:w w:val="100"/>
          <w:sz w:val="32"/>
          <w:szCs w:val="32"/>
        </w:rPr>
        <w:t xml:space="preserve"> 信江饮用水水源一级保护区内水质适用国家《地表水环境质量标准》Ⅱ类标准，二级保护区和准保护区内水质适用国家《地表水环境质量标准》Ⅲ类标准。</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第十</w:t>
      </w:r>
      <w:r>
        <w:rPr>
          <w:rFonts w:hint="eastAsia" w:ascii="黑体" w:hAnsi="Times New Roman" w:eastAsia="黑体" w:cs="Times New Roman"/>
          <w:color w:val="000000"/>
          <w:w w:val="100"/>
          <w:sz w:val="32"/>
          <w:szCs w:val="32"/>
          <w:shd w:val="clear" w:color="auto" w:fill="auto"/>
          <w:lang w:eastAsia="zh-CN" w:bidi="ar-SA"/>
        </w:rPr>
        <w:t>五</w:t>
      </w:r>
      <w:r>
        <w:rPr>
          <w:rFonts w:hint="eastAsia" w:ascii="黑体" w:eastAsia="黑体"/>
          <w:bCs w:val="0"/>
          <w:color w:val="000000"/>
          <w:w w:val="100"/>
          <w:sz w:val="32"/>
          <w:szCs w:val="32"/>
        </w:rPr>
        <w:t>条</w:t>
      </w:r>
      <w:r>
        <w:rPr>
          <w:rFonts w:hint="eastAsia" w:ascii="黑体" w:eastAsia="黑体"/>
          <w:color w:val="000000"/>
          <w:w w:val="100"/>
          <w:sz w:val="32"/>
          <w:szCs w:val="32"/>
        </w:rPr>
        <w:t xml:space="preserve"> </w:t>
      </w:r>
      <w:r>
        <w:rPr>
          <w:rFonts w:hint="eastAsia" w:ascii="仿宋_GB2312" w:eastAsia="仿宋_GB2312"/>
          <w:color w:val="000000"/>
          <w:w w:val="100"/>
          <w:sz w:val="32"/>
          <w:szCs w:val="32"/>
        </w:rPr>
        <w:t xml:space="preserve"> 在信江水域及两岸防洪堤内禁止下列行为：</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（一）向水体排放油类、酸液、碱液及其他污染水体的废液；</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（二）在水体清洗装贮过油类或者有毒污染物的车辆和容器；</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（三）向水体排放、倾倒放射性固体废物或者含有高放射性和中放射性物质的废水；</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（四）向水体排放、倾倒工业废渣、城镇垃圾和其他废弃物；</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（五）向水体排放船舶的残油、废油或者倾倒船舶垃圾；</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（六）将含有汞、镉、砷、铬、铅、氰化物、黄磷等的可溶性剧毒废渣向水体排放、倾倒或者直接埋入地下；</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（七）在最高水位线以下的滩地和半坡堆放、存贮固体废弃物和其他污染物；</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（八）电鱼、毒鱼、炸鱼；</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（九）法律、法规禁止的其他行为。</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第十</w:t>
      </w:r>
      <w:r>
        <w:rPr>
          <w:rFonts w:hint="eastAsia" w:ascii="黑体" w:hAnsi="Times New Roman" w:eastAsia="黑体" w:cs="Times New Roman"/>
          <w:color w:val="000000"/>
          <w:w w:val="100"/>
          <w:sz w:val="32"/>
          <w:szCs w:val="32"/>
          <w:shd w:val="clear" w:color="auto" w:fill="auto"/>
          <w:lang w:eastAsia="zh-CN" w:bidi="ar-SA"/>
        </w:rPr>
        <w:t>六</w:t>
      </w:r>
      <w:r>
        <w:rPr>
          <w:rFonts w:hint="eastAsia" w:ascii="黑体" w:eastAsia="黑体"/>
          <w:bCs w:val="0"/>
          <w:color w:val="000000"/>
          <w:w w:val="100"/>
          <w:sz w:val="32"/>
          <w:szCs w:val="32"/>
        </w:rPr>
        <w:t>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在信江饮用水水源准保护区内除适用本条例第十</w:t>
      </w:r>
      <w:r>
        <w:rPr>
          <w:rFonts w:hint="eastAsia" w:ascii="仿宋_GB2312" w:hAnsi="Times New Roman" w:eastAsia="仿宋_GB2312" w:cs="Times New Roman"/>
          <w:color w:val="000000"/>
          <w:w w:val="100"/>
          <w:sz w:val="32"/>
          <w:szCs w:val="32"/>
          <w:shd w:val="clear" w:color="auto" w:fill="auto"/>
          <w:lang w:eastAsia="zh-CN" w:bidi="ar-SA"/>
        </w:rPr>
        <w:t>五</w:t>
      </w:r>
      <w:r>
        <w:rPr>
          <w:rFonts w:hint="eastAsia" w:ascii="仿宋_GB2312" w:eastAsia="仿宋_GB2312"/>
          <w:color w:val="000000"/>
          <w:w w:val="100"/>
          <w:sz w:val="32"/>
          <w:szCs w:val="32"/>
        </w:rPr>
        <w:t>条规定外，还禁止下列行为：</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（一）新建、扩建对水体污染严重的建设项目，改建增加排污量的建设项目；</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（二）设置化工原料、矿物油类及有毒有害矿产品的贮存场所，以及生活垃圾、工业固体废物和危险废物的堆放场所和转运站;</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（三）分散养殖或者放养畜禽；</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（四）设置装卸垃圾、粪便、油类及其他有毒有害物品的码头;</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（五）爆破、采矿、采石、采砂、取土；</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（六）破坏与信江饮用水水源保护相关的防护林和草坪；</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（七）丢弃或者掩埋畜禽等动物尸体；</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（八）法律、法规禁止的其他行为。</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第十</w:t>
      </w:r>
      <w:r>
        <w:rPr>
          <w:rFonts w:hint="eastAsia" w:ascii="黑体" w:hAnsi="Times New Roman" w:eastAsia="黑体" w:cs="Times New Roman"/>
          <w:color w:val="000000"/>
          <w:w w:val="100"/>
          <w:sz w:val="32"/>
          <w:szCs w:val="32"/>
          <w:shd w:val="clear" w:color="auto" w:fill="auto"/>
          <w:lang w:eastAsia="zh-CN" w:bidi="ar-SA"/>
        </w:rPr>
        <w:t>七</w:t>
      </w:r>
      <w:r>
        <w:rPr>
          <w:rFonts w:hint="eastAsia" w:ascii="黑体" w:eastAsia="黑体"/>
          <w:bCs w:val="0"/>
          <w:color w:val="000000"/>
          <w:w w:val="100"/>
          <w:sz w:val="32"/>
          <w:szCs w:val="32"/>
        </w:rPr>
        <w:t>条</w:t>
      </w:r>
      <w:r>
        <w:rPr>
          <w:rFonts w:hint="eastAsia" w:ascii="仿宋_GB2312" w:eastAsia="仿宋_GB2312"/>
          <w:color w:val="000000"/>
          <w:w w:val="100"/>
          <w:sz w:val="32"/>
          <w:szCs w:val="32"/>
        </w:rPr>
        <w:t xml:space="preserve">  在信江饮用水水源二级保护区内除适用本条例第十</w:t>
      </w:r>
      <w:r>
        <w:rPr>
          <w:rFonts w:hint="eastAsia" w:ascii="仿宋_GB2312" w:hAnsi="Times New Roman" w:eastAsia="仿宋_GB2312" w:cs="Times New Roman"/>
          <w:color w:val="000000"/>
          <w:w w:val="100"/>
          <w:sz w:val="32"/>
          <w:szCs w:val="32"/>
          <w:shd w:val="clear" w:color="auto" w:fill="auto"/>
          <w:lang w:eastAsia="zh-CN" w:bidi="ar-SA"/>
        </w:rPr>
        <w:t>五</w:t>
      </w:r>
      <w:r>
        <w:rPr>
          <w:rFonts w:hint="eastAsia" w:ascii="仿宋_GB2312" w:eastAsia="仿宋_GB2312"/>
          <w:color w:val="000000"/>
          <w:w w:val="100"/>
          <w:sz w:val="32"/>
          <w:szCs w:val="32"/>
        </w:rPr>
        <w:t>条、第十</w:t>
      </w:r>
      <w:r>
        <w:rPr>
          <w:rFonts w:hint="eastAsia" w:ascii="仿宋_GB2312" w:hAnsi="Times New Roman" w:eastAsia="仿宋_GB2312" w:cs="Times New Roman"/>
          <w:color w:val="000000"/>
          <w:w w:val="100"/>
          <w:sz w:val="32"/>
          <w:szCs w:val="32"/>
          <w:shd w:val="clear" w:color="auto" w:fill="auto"/>
          <w:lang w:eastAsia="zh-CN" w:bidi="ar-SA"/>
        </w:rPr>
        <w:t>六</w:t>
      </w:r>
      <w:r>
        <w:rPr>
          <w:rFonts w:hint="eastAsia" w:ascii="仿宋_GB2312" w:eastAsia="仿宋_GB2312"/>
          <w:color w:val="000000"/>
          <w:w w:val="100"/>
          <w:sz w:val="32"/>
          <w:szCs w:val="32"/>
        </w:rPr>
        <w:t>条的规定外，还禁止下列行为:</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（一）设置排污口；</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（二）新建、改建、扩建排放污染物的建设项目；</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（三）使用农药；</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（四）从事水上餐饮、水上娱乐或者洲滩野炊、露营；</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（五）船舶排放含油污水、生活污水，或进行危害性货物过驳作业；</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（六）开垦种植蔬菜等农作物；</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（七）法律、法规禁止的其他行为。</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第十</w:t>
      </w:r>
      <w:r>
        <w:rPr>
          <w:rFonts w:hint="eastAsia" w:ascii="黑体" w:hAnsi="Times New Roman" w:eastAsia="黑体" w:cs="Times New Roman"/>
          <w:color w:val="000000"/>
          <w:w w:val="100"/>
          <w:sz w:val="32"/>
          <w:szCs w:val="32"/>
          <w:shd w:val="clear" w:color="auto" w:fill="auto"/>
          <w:lang w:eastAsia="zh-CN" w:bidi="ar-SA"/>
        </w:rPr>
        <w:t>八</w:t>
      </w:r>
      <w:r>
        <w:rPr>
          <w:rFonts w:hint="eastAsia" w:ascii="黑体" w:eastAsia="黑体"/>
          <w:bCs w:val="0"/>
          <w:color w:val="000000"/>
          <w:w w:val="100"/>
          <w:sz w:val="32"/>
          <w:szCs w:val="32"/>
        </w:rPr>
        <w:t>条</w:t>
      </w:r>
      <w:r>
        <w:rPr>
          <w:rFonts w:hint="eastAsia" w:ascii="楷体_GB2312"/>
          <w:bCs/>
          <w:color w:val="000000"/>
          <w:w w:val="100"/>
          <w:sz w:val="32"/>
          <w:szCs w:val="32"/>
        </w:rPr>
        <w:t xml:space="preserve"> </w:t>
      </w:r>
      <w:r>
        <w:rPr>
          <w:rFonts w:hint="eastAsia" w:ascii="仿宋_GB2312" w:eastAsia="仿宋_GB2312"/>
          <w:color w:val="000000"/>
          <w:w w:val="100"/>
          <w:sz w:val="32"/>
          <w:szCs w:val="32"/>
        </w:rPr>
        <w:t xml:space="preserve"> 在信江饮用水水源一级保护区内除适用本条例第十</w:t>
      </w:r>
      <w:r>
        <w:rPr>
          <w:rFonts w:hint="eastAsia" w:ascii="仿宋_GB2312" w:hAnsi="Times New Roman" w:eastAsia="仿宋_GB2312" w:cs="Times New Roman"/>
          <w:color w:val="000000"/>
          <w:w w:val="100"/>
          <w:sz w:val="32"/>
          <w:szCs w:val="32"/>
          <w:shd w:val="clear" w:color="auto" w:fill="auto"/>
          <w:lang w:eastAsia="zh-CN" w:bidi="ar-SA"/>
        </w:rPr>
        <w:t>五</w:t>
      </w:r>
      <w:r>
        <w:rPr>
          <w:rFonts w:hint="eastAsia" w:ascii="仿宋_GB2312" w:eastAsia="仿宋_GB2312"/>
          <w:color w:val="000000"/>
          <w:w w:val="100"/>
          <w:sz w:val="32"/>
          <w:szCs w:val="32"/>
        </w:rPr>
        <w:t>条、第十</w:t>
      </w:r>
      <w:r>
        <w:rPr>
          <w:rFonts w:hint="eastAsia" w:ascii="仿宋_GB2312" w:hAnsi="Times New Roman" w:eastAsia="仿宋_GB2312" w:cs="Times New Roman"/>
          <w:color w:val="000000"/>
          <w:w w:val="100"/>
          <w:sz w:val="32"/>
          <w:szCs w:val="32"/>
          <w:shd w:val="clear" w:color="auto" w:fill="auto"/>
          <w:lang w:eastAsia="zh-CN" w:bidi="ar-SA"/>
        </w:rPr>
        <w:t>六</w:t>
      </w:r>
      <w:r>
        <w:rPr>
          <w:rFonts w:hint="eastAsia" w:ascii="仿宋_GB2312" w:eastAsia="仿宋_GB2312"/>
          <w:color w:val="000000"/>
          <w:w w:val="100"/>
          <w:sz w:val="32"/>
          <w:szCs w:val="32"/>
        </w:rPr>
        <w:t>条、第十</w:t>
      </w:r>
      <w:r>
        <w:rPr>
          <w:rFonts w:hint="eastAsia" w:ascii="仿宋_GB2312" w:hAnsi="Times New Roman" w:eastAsia="仿宋_GB2312" w:cs="Times New Roman"/>
          <w:color w:val="000000"/>
          <w:w w:val="100"/>
          <w:sz w:val="32"/>
          <w:szCs w:val="32"/>
          <w:shd w:val="clear" w:color="auto" w:fill="auto"/>
          <w:lang w:eastAsia="zh-CN" w:bidi="ar-SA"/>
        </w:rPr>
        <w:t>七</w:t>
      </w:r>
      <w:r>
        <w:rPr>
          <w:rFonts w:hint="eastAsia" w:ascii="仿宋_GB2312" w:eastAsia="仿宋_GB2312"/>
          <w:color w:val="000000"/>
          <w:w w:val="100"/>
          <w:sz w:val="32"/>
          <w:szCs w:val="32"/>
        </w:rPr>
        <w:t>条的规定外，还禁止下列行为:</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（一）新建、改建、扩建与供水设施和保护水源无关的建设项目；</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（二）停靠船舶；</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（三）从事网箱养殖、旅游、游泳、垂钓、洗涤;</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（四）法律、法规禁止的其他行为。</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第十</w:t>
      </w:r>
      <w:r>
        <w:rPr>
          <w:rFonts w:hint="eastAsia" w:ascii="黑体" w:hAnsi="Times New Roman" w:eastAsia="黑体" w:cs="Times New Roman"/>
          <w:color w:val="000000"/>
          <w:w w:val="100"/>
          <w:sz w:val="32"/>
          <w:szCs w:val="32"/>
          <w:shd w:val="clear" w:color="auto" w:fill="auto"/>
          <w:lang w:eastAsia="zh-CN" w:bidi="ar-SA"/>
        </w:rPr>
        <w:t>九</w:t>
      </w:r>
      <w:r>
        <w:rPr>
          <w:rFonts w:hint="eastAsia" w:ascii="黑体" w:eastAsia="黑体"/>
          <w:bCs w:val="0"/>
          <w:color w:val="000000"/>
          <w:w w:val="100"/>
          <w:sz w:val="32"/>
          <w:szCs w:val="32"/>
        </w:rPr>
        <w:t>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市、区（市）人民政府（管委会）应当加强城镇、工业集聚区的雨污分流管网、污水集中处理等配套设施的规划、建设，保障污水集中处理。</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第二十条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新建污水集中处理设施的出水水质应当达到《城镇污水处理厂污染物排放标准》一级A标准，现有污水集中处理设施的出水水质达不到一级A标准的应当限期提标改造。</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第二十</w:t>
      </w:r>
      <w:r>
        <w:rPr>
          <w:rFonts w:hint="eastAsia" w:ascii="黑体" w:hAnsi="Times New Roman" w:eastAsia="黑体" w:cs="Times New Roman"/>
          <w:color w:val="000000"/>
          <w:w w:val="100"/>
          <w:sz w:val="32"/>
          <w:szCs w:val="32"/>
          <w:shd w:val="clear" w:color="auto" w:fill="auto"/>
          <w:lang w:eastAsia="zh-CN" w:bidi="ar-SA"/>
        </w:rPr>
        <w:t>一</w:t>
      </w:r>
      <w:r>
        <w:rPr>
          <w:rFonts w:hint="eastAsia" w:ascii="黑体" w:eastAsia="黑体"/>
          <w:bCs w:val="0"/>
          <w:color w:val="000000"/>
          <w:w w:val="100"/>
          <w:sz w:val="32"/>
          <w:szCs w:val="32"/>
        </w:rPr>
        <w:t>条</w:t>
      </w:r>
      <w:r>
        <w:rPr>
          <w:rFonts w:hint="eastAsia" w:ascii="仿宋_GB2312" w:eastAsia="仿宋_GB2312"/>
          <w:color w:val="000000"/>
          <w:w w:val="100"/>
          <w:sz w:val="32"/>
          <w:szCs w:val="32"/>
        </w:rPr>
        <w:t xml:space="preserve">  </w:t>
      </w:r>
      <w:r>
        <w:rPr>
          <w:rFonts w:hint="eastAsia" w:ascii="仿宋_GB2312" w:eastAsia="仿宋_GB2312"/>
          <w:bCs/>
          <w:color w:val="000000"/>
          <w:w w:val="100"/>
          <w:sz w:val="32"/>
          <w:szCs w:val="32"/>
        </w:rPr>
        <w:t>信江饮用水水源保护区和准保护区内的畜禽养殖场应当限期关闭或者搬迁。</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市、区（市）人民政府（管委会）农业主管部门和其他有关部门，应当采取措施，指导农业生产者科学、合理地施用化肥和农药，推广测土配方施肥技术和高效低毒低残留农药，控制化肥和农药的过量使用，防止污染信江饮用水水质。</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第二十</w:t>
      </w:r>
      <w:r>
        <w:rPr>
          <w:rFonts w:hint="eastAsia" w:ascii="黑体" w:hAnsi="Times New Roman" w:eastAsia="黑体" w:cs="Times New Roman"/>
          <w:color w:val="000000"/>
          <w:w w:val="100"/>
          <w:sz w:val="32"/>
          <w:szCs w:val="32"/>
          <w:shd w:val="clear" w:color="auto" w:fill="auto"/>
          <w:lang w:eastAsia="zh-CN" w:bidi="ar-SA"/>
        </w:rPr>
        <w:t>二</w:t>
      </w:r>
      <w:r>
        <w:rPr>
          <w:rFonts w:hint="eastAsia" w:ascii="黑体" w:eastAsia="黑体"/>
          <w:bCs w:val="0"/>
          <w:color w:val="000000"/>
          <w:w w:val="100"/>
          <w:sz w:val="32"/>
          <w:szCs w:val="32"/>
        </w:rPr>
        <w:t>条</w:t>
      </w:r>
      <w:r>
        <w:rPr>
          <w:rFonts w:hint="eastAsia" w:ascii="仿宋_GB2312" w:eastAsia="仿宋_GB2312"/>
          <w:color w:val="000000"/>
          <w:w w:val="100"/>
          <w:sz w:val="32"/>
          <w:szCs w:val="32"/>
        </w:rPr>
        <w:t xml:space="preserve">  水环境重点排污单位应当安装水污染物排放自动监测设备，与生态环境主管部门的监测设备联网，并保证监测设备正常运行。</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第二十</w:t>
      </w:r>
      <w:r>
        <w:rPr>
          <w:rFonts w:hint="eastAsia" w:ascii="黑体" w:hAnsi="Times New Roman" w:eastAsia="黑体" w:cs="Times New Roman"/>
          <w:color w:val="000000"/>
          <w:w w:val="100"/>
          <w:sz w:val="32"/>
          <w:szCs w:val="32"/>
          <w:shd w:val="clear" w:color="auto" w:fill="auto"/>
          <w:lang w:eastAsia="zh-CN" w:bidi="ar-SA"/>
        </w:rPr>
        <w:t>三</w:t>
      </w:r>
      <w:r>
        <w:rPr>
          <w:rFonts w:hint="eastAsia" w:ascii="黑体" w:eastAsia="黑体"/>
          <w:bCs w:val="0"/>
          <w:color w:val="000000"/>
          <w:w w:val="100"/>
          <w:sz w:val="32"/>
          <w:szCs w:val="32"/>
        </w:rPr>
        <w:t>条</w:t>
      </w:r>
      <w:r>
        <w:rPr>
          <w:rFonts w:hint="eastAsia" w:ascii="仿宋_GB2312" w:eastAsia="仿宋_GB2312"/>
          <w:color w:val="000000"/>
          <w:w w:val="100"/>
          <w:sz w:val="32"/>
          <w:szCs w:val="32"/>
        </w:rPr>
        <w:t xml:space="preserve">  化学品生产企业以及工业集聚区、矿山开采区、尾矿库、危险废物处置场、垃圾填埋场等的运营、管理单位，应当将废物存放在专门场所，采取防水、防渗漏、防流失的措施，并建设地下水水质监测井进行监测，防止污染信江饮用水水质。</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第二十</w:t>
      </w:r>
      <w:r>
        <w:rPr>
          <w:rFonts w:hint="eastAsia" w:ascii="黑体" w:hAnsi="Times New Roman" w:eastAsia="黑体" w:cs="Times New Roman"/>
          <w:color w:val="000000"/>
          <w:w w:val="100"/>
          <w:sz w:val="32"/>
          <w:szCs w:val="32"/>
          <w:shd w:val="clear" w:color="auto" w:fill="auto"/>
          <w:lang w:eastAsia="zh-CN" w:bidi="ar-SA"/>
        </w:rPr>
        <w:t>四</w:t>
      </w:r>
      <w:r>
        <w:rPr>
          <w:rFonts w:hint="eastAsia" w:ascii="黑体" w:eastAsia="黑体"/>
          <w:bCs w:val="0"/>
          <w:color w:val="000000"/>
          <w:w w:val="100"/>
          <w:sz w:val="32"/>
          <w:szCs w:val="32"/>
        </w:rPr>
        <w:t>条</w:t>
      </w:r>
      <w:r>
        <w:rPr>
          <w:rFonts w:hint="eastAsia" w:ascii="仿宋_GB2312" w:eastAsia="仿宋_GB2312"/>
          <w:color w:val="000000"/>
          <w:w w:val="100"/>
          <w:sz w:val="32"/>
          <w:szCs w:val="32"/>
        </w:rPr>
        <w:t xml:space="preserve">  在信江河道内采砂应当依法办理采砂许可证，并按照规定进行开采。</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第二十</w:t>
      </w:r>
      <w:r>
        <w:rPr>
          <w:rFonts w:hint="eastAsia" w:ascii="黑体" w:hAnsi="Times New Roman" w:eastAsia="黑体" w:cs="Times New Roman"/>
          <w:color w:val="000000"/>
          <w:w w:val="100"/>
          <w:sz w:val="32"/>
          <w:szCs w:val="32"/>
          <w:shd w:val="clear" w:color="auto" w:fill="auto"/>
          <w:lang w:eastAsia="zh-CN" w:bidi="ar-SA"/>
        </w:rPr>
        <w:t>五</w:t>
      </w:r>
      <w:r>
        <w:rPr>
          <w:rFonts w:hint="eastAsia" w:ascii="黑体" w:eastAsia="黑体"/>
          <w:bCs w:val="0"/>
          <w:color w:val="000000"/>
          <w:w w:val="100"/>
          <w:sz w:val="32"/>
          <w:szCs w:val="32"/>
        </w:rPr>
        <w:t>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可能发生污染信江饮用水水源事故的企业事业单位应当编制应急预案，储备应急物资，定期进行演练。</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发生突发性事件，对信江饮用水水源造成或者可能造成污染事故的，责任单位和个人应当采取应急措施，排除或者减轻污染危害，并立即向市、区（市）人民政府（管委会）或者其应急管理、生态环境主管部门报告。</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第二十</w:t>
      </w:r>
      <w:r>
        <w:rPr>
          <w:rFonts w:hint="eastAsia" w:ascii="黑体" w:hAnsi="Times New Roman" w:eastAsia="黑体" w:cs="Times New Roman"/>
          <w:color w:val="000000"/>
          <w:w w:val="100"/>
          <w:sz w:val="32"/>
          <w:szCs w:val="32"/>
          <w:shd w:val="clear" w:color="auto" w:fill="auto"/>
          <w:lang w:eastAsia="zh-CN" w:bidi="ar-SA"/>
        </w:rPr>
        <w:t>六</w:t>
      </w:r>
      <w:r>
        <w:rPr>
          <w:rFonts w:hint="eastAsia" w:ascii="黑体" w:eastAsia="黑体"/>
          <w:bCs w:val="0"/>
          <w:color w:val="000000"/>
          <w:w w:val="100"/>
          <w:sz w:val="32"/>
          <w:szCs w:val="32"/>
        </w:rPr>
        <w:t>条</w:t>
      </w:r>
      <w:r>
        <w:rPr>
          <w:rFonts w:hint="eastAsia" w:ascii="仿宋_GB2312" w:eastAsia="仿宋_GB2312"/>
          <w:color w:val="000000"/>
          <w:w w:val="100"/>
          <w:sz w:val="32"/>
          <w:szCs w:val="32"/>
        </w:rPr>
        <w:t xml:space="preserve">  市、区（市）人民政府（管委会）应当指定有关部门，对穿越信江饮用水水源保护区的主要道路桥梁建设防护隔离设施和事故应急处置设施。公安部门应当在信江饮用水水源保护区及准保护区划定装载危险化学品车辆的禁行区域，设置禁行标志。</w:t>
      </w:r>
    </w:p>
    <w:p>
      <w:pPr>
        <w:keepNext w:val="0"/>
        <w:keepLines w:val="0"/>
        <w:pageBreakBefore w:val="0"/>
        <w:widowControl w:val="0"/>
        <w:shd w:val="clear" w:color="auto" w:fill="auto"/>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p>
    <w:p>
      <w:pPr>
        <w:keepNext w:val="0"/>
        <w:keepLines w:val="0"/>
        <w:pageBreakBefore w:val="0"/>
        <w:widowControl w:val="0"/>
        <w:shd w:val="clear" w:color="auto" w:fill="auto"/>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r>
        <w:rPr>
          <w:rFonts w:hint="eastAsia" w:ascii="黑体" w:eastAsia="黑体"/>
          <w:color w:val="000000"/>
          <w:w w:val="100"/>
          <w:sz w:val="32"/>
          <w:szCs w:val="32"/>
        </w:rPr>
        <w:t>第三章  监督管理</w:t>
      </w:r>
    </w:p>
    <w:p>
      <w:pPr>
        <w:keepNext w:val="0"/>
        <w:keepLines w:val="0"/>
        <w:pageBreakBefore w:val="0"/>
        <w:widowControl w:val="0"/>
        <w:shd w:val="clear" w:color="auto" w:fill="auto"/>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bCs/>
          <w:color w:val="000000"/>
          <w:w w:val="100"/>
          <w:sz w:val="32"/>
          <w:szCs w:val="32"/>
        </w:rPr>
      </w:pPr>
      <w:r>
        <w:rPr>
          <w:rFonts w:hint="eastAsia" w:ascii="黑体" w:eastAsia="黑体"/>
          <w:bCs w:val="0"/>
          <w:color w:val="000000"/>
          <w:w w:val="100"/>
          <w:sz w:val="32"/>
          <w:szCs w:val="32"/>
        </w:rPr>
        <w:t>第二十</w:t>
      </w:r>
      <w:r>
        <w:rPr>
          <w:rFonts w:hint="eastAsia" w:ascii="黑体" w:hAnsi="Times New Roman" w:eastAsia="黑体" w:cs="Times New Roman"/>
          <w:color w:val="000000"/>
          <w:w w:val="100"/>
          <w:sz w:val="32"/>
          <w:szCs w:val="32"/>
          <w:shd w:val="clear" w:color="auto" w:fill="auto"/>
          <w:lang w:eastAsia="zh-CN" w:bidi="ar-SA"/>
        </w:rPr>
        <w:t>七</w:t>
      </w:r>
      <w:r>
        <w:rPr>
          <w:rFonts w:hint="eastAsia" w:ascii="黑体" w:eastAsia="黑体"/>
          <w:bCs w:val="0"/>
          <w:color w:val="000000"/>
          <w:w w:val="100"/>
          <w:sz w:val="32"/>
          <w:szCs w:val="32"/>
        </w:rPr>
        <w:t>条</w:t>
      </w:r>
      <w:r>
        <w:rPr>
          <w:rFonts w:hint="eastAsia" w:ascii="楷体_GB2312"/>
          <w:bCs/>
          <w:color w:val="000000"/>
          <w:w w:val="100"/>
          <w:sz w:val="32"/>
          <w:szCs w:val="32"/>
        </w:rPr>
        <w:t xml:space="preserve">  </w:t>
      </w:r>
      <w:r>
        <w:rPr>
          <w:rFonts w:hint="eastAsia" w:ascii="仿宋_GB2312" w:eastAsia="仿宋_GB2312"/>
          <w:bCs/>
          <w:color w:val="000000"/>
          <w:w w:val="100"/>
          <w:sz w:val="32"/>
          <w:szCs w:val="32"/>
        </w:rPr>
        <w:t>市</w:t>
      </w:r>
      <w:r>
        <w:rPr>
          <w:rFonts w:hint="eastAsia" w:ascii="仿宋_GB2312" w:eastAsia="仿宋_GB2312"/>
          <w:color w:val="000000"/>
          <w:w w:val="100"/>
          <w:sz w:val="32"/>
          <w:szCs w:val="32"/>
        </w:rPr>
        <w:t>、区（市）</w:t>
      </w:r>
      <w:r>
        <w:rPr>
          <w:rFonts w:hint="eastAsia" w:ascii="仿宋_GB2312" w:eastAsia="仿宋_GB2312"/>
          <w:bCs/>
          <w:color w:val="000000"/>
          <w:w w:val="100"/>
          <w:sz w:val="32"/>
          <w:szCs w:val="32"/>
        </w:rPr>
        <w:t>人民政府</w:t>
      </w:r>
      <w:r>
        <w:rPr>
          <w:rFonts w:hint="eastAsia" w:ascii="仿宋_GB2312" w:eastAsia="仿宋_GB2312"/>
          <w:color w:val="000000"/>
          <w:w w:val="100"/>
          <w:sz w:val="32"/>
          <w:szCs w:val="32"/>
        </w:rPr>
        <w:t>（管委会）</w:t>
      </w:r>
      <w:r>
        <w:rPr>
          <w:rFonts w:hint="eastAsia" w:ascii="仿宋_GB2312" w:eastAsia="仿宋_GB2312"/>
          <w:bCs/>
          <w:color w:val="000000"/>
          <w:w w:val="100"/>
          <w:sz w:val="32"/>
          <w:szCs w:val="32"/>
        </w:rPr>
        <w:t>应当在信江一级支流入河口、县级行政区域交界处和饮用水水源保护区设置水质自动监测设备。</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生态环境主管部门应当对信江饮用水水源实施水质自动监测、开展水环境质量评估，并定期公布监测结果、评估报告。</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第二十</w:t>
      </w:r>
      <w:r>
        <w:rPr>
          <w:rFonts w:hint="eastAsia" w:ascii="黑体" w:hAnsi="Times New Roman" w:eastAsia="黑体" w:cs="Times New Roman"/>
          <w:color w:val="000000"/>
          <w:w w:val="100"/>
          <w:sz w:val="32"/>
          <w:szCs w:val="32"/>
          <w:shd w:val="clear" w:color="auto" w:fill="auto"/>
          <w:lang w:eastAsia="zh-CN" w:bidi="ar-SA"/>
        </w:rPr>
        <w:t>八</w:t>
      </w:r>
      <w:r>
        <w:rPr>
          <w:rFonts w:hint="eastAsia" w:ascii="黑体" w:eastAsia="黑体"/>
          <w:bCs w:val="0"/>
          <w:color w:val="000000"/>
          <w:w w:val="100"/>
          <w:sz w:val="32"/>
          <w:szCs w:val="32"/>
        </w:rPr>
        <w:t>条</w:t>
      </w:r>
      <w:r>
        <w:rPr>
          <w:rFonts w:hint="eastAsia" w:ascii="黑体" w:eastAsia="黑体"/>
          <w:color w:val="000000"/>
          <w:w w:val="100"/>
          <w:sz w:val="32"/>
          <w:szCs w:val="32"/>
        </w:rPr>
        <w:t xml:space="preserve">  </w:t>
      </w:r>
      <w:r>
        <w:rPr>
          <w:rFonts w:hint="eastAsia" w:ascii="仿宋_GB2312" w:eastAsia="仿宋_GB2312"/>
          <w:bCs/>
          <w:color w:val="000000"/>
          <w:w w:val="100"/>
          <w:sz w:val="32"/>
          <w:szCs w:val="32"/>
          <w:lang w:eastAsia="zh-CN"/>
        </w:rPr>
        <w:t>鹰潭</w:t>
      </w:r>
      <w:r>
        <w:rPr>
          <w:rFonts w:hint="eastAsia" w:ascii="仿宋_GB2312" w:eastAsia="仿宋_GB2312"/>
          <w:bCs/>
          <w:color w:val="000000"/>
          <w:w w:val="100"/>
          <w:sz w:val="32"/>
          <w:szCs w:val="32"/>
        </w:rPr>
        <w:t>市生态</w:t>
      </w:r>
      <w:r>
        <w:rPr>
          <w:rFonts w:hint="eastAsia" w:ascii="仿宋_GB2312" w:eastAsia="仿宋_GB2312"/>
          <w:color w:val="000000"/>
          <w:w w:val="100"/>
          <w:sz w:val="32"/>
          <w:szCs w:val="32"/>
        </w:rPr>
        <w:t>环境主管部门应当会同有关部门，根据信江水环境承载能力、饮用水环境质量改善要求，企业事业单位排放污染物的种类、数量和浓度等因素，以及规定的筛选条件，于每年3月底前确定本行政区域内的水环境重点排污单位名录，并向社会公布。</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w:t>
      </w:r>
      <w:r>
        <w:rPr>
          <w:rFonts w:hint="eastAsia" w:ascii="黑体" w:hAnsi="Times New Roman" w:eastAsia="黑体" w:cs="Times New Roman"/>
          <w:color w:val="000000"/>
          <w:w w:val="100"/>
          <w:sz w:val="32"/>
          <w:szCs w:val="32"/>
          <w:shd w:val="clear" w:color="auto" w:fill="auto"/>
          <w:lang w:eastAsia="zh-CN" w:bidi="ar-SA"/>
        </w:rPr>
        <w:t>二</w:t>
      </w:r>
      <w:r>
        <w:rPr>
          <w:rFonts w:hint="eastAsia" w:ascii="黑体" w:eastAsia="黑体"/>
          <w:bCs w:val="0"/>
          <w:color w:val="000000"/>
          <w:w w:val="100"/>
          <w:sz w:val="32"/>
          <w:szCs w:val="32"/>
        </w:rPr>
        <w:t>十</w:t>
      </w:r>
      <w:r>
        <w:rPr>
          <w:rFonts w:hint="eastAsia" w:ascii="黑体" w:hAnsi="Times New Roman" w:eastAsia="黑体" w:cs="Times New Roman"/>
          <w:color w:val="000000"/>
          <w:w w:val="100"/>
          <w:sz w:val="32"/>
          <w:szCs w:val="32"/>
          <w:shd w:val="clear" w:color="auto" w:fill="auto"/>
          <w:lang w:eastAsia="zh-CN" w:bidi="ar-SA"/>
        </w:rPr>
        <w:t>九</w:t>
      </w:r>
      <w:r>
        <w:rPr>
          <w:rFonts w:hint="eastAsia" w:ascii="黑体" w:eastAsia="黑体"/>
          <w:bCs w:val="0"/>
          <w:color w:val="000000"/>
          <w:w w:val="100"/>
          <w:sz w:val="32"/>
          <w:szCs w:val="32"/>
        </w:rPr>
        <w:t xml:space="preserve">条 </w:t>
      </w:r>
      <w:r>
        <w:rPr>
          <w:rFonts w:hint="eastAsia" w:ascii="仿宋_GB2312" w:eastAsia="仿宋_GB2312"/>
          <w:color w:val="000000"/>
          <w:w w:val="100"/>
          <w:sz w:val="32"/>
          <w:szCs w:val="32"/>
        </w:rPr>
        <w:t xml:space="preserve"> 建立信江沿岸排污口定期排查制度。生态环境主管部门应当会同水行政、城乡建设、城市管理等部门，对信江沿岸排污口定期排查。对非法设置的排污口，由市、区（市）人民政府及其有关部门依法处置。</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第三十条</w:t>
      </w:r>
      <w:r>
        <w:rPr>
          <w:rFonts w:hint="eastAsia" w:ascii="仿宋_GB2312" w:eastAsia="仿宋_GB2312"/>
          <w:color w:val="000000"/>
          <w:w w:val="100"/>
          <w:sz w:val="32"/>
          <w:szCs w:val="32"/>
        </w:rPr>
        <w:t xml:space="preserve">  建立信江饮用水水源保护区和准保护区定期巡查制度。信江饮用水水源保护区和准保护区的巡查由鹰潭市各级河长负责组织实施。对巡查中发现的问题，应当</w:t>
      </w:r>
      <w:r>
        <w:rPr>
          <w:rFonts w:hint="eastAsia" w:ascii="仿宋_GB2312" w:hAnsi="Times New Roman" w:eastAsia="仿宋_GB2312" w:cs="Times New Roman"/>
          <w:color w:val="000000"/>
          <w:w w:val="100"/>
          <w:sz w:val="32"/>
          <w:szCs w:val="32"/>
          <w:shd w:val="clear" w:color="auto" w:fill="auto"/>
          <w:lang w:eastAsia="zh-CN" w:bidi="ar-SA"/>
        </w:rPr>
        <w:t>按照国家和省有关规定</w:t>
      </w:r>
      <w:r>
        <w:rPr>
          <w:rFonts w:hint="eastAsia" w:ascii="仿宋_GB2312" w:eastAsia="仿宋_GB2312"/>
          <w:color w:val="000000"/>
          <w:w w:val="100"/>
          <w:sz w:val="32"/>
          <w:szCs w:val="32"/>
        </w:rPr>
        <w:t>处理。</w:t>
      </w:r>
    </w:p>
    <w:p>
      <w:pPr>
        <w:keepNext w:val="0"/>
        <w:keepLines w:val="0"/>
        <w:pageBreakBefore w:val="0"/>
        <w:widowControl w:val="0"/>
        <w:kinsoku/>
        <w:wordWrap/>
        <w:overflowPunct/>
        <w:topLinePunct w:val="0"/>
        <w:autoSpaceDE/>
        <w:bidi w:val="0"/>
        <w:adjustRightInd/>
        <w:snapToGrid/>
        <w:spacing w:line="560" w:lineRule="exact"/>
        <w:ind w:firstLine="632" w:firstLineChars="200"/>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第三十</w:t>
      </w:r>
      <w:r>
        <w:rPr>
          <w:rFonts w:hint="eastAsia" w:ascii="黑体" w:hAnsi="Times New Roman" w:eastAsia="黑体" w:cs="Times New Roman"/>
          <w:color w:val="000000"/>
          <w:w w:val="100"/>
          <w:sz w:val="32"/>
          <w:szCs w:val="32"/>
          <w:shd w:val="clear" w:color="auto" w:fill="auto"/>
          <w:lang w:eastAsia="zh-CN" w:bidi="ar-SA"/>
        </w:rPr>
        <w:t>一</w:t>
      </w:r>
      <w:r>
        <w:rPr>
          <w:rFonts w:hint="eastAsia" w:ascii="黑体" w:eastAsia="黑体"/>
          <w:bCs w:val="0"/>
          <w:color w:val="000000"/>
          <w:w w:val="100"/>
          <w:sz w:val="32"/>
          <w:szCs w:val="32"/>
        </w:rPr>
        <w:t>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w:t>
      </w:r>
      <w:r>
        <w:rPr>
          <w:rFonts w:hint="eastAsia" w:ascii="仿宋_GB2312" w:hAnsi="Times New Roman" w:eastAsia="仿宋_GB2312" w:cs="Times New Roman"/>
          <w:color w:val="000000"/>
          <w:w w:val="100"/>
          <w:sz w:val="32"/>
          <w:szCs w:val="32"/>
          <w:shd w:val="clear" w:color="auto" w:fill="auto"/>
          <w:lang w:eastAsia="zh-CN" w:bidi="ar-SA"/>
        </w:rPr>
        <w:t>市、</w:t>
      </w:r>
      <w:r>
        <w:rPr>
          <w:rFonts w:hint="eastAsia" w:ascii="仿宋_GB2312" w:eastAsia="仿宋_GB2312"/>
          <w:color w:val="000000"/>
          <w:w w:val="100"/>
          <w:sz w:val="32"/>
          <w:szCs w:val="32"/>
        </w:rPr>
        <w:t>区（市）人民政府（管委会）应当指定有关部门负责组织清理信江饮用水水源保护区和准保护区水域内影响水质和水生态保护的漂浮物</w:t>
      </w:r>
      <w:r>
        <w:rPr>
          <w:rFonts w:hint="eastAsia" w:ascii="仿宋_GB2312" w:eastAsia="仿宋_GB2312"/>
          <w:color w:val="000000"/>
          <w:w w:val="100"/>
          <w:sz w:val="32"/>
          <w:szCs w:val="32"/>
          <w:lang w:eastAsia="zh-CN"/>
        </w:rPr>
        <w:t>，</w:t>
      </w:r>
      <w:r>
        <w:rPr>
          <w:rFonts w:hint="eastAsia" w:ascii="仿宋_GB2312" w:eastAsia="仿宋_GB2312"/>
          <w:color w:val="000000"/>
          <w:w w:val="100"/>
          <w:sz w:val="32"/>
          <w:szCs w:val="32"/>
        </w:rPr>
        <w:t>依法拆除、清理饮用水水源保护区陆域内的违法建筑物、设施和菜地等。</w:t>
      </w:r>
    </w:p>
    <w:p>
      <w:pPr>
        <w:keepNext w:val="0"/>
        <w:keepLines w:val="0"/>
        <w:pageBreakBefore w:val="0"/>
        <w:widowControl w:val="0"/>
        <w:kinsoku/>
        <w:wordWrap/>
        <w:overflowPunct/>
        <w:topLinePunct w:val="0"/>
        <w:autoSpaceDE/>
        <w:bidi w:val="0"/>
        <w:adjustRightInd/>
        <w:snapToGrid/>
        <w:spacing w:line="560" w:lineRule="exact"/>
        <w:ind w:firstLine="643" w:firstLineChars="0"/>
        <w:textAlignment w:val="auto"/>
        <w:outlineLvl w:val="9"/>
        <w:rPr>
          <w:rFonts w:hint="eastAsia" w:ascii="仿宋_GB2312" w:hAnsi="Times New Roman" w:eastAsia="仿宋_GB2312" w:cs="Times New Roman"/>
          <w:color w:val="000000"/>
          <w:w w:val="100"/>
          <w:sz w:val="32"/>
          <w:szCs w:val="32"/>
          <w:shd w:val="clear" w:color="auto" w:fill="auto"/>
          <w:lang w:val="en-US" w:eastAsia="zh-CN" w:bidi="ar-SA"/>
        </w:rPr>
      </w:pPr>
      <w:r>
        <w:rPr>
          <w:rFonts w:hint="eastAsia" w:ascii="黑体" w:hAnsi="Times New Roman" w:eastAsia="黑体" w:cs="Times New Roman"/>
          <w:color w:val="000000"/>
          <w:w w:val="100"/>
          <w:sz w:val="32"/>
          <w:szCs w:val="32"/>
          <w:shd w:val="clear" w:color="auto" w:fill="auto"/>
          <w:lang w:eastAsia="zh-CN" w:bidi="ar-SA"/>
        </w:rPr>
        <w:t>第三十二条</w:t>
      </w:r>
      <w:r>
        <w:rPr>
          <w:rFonts w:hint="eastAsia" w:ascii="仿宋_GB2312" w:hAnsi="Times New Roman" w:eastAsia="仿宋_GB2312" w:cs="Times New Roman"/>
          <w:color w:val="000000"/>
          <w:w w:val="100"/>
          <w:sz w:val="32"/>
          <w:szCs w:val="32"/>
          <w:shd w:val="clear" w:color="auto" w:fill="auto"/>
          <w:lang w:val="en-US" w:eastAsia="zh-CN" w:bidi="ar-SA"/>
        </w:rPr>
        <w:t xml:space="preserve">  </w:t>
      </w:r>
      <w:r>
        <w:rPr>
          <w:rFonts w:hint="eastAsia" w:ascii="仿宋_GB2312" w:eastAsia="仿宋_GB2312"/>
          <w:bCs/>
          <w:color w:val="000000"/>
          <w:w w:val="100"/>
          <w:sz w:val="32"/>
          <w:szCs w:val="32"/>
          <w:lang w:eastAsia="zh-CN"/>
        </w:rPr>
        <w:t>鹰潭</w:t>
      </w:r>
      <w:r>
        <w:rPr>
          <w:rFonts w:hint="eastAsia" w:ascii="仿宋_GB2312" w:hAnsi="Times New Roman" w:eastAsia="仿宋_GB2312" w:cs="Times New Roman"/>
          <w:color w:val="000000"/>
          <w:w w:val="100"/>
          <w:sz w:val="32"/>
          <w:szCs w:val="32"/>
          <w:shd w:val="clear" w:color="auto" w:fill="auto"/>
          <w:lang w:val="en-US" w:eastAsia="zh-CN" w:bidi="ar-SA"/>
        </w:rPr>
        <w:t>市应急管理部门应当根据信江水环境质量状况，协调信江界牌航电枢纽管理机构开闸放水清库，净化水质。</w:t>
      </w:r>
    </w:p>
    <w:p>
      <w:pPr>
        <w:keepNext w:val="0"/>
        <w:keepLines w:val="0"/>
        <w:pageBreakBefore w:val="0"/>
        <w:widowControl w:val="0"/>
        <w:kinsoku/>
        <w:wordWrap/>
        <w:overflowPunct/>
        <w:topLinePunct w:val="0"/>
        <w:autoSpaceDE/>
        <w:bidi w:val="0"/>
        <w:adjustRightInd/>
        <w:snapToGrid/>
        <w:spacing w:line="560" w:lineRule="exact"/>
        <w:ind w:firstLine="632" w:firstLineChars="200"/>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第三十</w:t>
      </w:r>
      <w:r>
        <w:rPr>
          <w:rFonts w:hint="eastAsia" w:ascii="黑体" w:hAnsi="Times New Roman" w:eastAsia="黑体" w:cs="Times New Roman"/>
          <w:color w:val="000000"/>
          <w:w w:val="100"/>
          <w:sz w:val="32"/>
          <w:szCs w:val="32"/>
          <w:shd w:val="clear" w:color="auto" w:fill="auto"/>
          <w:lang w:eastAsia="zh-CN" w:bidi="ar-SA"/>
        </w:rPr>
        <w:t>三</w:t>
      </w:r>
      <w:r>
        <w:rPr>
          <w:rFonts w:hint="eastAsia" w:ascii="黑体" w:eastAsia="黑体"/>
          <w:bCs w:val="0"/>
          <w:color w:val="000000"/>
          <w:w w:val="100"/>
          <w:sz w:val="32"/>
          <w:szCs w:val="32"/>
        </w:rPr>
        <w:t xml:space="preserve">条 </w:t>
      </w:r>
      <w:r>
        <w:rPr>
          <w:rFonts w:hint="eastAsia" w:ascii="仿宋_GB2312" w:eastAsia="仿宋_GB2312"/>
          <w:color w:val="000000"/>
          <w:w w:val="100"/>
          <w:sz w:val="32"/>
          <w:szCs w:val="32"/>
        </w:rPr>
        <w:t xml:space="preserve"> 建立举报违法行为首问负责制。有关部门接到对污染信江饮用水水源、破坏饮用水水源保护设施的违法行为的举报，属于本部门职责范围的，应当及时调查处理，并向举报人反馈处理情况；不属于本部门职责范围的，应当及时移交有处理权限的部门处理。</w:t>
      </w:r>
    </w:p>
    <w:p>
      <w:pPr>
        <w:keepNext w:val="0"/>
        <w:keepLines w:val="0"/>
        <w:pageBreakBefore w:val="0"/>
        <w:widowControl w:val="0"/>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p>
    <w:p>
      <w:pPr>
        <w:keepNext w:val="0"/>
        <w:keepLines w:val="0"/>
        <w:pageBreakBefore w:val="0"/>
        <w:widowControl w:val="0"/>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r>
        <w:rPr>
          <w:rFonts w:hint="eastAsia" w:ascii="黑体" w:eastAsia="黑体"/>
          <w:color w:val="000000"/>
          <w:w w:val="100"/>
          <w:sz w:val="32"/>
          <w:szCs w:val="32"/>
        </w:rPr>
        <w:t>第四章  法律责任</w:t>
      </w:r>
    </w:p>
    <w:p>
      <w:pPr>
        <w:keepNext w:val="0"/>
        <w:keepLines w:val="0"/>
        <w:pageBreakBefore w:val="0"/>
        <w:widowControl w:val="0"/>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第三十</w:t>
      </w:r>
      <w:r>
        <w:rPr>
          <w:rFonts w:hint="eastAsia" w:ascii="黑体" w:hAnsi="Times New Roman" w:eastAsia="黑体" w:cs="Times New Roman"/>
          <w:color w:val="000000"/>
          <w:w w:val="100"/>
          <w:sz w:val="32"/>
          <w:szCs w:val="32"/>
          <w:shd w:val="clear" w:color="auto" w:fill="auto"/>
          <w:lang w:eastAsia="zh-CN" w:bidi="ar-SA"/>
        </w:rPr>
        <w:t>四</w:t>
      </w:r>
      <w:r>
        <w:rPr>
          <w:rFonts w:hint="eastAsia" w:ascii="黑体" w:eastAsia="黑体"/>
          <w:bCs w:val="0"/>
          <w:color w:val="000000"/>
          <w:w w:val="100"/>
          <w:sz w:val="32"/>
          <w:szCs w:val="32"/>
        </w:rPr>
        <w:t>条</w:t>
      </w:r>
      <w:r>
        <w:rPr>
          <w:rFonts w:hint="eastAsia" w:ascii="黑体" w:eastAsia="黑体"/>
          <w:color w:val="000000"/>
          <w:w w:val="100"/>
          <w:sz w:val="32"/>
          <w:szCs w:val="32"/>
        </w:rPr>
        <w:t xml:space="preserve"> </w:t>
      </w:r>
      <w:r>
        <w:rPr>
          <w:rFonts w:hint="eastAsia" w:ascii="仿宋_GB2312" w:eastAsia="仿宋_GB2312"/>
          <w:color w:val="000000"/>
          <w:w w:val="100"/>
          <w:sz w:val="32"/>
          <w:szCs w:val="32"/>
        </w:rPr>
        <w:t xml:space="preserve"> 违反本条例规定的行为，法律、法规已设定处罚的，从其规定。</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第三十</w:t>
      </w:r>
      <w:r>
        <w:rPr>
          <w:rFonts w:hint="eastAsia" w:ascii="黑体" w:hAnsi="Times New Roman" w:eastAsia="黑体" w:cs="Times New Roman"/>
          <w:color w:val="000000"/>
          <w:w w:val="100"/>
          <w:sz w:val="32"/>
          <w:szCs w:val="32"/>
          <w:shd w:val="clear" w:color="auto" w:fill="auto"/>
          <w:lang w:eastAsia="zh-CN" w:bidi="ar-SA"/>
        </w:rPr>
        <w:t>五</w:t>
      </w:r>
      <w:r>
        <w:rPr>
          <w:rFonts w:hint="eastAsia" w:ascii="黑体" w:eastAsia="黑体"/>
          <w:bCs w:val="0"/>
          <w:color w:val="000000"/>
          <w:w w:val="100"/>
          <w:sz w:val="32"/>
          <w:szCs w:val="32"/>
        </w:rPr>
        <w:t>条</w:t>
      </w:r>
      <w:r>
        <w:rPr>
          <w:rFonts w:hint="eastAsia" w:ascii="仿宋_GB2312" w:eastAsia="仿宋_GB2312"/>
          <w:color w:val="000000"/>
          <w:w w:val="100"/>
          <w:sz w:val="32"/>
          <w:szCs w:val="32"/>
        </w:rPr>
        <w:t xml:space="preserve">  违反本条例规定，在信江饮用水水源保护区、准保护区分散养殖或者放养畜禽的，由农业主管部门责令停止违法行为，情节严重的，处一百元以上一千元以下的罚款。</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第三十</w:t>
      </w:r>
      <w:r>
        <w:rPr>
          <w:rFonts w:hint="eastAsia" w:ascii="黑体" w:hAnsi="Times New Roman" w:eastAsia="黑体" w:cs="Times New Roman"/>
          <w:color w:val="000000"/>
          <w:w w:val="100"/>
          <w:sz w:val="32"/>
          <w:szCs w:val="32"/>
          <w:shd w:val="clear" w:color="auto" w:fill="auto"/>
          <w:lang w:eastAsia="zh-CN" w:bidi="ar-SA"/>
        </w:rPr>
        <w:t>六</w:t>
      </w:r>
      <w:r>
        <w:rPr>
          <w:rFonts w:hint="eastAsia" w:ascii="黑体" w:eastAsia="黑体"/>
          <w:bCs w:val="0"/>
          <w:color w:val="000000"/>
          <w:w w:val="100"/>
          <w:sz w:val="32"/>
          <w:szCs w:val="32"/>
        </w:rPr>
        <w:t>条</w:t>
      </w:r>
      <w:r>
        <w:rPr>
          <w:rFonts w:hint="eastAsia" w:ascii="楷体_GB2312"/>
          <w:bCs/>
          <w:color w:val="000000"/>
          <w:w w:val="100"/>
          <w:sz w:val="32"/>
          <w:szCs w:val="32"/>
        </w:rPr>
        <w:t xml:space="preserve"> </w:t>
      </w:r>
      <w:r>
        <w:rPr>
          <w:rFonts w:hint="eastAsia" w:ascii="仿宋_GB2312" w:eastAsia="仿宋_GB2312"/>
          <w:color w:val="000000"/>
          <w:w w:val="100"/>
          <w:sz w:val="32"/>
          <w:szCs w:val="32"/>
        </w:rPr>
        <w:t xml:space="preserve"> 违反本条例规定，在信江饮用水水源保护区、准保护区破坏草坪的，由水行政主管部门责令恢复原状，按照破坏的面积，处每平方米十元以上二十元以下的罚款。</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第三十</w:t>
      </w:r>
      <w:r>
        <w:rPr>
          <w:rFonts w:hint="eastAsia" w:ascii="黑体" w:hAnsi="Times New Roman" w:eastAsia="黑体" w:cs="Times New Roman"/>
          <w:color w:val="000000"/>
          <w:w w:val="100"/>
          <w:sz w:val="32"/>
          <w:szCs w:val="32"/>
          <w:shd w:val="clear" w:color="auto" w:fill="auto"/>
          <w:lang w:eastAsia="zh-CN" w:bidi="ar-SA"/>
        </w:rPr>
        <w:t>七</w:t>
      </w:r>
      <w:r>
        <w:rPr>
          <w:rFonts w:hint="eastAsia" w:ascii="黑体" w:eastAsia="黑体"/>
          <w:bCs w:val="0"/>
          <w:color w:val="000000"/>
          <w:w w:val="100"/>
          <w:sz w:val="32"/>
          <w:szCs w:val="32"/>
        </w:rPr>
        <w:t>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违反本条例规定，在信江饮用水水源保护区、准保护区丢弃或者掩埋动物尸体的，由农业主管部门责令违法行为人进行无害化处理，处二百元以上一千元以下的罚款；情节严重的，处一千元以上三千元以下的罚款。</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第三十</w:t>
      </w:r>
      <w:r>
        <w:rPr>
          <w:rFonts w:hint="eastAsia" w:ascii="黑体" w:hAnsi="Times New Roman" w:eastAsia="黑体" w:cs="Times New Roman"/>
          <w:color w:val="000000"/>
          <w:w w:val="100"/>
          <w:sz w:val="32"/>
          <w:szCs w:val="32"/>
          <w:shd w:val="clear" w:color="auto" w:fill="auto"/>
          <w:lang w:eastAsia="zh-CN" w:bidi="ar-SA"/>
        </w:rPr>
        <w:t>八</w:t>
      </w:r>
      <w:r>
        <w:rPr>
          <w:rFonts w:hint="eastAsia" w:ascii="黑体" w:eastAsia="黑体"/>
          <w:bCs w:val="0"/>
          <w:color w:val="000000"/>
          <w:w w:val="100"/>
          <w:sz w:val="32"/>
          <w:szCs w:val="32"/>
        </w:rPr>
        <w:t>条</w:t>
      </w:r>
      <w:r>
        <w:rPr>
          <w:rFonts w:hint="eastAsia" w:ascii="仿宋_GB2312" w:eastAsia="仿宋_GB2312"/>
          <w:color w:val="000000"/>
          <w:w w:val="100"/>
          <w:sz w:val="32"/>
          <w:szCs w:val="32"/>
        </w:rPr>
        <w:t xml:space="preserve">  违反本条例规定，在信江饮用水水源保护区开垦种植蔬菜等农作物的，由市、区（市）人民政府指定的监督管理部门责令停止违法行为，采取退耕等恢复措施，可以处一百元以上五百元以下的罚款。</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w:t>
      </w:r>
      <w:r>
        <w:rPr>
          <w:rFonts w:hint="eastAsia" w:ascii="黑体" w:hAnsi="Times New Roman" w:eastAsia="黑体" w:cs="Times New Roman"/>
          <w:color w:val="000000"/>
          <w:w w:val="100"/>
          <w:sz w:val="32"/>
          <w:szCs w:val="32"/>
          <w:shd w:val="clear" w:color="auto" w:fill="auto"/>
          <w:lang w:eastAsia="zh-CN" w:bidi="ar-SA"/>
        </w:rPr>
        <w:t>三</w:t>
      </w:r>
      <w:r>
        <w:rPr>
          <w:rFonts w:hint="eastAsia" w:ascii="黑体" w:eastAsia="黑体"/>
          <w:bCs w:val="0"/>
          <w:color w:val="000000"/>
          <w:w w:val="100"/>
          <w:sz w:val="32"/>
          <w:szCs w:val="32"/>
        </w:rPr>
        <w:t>十</w:t>
      </w:r>
      <w:r>
        <w:rPr>
          <w:rFonts w:hint="eastAsia" w:ascii="黑体" w:hAnsi="Times New Roman" w:eastAsia="黑体" w:cs="Times New Roman"/>
          <w:color w:val="000000"/>
          <w:w w:val="100"/>
          <w:sz w:val="32"/>
          <w:szCs w:val="32"/>
          <w:shd w:val="clear" w:color="auto" w:fill="auto"/>
          <w:lang w:eastAsia="zh-CN" w:bidi="ar-SA"/>
        </w:rPr>
        <w:t>九</w:t>
      </w:r>
      <w:r>
        <w:rPr>
          <w:rFonts w:hint="eastAsia" w:ascii="黑体" w:eastAsia="黑体"/>
          <w:bCs w:val="0"/>
          <w:color w:val="000000"/>
          <w:w w:val="100"/>
          <w:sz w:val="32"/>
          <w:szCs w:val="32"/>
        </w:rPr>
        <w:t>条</w:t>
      </w:r>
      <w:r>
        <w:rPr>
          <w:rFonts w:hint="eastAsia" w:ascii="仿宋_GB2312" w:eastAsia="仿宋_GB2312"/>
          <w:color w:val="000000"/>
          <w:w w:val="100"/>
          <w:sz w:val="32"/>
          <w:szCs w:val="32"/>
        </w:rPr>
        <w:t xml:space="preserve">  违反本条例规定，在信江饮用水水源一级保护区内停靠船舶的，由交通主管部门、海事管理机构按照各自职责责令立即驶离，情节严重的，处一千元以上一万元以下的罚款。</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第四十条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违反本条例规定，在信江饮用水水源保护区经营水上餐饮，组织水上娱乐、洲滩野炊、露营的，或者在一级保护区从事网箱养殖，组织旅游、游泳、垂钓的，由生态环境主管部门责令停止违法行为，处二万元以上十万元以下的罚款。</w:t>
      </w:r>
    </w:p>
    <w:p>
      <w:pPr>
        <w:keepNext w:val="0"/>
        <w:keepLines w:val="0"/>
        <w:pageBreakBefore w:val="0"/>
        <w:widowControl w:val="0"/>
        <w:shd w:val="clear" w:color="auto" w:fill="auto"/>
        <w:kinsoku/>
        <w:wordWrap/>
        <w:overflowPunct/>
        <w:topLinePunct w:val="0"/>
        <w:autoSpaceDE/>
        <w:autoSpaceDN w:val="0"/>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个人在信江饮用水水源保护区从事水上娱乐、洲滩野炊、露营，或者在一级保护区旅游、游泳、垂钓、洗涤的，由生态环境主管部门责令停止违法行为，情节严重的，处五十元以上五百元以下的罚款。</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第四十</w:t>
      </w:r>
      <w:r>
        <w:rPr>
          <w:rFonts w:hint="eastAsia" w:ascii="黑体" w:hAnsi="Times New Roman" w:eastAsia="黑体" w:cs="Times New Roman"/>
          <w:color w:val="000000"/>
          <w:w w:val="100"/>
          <w:sz w:val="32"/>
          <w:szCs w:val="32"/>
          <w:shd w:val="clear" w:color="auto" w:fill="auto"/>
          <w:lang w:eastAsia="zh-CN" w:bidi="ar-SA"/>
        </w:rPr>
        <w:t>一</w:t>
      </w:r>
      <w:r>
        <w:rPr>
          <w:rFonts w:hint="eastAsia" w:ascii="黑体" w:eastAsia="黑体"/>
          <w:bCs w:val="0"/>
          <w:color w:val="000000"/>
          <w:w w:val="100"/>
          <w:sz w:val="32"/>
          <w:szCs w:val="32"/>
        </w:rPr>
        <w:t>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有下列情形之一的，按照管理权限，由有关机关依法给予处分；构成犯罪的，依法追究刑事责任：</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（一）未履行依法划定或者调整饮用水水源保护区职责的；</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（二）未按照规定设置地理界标、警示标志、隔离防护设施的；</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（三）未履行饮用水水源巡查职责的；</w:t>
      </w: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（四）未履行水质监测职责，或者伪造、篡改监测数据的；</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（五）未及时依法处置饮用水水源污染事故的；</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（六）违反规定批准建设项目、准予经营行为的；</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0"/>
        <w:textAlignment w:val="auto"/>
        <w:outlineLvl w:val="9"/>
        <w:rPr>
          <w:rFonts w:hint="eastAsia" w:ascii="仿宋_GB2312" w:eastAsia="仿宋_GB2312"/>
          <w:color w:val="000000"/>
          <w:w w:val="100"/>
          <w:sz w:val="32"/>
          <w:szCs w:val="32"/>
        </w:rPr>
      </w:pPr>
      <w:r>
        <w:rPr>
          <w:rFonts w:hint="eastAsia" w:ascii="仿宋_GB2312" w:eastAsia="仿宋_GB2312"/>
          <w:color w:val="000000"/>
          <w:w w:val="100"/>
          <w:sz w:val="32"/>
          <w:szCs w:val="32"/>
        </w:rPr>
        <w:t>（七）未对违法行为依法实施查处的；</w:t>
      </w:r>
    </w:p>
    <w:p>
      <w:pPr>
        <w:keepNext w:val="0"/>
        <w:keepLines w:val="0"/>
        <w:pageBreakBefore w:val="0"/>
        <w:widowControl w:val="0"/>
        <w:shd w:val="clear" w:color="auto" w:fill="auto"/>
        <w:kinsoku/>
        <w:wordWrap/>
        <w:overflowPunct/>
        <w:topLinePunct w:val="0"/>
        <w:autoSpaceDE/>
        <w:bidi w:val="0"/>
        <w:adjustRightInd/>
        <w:snapToGrid/>
        <w:spacing w:line="560" w:lineRule="exact"/>
        <w:ind w:firstLine="643"/>
        <w:textAlignment w:val="auto"/>
        <w:outlineLvl w:val="9"/>
        <w:rPr>
          <w:rFonts w:hint="eastAsia" w:ascii="楷体_GB2312"/>
          <w:bCs/>
          <w:color w:val="000000"/>
          <w:w w:val="100"/>
          <w:sz w:val="32"/>
          <w:szCs w:val="32"/>
        </w:rPr>
      </w:pPr>
      <w:r>
        <w:rPr>
          <w:rFonts w:hint="eastAsia" w:ascii="仿宋_GB2312" w:eastAsia="仿宋_GB2312"/>
          <w:color w:val="000000"/>
          <w:w w:val="100"/>
          <w:sz w:val="32"/>
          <w:szCs w:val="32"/>
        </w:rPr>
        <w:t>（八）其他玩忽职守、滥用职权、徇私舞弊的行为。</w:t>
      </w:r>
    </w:p>
    <w:p>
      <w:pPr>
        <w:keepNext w:val="0"/>
        <w:keepLines w:val="0"/>
        <w:pageBreakBefore w:val="0"/>
        <w:widowControl w:val="0"/>
        <w:shd w:val="clear" w:color="auto" w:fill="auto"/>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p>
    <w:p>
      <w:pPr>
        <w:keepNext w:val="0"/>
        <w:keepLines w:val="0"/>
        <w:pageBreakBefore w:val="0"/>
        <w:widowControl w:val="0"/>
        <w:shd w:val="clear" w:color="auto" w:fill="auto"/>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r>
        <w:rPr>
          <w:rFonts w:hint="eastAsia" w:ascii="黑体" w:eastAsia="黑体"/>
          <w:color w:val="000000"/>
          <w:w w:val="100"/>
          <w:sz w:val="32"/>
          <w:szCs w:val="32"/>
        </w:rPr>
        <w:t>第五章  附则</w:t>
      </w:r>
    </w:p>
    <w:p>
      <w:pPr>
        <w:keepNext w:val="0"/>
        <w:keepLines w:val="0"/>
        <w:pageBreakBefore w:val="0"/>
        <w:widowControl w:val="0"/>
        <w:shd w:val="clear" w:color="auto" w:fill="auto"/>
        <w:kinsoku/>
        <w:wordWrap/>
        <w:overflowPunct/>
        <w:topLinePunct w:val="0"/>
        <w:autoSpaceDE/>
        <w:bidi w:val="0"/>
        <w:adjustRightInd/>
        <w:snapToGrid/>
        <w:spacing w:line="560" w:lineRule="exact"/>
        <w:jc w:val="center"/>
        <w:textAlignment w:val="auto"/>
        <w:outlineLvl w:val="9"/>
        <w:rPr>
          <w:rFonts w:hint="eastAsia" w:ascii="黑体" w:eastAsia="黑体"/>
          <w:color w:val="000000"/>
          <w:w w:val="100"/>
          <w:sz w:val="32"/>
          <w:szCs w:val="32"/>
        </w:rPr>
      </w:pPr>
    </w:p>
    <w:p>
      <w:pPr>
        <w:keepNext w:val="0"/>
        <w:keepLines w:val="0"/>
        <w:pageBreakBefore w:val="0"/>
        <w:widowControl w:val="0"/>
        <w:kinsoku/>
        <w:wordWrap/>
        <w:overflowPunct/>
        <w:topLinePunct w:val="0"/>
        <w:autoSpaceDE/>
        <w:bidi w:val="0"/>
        <w:adjustRightInd/>
        <w:snapToGrid/>
        <w:spacing w:line="560" w:lineRule="exact"/>
        <w:ind w:firstLine="643"/>
        <w:textAlignment w:val="auto"/>
        <w:outlineLvl w:val="9"/>
        <w:rPr>
          <w:rFonts w:hint="eastAsia" w:ascii="仿宋_GB2312" w:eastAsia="仿宋_GB2312"/>
          <w:color w:val="000000"/>
          <w:w w:val="100"/>
          <w:sz w:val="32"/>
          <w:szCs w:val="32"/>
        </w:rPr>
      </w:pPr>
      <w:r>
        <w:rPr>
          <w:rFonts w:hint="eastAsia" w:ascii="黑体" w:eastAsia="黑体"/>
          <w:bCs w:val="0"/>
          <w:color w:val="000000"/>
          <w:w w:val="100"/>
          <w:sz w:val="32"/>
          <w:szCs w:val="32"/>
        </w:rPr>
        <w:t>第四十</w:t>
      </w:r>
      <w:r>
        <w:rPr>
          <w:rFonts w:hint="eastAsia" w:ascii="黑体" w:hAnsi="Times New Roman" w:eastAsia="黑体" w:cs="Times New Roman"/>
          <w:color w:val="000000"/>
          <w:w w:val="100"/>
          <w:sz w:val="32"/>
          <w:szCs w:val="32"/>
          <w:shd w:val="clear" w:color="auto" w:fill="auto"/>
          <w:lang w:eastAsia="zh-CN" w:bidi="ar-SA"/>
        </w:rPr>
        <w:t>二</w:t>
      </w:r>
      <w:r>
        <w:rPr>
          <w:rFonts w:hint="eastAsia" w:ascii="黑体" w:eastAsia="黑体"/>
          <w:bCs w:val="0"/>
          <w:color w:val="000000"/>
          <w:w w:val="100"/>
          <w:sz w:val="32"/>
          <w:szCs w:val="32"/>
        </w:rPr>
        <w:t>条</w:t>
      </w:r>
      <w:r>
        <w:rPr>
          <w:rFonts w:hint="eastAsia" w:ascii="楷体_GB2312" w:eastAsia="楷体_GB2312"/>
          <w:bCs/>
          <w:color w:val="000000"/>
          <w:w w:val="100"/>
          <w:sz w:val="32"/>
          <w:szCs w:val="32"/>
        </w:rPr>
        <w:t xml:space="preserve"> </w:t>
      </w:r>
      <w:r>
        <w:rPr>
          <w:rFonts w:hint="eastAsia" w:ascii="仿宋_GB2312" w:eastAsia="仿宋_GB2312"/>
          <w:color w:val="000000"/>
          <w:w w:val="100"/>
          <w:sz w:val="32"/>
          <w:szCs w:val="32"/>
        </w:rPr>
        <w:t xml:space="preserve"> 本条例所称管委会是指鹰潭市龙虎山风景名胜区管委会、鹰潭高新技术产业开发区管委会、鹰潭市信江新区管委会。</w:t>
      </w:r>
    </w:p>
    <w:p>
      <w:pPr>
        <w:keepNext w:val="0"/>
        <w:keepLines w:val="0"/>
        <w:pageBreakBefore w:val="0"/>
        <w:kinsoku/>
        <w:overflowPunct/>
        <w:topLinePunct w:val="0"/>
        <w:autoSpaceDE/>
        <w:bidi w:val="0"/>
        <w:adjustRightInd/>
        <w:snapToGrid/>
        <w:spacing w:line="560" w:lineRule="exact"/>
        <w:ind w:firstLine="632" w:firstLineChars="200"/>
        <w:jc w:val="both"/>
        <w:textAlignment w:val="auto"/>
        <w:rPr>
          <w:rFonts w:cs="Times New Roman"/>
          <w:w w:val="100"/>
        </w:rPr>
      </w:pPr>
      <w:r>
        <w:rPr>
          <w:rFonts w:hint="eastAsia" w:ascii="黑体" w:eastAsia="黑体"/>
          <w:bCs w:val="0"/>
          <w:color w:val="000000"/>
          <w:w w:val="100"/>
          <w:sz w:val="32"/>
          <w:szCs w:val="32"/>
        </w:rPr>
        <w:t>第四十</w:t>
      </w:r>
      <w:r>
        <w:rPr>
          <w:rFonts w:hint="eastAsia" w:ascii="黑体" w:hAnsi="Times New Roman" w:eastAsia="黑体" w:cs="Times New Roman"/>
          <w:color w:val="000000"/>
          <w:w w:val="100"/>
          <w:sz w:val="32"/>
          <w:szCs w:val="32"/>
          <w:shd w:val="clear" w:color="auto" w:fill="auto"/>
          <w:lang w:eastAsia="zh-CN" w:bidi="ar-SA"/>
        </w:rPr>
        <w:t>三</w:t>
      </w:r>
      <w:r>
        <w:rPr>
          <w:rFonts w:hint="eastAsia" w:ascii="黑体" w:eastAsia="黑体"/>
          <w:bCs w:val="0"/>
          <w:color w:val="000000"/>
          <w:w w:val="100"/>
          <w:sz w:val="32"/>
          <w:szCs w:val="32"/>
        </w:rPr>
        <w:t xml:space="preserve">条 </w:t>
      </w:r>
      <w:r>
        <w:rPr>
          <w:rFonts w:hint="eastAsia" w:ascii="仿宋_GB2312" w:eastAsia="仿宋_GB2312"/>
          <w:color w:val="000000"/>
          <w:w w:val="100"/>
          <w:sz w:val="32"/>
          <w:szCs w:val="32"/>
        </w:rPr>
        <w:t xml:space="preserve"> 本条例自2019年6月1日起施行。</w:t>
      </w:r>
    </w:p>
    <w:p>
      <w:pPr>
        <w:keepNext w:val="0"/>
        <w:keepLines w:val="0"/>
        <w:pageBreakBefore w:val="0"/>
        <w:kinsoku/>
        <w:overflowPunct/>
        <w:topLinePunct w:val="0"/>
        <w:autoSpaceDE/>
        <w:bidi w:val="0"/>
        <w:adjustRightInd/>
        <w:snapToGrid/>
        <w:spacing w:line="560" w:lineRule="exact"/>
        <w:textAlignment w:val="auto"/>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7" w:h="16840"/>
      <w:pgMar w:top="2098" w:right="1531" w:bottom="1984" w:left="1531" w:header="0" w:footer="1587" w:gutter="0"/>
      <w:paperSrc/>
      <w:pgNumType w:fmt="numberInDash" w:start="1"/>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rPr>
        <w:rFonts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Style w:val="6"/>
                              <w:rFonts w:ascii="宋体" w:hAnsi="宋体" w:eastAsia="宋体" w:cs="Times New Roman"/>
                              <w:sz w:val="28"/>
                              <w:szCs w:val="28"/>
                            </w:rPr>
                          </w:pPr>
                          <w:r>
                            <w:rPr>
                              <w:rFonts w:ascii="宋体" w:hAnsi="宋体" w:eastAsia="宋体" w:cs="宋体"/>
                              <w:sz w:val="28"/>
                              <w:szCs w:val="28"/>
                            </w:rPr>
                            <w:fldChar w:fldCharType="begin"/>
                          </w:r>
                          <w:r>
                            <w:rPr>
                              <w:rStyle w:val="6"/>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6"/>
                              <w:rFonts w:ascii="宋体" w:hAnsi="宋体" w:eastAsia="宋体" w:cs="宋体"/>
                              <w:sz w:val="28"/>
                              <w:szCs w:val="28"/>
                            </w:rPr>
                            <w:t>- 17 -</w:t>
                          </w:r>
                          <w:r>
                            <w:rPr>
                              <w:rFonts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3"/>
                      <w:rPr>
                        <w:rStyle w:val="6"/>
                        <w:rFonts w:ascii="宋体" w:hAnsi="宋体" w:eastAsia="宋体" w:cs="Times New Roman"/>
                        <w:sz w:val="28"/>
                        <w:szCs w:val="28"/>
                      </w:rPr>
                    </w:pPr>
                    <w:r>
                      <w:rPr>
                        <w:rFonts w:ascii="宋体" w:hAnsi="宋体" w:eastAsia="宋体" w:cs="宋体"/>
                        <w:sz w:val="28"/>
                        <w:szCs w:val="28"/>
                      </w:rPr>
                      <w:fldChar w:fldCharType="begin"/>
                    </w:r>
                    <w:r>
                      <w:rPr>
                        <w:rStyle w:val="6"/>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6"/>
                        <w:rFonts w:ascii="宋体" w:hAnsi="宋体" w:eastAsia="宋体" w:cs="宋体"/>
                        <w:sz w:val="28"/>
                        <w:szCs w:val="28"/>
                      </w:rPr>
                      <w:t>- 17 -</w:t>
                    </w:r>
                    <w:r>
                      <w:rPr>
                        <w:rFonts w:ascii="宋体" w:hAnsi="宋体" w:eastAsia="宋体" w:cs="宋体"/>
                        <w:sz w:val="28"/>
                        <w:szCs w:val="28"/>
                      </w:rPr>
                      <w:fldChar w:fldCharType="end"/>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ascii="宋体" w:hAnsi="宋体" w:eastAsia="宋体" w:cs="Times New Roman"/>
                              <w:sz w:val="28"/>
                              <w:szCs w:val="2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i&#10;B7s4twEAAFQDAAAOAAAAAAAAAAEAIAAAAB4BAABkcnMvZTJvRG9jLnhtbFBLBQYAAAAABgAGAFkB&#10;AABHBQAAAAA=&#10;">
              <v:fill on="f" focussize="0,0"/>
              <v:stroke on="f"/>
              <v:imagedata o:title=""/>
              <o:lock v:ext="edit" aspectratio="f"/>
              <v:textbox inset="0mm,0mm,0mm,0mm" style="mso-fit-shape-to-text:t;">
                <w:txbxContent>
                  <w:p>
                    <w:pPr>
                      <w:snapToGrid w:val="0"/>
                      <w:rPr>
                        <w:rFonts w:ascii="宋体" w:hAnsi="宋体" w:eastAsia="宋体" w:cs="Times New Roman"/>
                        <w:sz w:val="28"/>
                        <w:szCs w:val="2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Fonts w:ascii="宋体" w:hAnsi="宋体" w:eastAsia="宋体" w:cs="Times New Roman"/>
        <w:sz w:val="28"/>
        <w:szCs w:val="28"/>
      </w:rPr>
    </w:pPr>
    <w:r>
      <w:rPr>
        <w:rFonts w:ascii="宋体" w:hAnsi="宋体" w:eastAsia="宋体" w:cs="宋体"/>
        <w:sz w:val="28"/>
        <w:szCs w:val="28"/>
      </w:rPr>
      <w:fldChar w:fldCharType="begin"/>
    </w:r>
    <w:r>
      <w:rPr>
        <w:rStyle w:val="6"/>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6"/>
        <w:rFonts w:ascii="宋体" w:hAnsi="宋体" w:eastAsia="宋体" w:cs="宋体"/>
        <w:sz w:val="28"/>
        <w:szCs w:val="28"/>
      </w:rPr>
      <w:t>- 16 -</w:t>
    </w:r>
    <w:r>
      <w:rPr>
        <w:rFonts w:ascii="宋体" w:hAnsi="宋体" w:eastAsia="宋体" w:cs="宋体"/>
        <w:sz w:val="28"/>
        <w:szCs w:val="28"/>
      </w:rPr>
      <w:fldChar w:fldCharType="end"/>
    </w:r>
  </w:p>
  <w:p>
    <w:pPr>
      <w:pStyle w:val="3"/>
      <w:ind w:right="360" w:firstLine="36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none" w:color="auto" w:sz="0" w:space="0"/>
        <w:right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none" w:color="auto" w:sz="0" w:space="0"/>
        <w:right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none" w:color="auto" w:sz="0" w:space="0"/>
        <w:right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C27A7F"/>
    <w:rsid w:val="3E3A3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Calibri"/>
      <w:kern w:val="2"/>
      <w:sz w:val="32"/>
      <w:szCs w:val="32"/>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hAnsi="Courier New" w:eastAsia="宋体" w:cs="Courier New"/>
      <w:sz w:val="21"/>
      <w:szCs w:val="21"/>
    </w:r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cs="Times New Roman"/>
      <w:sz w:val="18"/>
      <w:szCs w:val="18"/>
    </w:rPr>
  </w:style>
  <w:style w:type="character" w:styleId="6">
    <w:name w:val="page number"/>
    <w:basedOn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2019-01-04T08:26:49Z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