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Style w:val="9"/>
          <w:rFonts w:ascii="仿宋_GB2312" w:hAnsi="宋体"/>
          <w:spacing w:val="-10"/>
          <w:sz w:val="32"/>
          <w:szCs w:val="32"/>
        </w:rPr>
      </w:pPr>
    </w:p>
    <w:p>
      <w:pPr>
        <w:spacing w:line="560" w:lineRule="exact"/>
        <w:jc w:val="left"/>
        <w:rPr>
          <w:rStyle w:val="9"/>
          <w:rFonts w:ascii="仿宋_GB2312" w:hAnsi="宋体"/>
          <w:spacing w:val="-10"/>
          <w:sz w:val="32"/>
          <w:szCs w:val="32"/>
        </w:rPr>
      </w:pPr>
    </w:p>
    <w:p>
      <w:pPr>
        <w:spacing w:line="560" w:lineRule="exact"/>
        <w:rPr>
          <w:rStyle w:val="9"/>
          <w:rFonts w:ascii="宋体" w:hAnsi="宋体" w:eastAsia="宋体"/>
          <w:spacing w:val="-10"/>
          <w:sz w:val="44"/>
          <w:szCs w:val="44"/>
        </w:rPr>
      </w:pPr>
      <w:r>
        <w:rPr>
          <w:rStyle w:val="9"/>
          <w:rFonts w:hint="eastAsia" w:ascii="宋体" w:hAnsi="宋体" w:eastAsia="宋体"/>
          <w:spacing w:val="-10"/>
          <w:sz w:val="44"/>
          <w:szCs w:val="44"/>
        </w:rPr>
        <w:t>黄石市商业网点规划建设管理条例</w:t>
      </w:r>
    </w:p>
    <w:p>
      <w:pPr>
        <w:spacing w:line="560" w:lineRule="exact"/>
        <w:jc w:val="left"/>
        <w:rPr>
          <w:rFonts w:hint="eastAsia" w:hAnsi="宋体"/>
          <w:color w:val="000000"/>
          <w:spacing w:val="-10"/>
          <w:szCs w:val="32"/>
        </w:rPr>
      </w:pPr>
    </w:p>
    <w:p>
      <w:pPr>
        <w:autoSpaceDE w:val="0"/>
        <w:spacing w:line="560" w:lineRule="exact"/>
        <w:ind w:left="640" w:right="640"/>
        <w:jc w:val="left"/>
        <w:rPr>
          <w:rFonts w:hint="eastAsia" w:ascii="楷体_GB2312" w:eastAsia="楷体_GB2312"/>
          <w:spacing w:val="-6"/>
          <w:kern w:val="0"/>
          <w:szCs w:val="32"/>
          <w:shd w:val="clear" w:color="auto" w:fill="FFFFFF"/>
        </w:rPr>
      </w:pPr>
      <w:r>
        <w:rPr>
          <w:rFonts w:hint="eastAsia" w:ascii="楷体_GB2312" w:eastAsia="楷体_GB2312"/>
          <w:spacing w:val="-6"/>
          <w:kern w:val="0"/>
          <w:szCs w:val="32"/>
          <w:shd w:val="clear" w:color="auto" w:fill="FFFFFF"/>
          <w:lang w:eastAsia="zh-CN"/>
        </w:rPr>
        <w:t>（</w:t>
      </w:r>
      <w:r>
        <w:rPr>
          <w:rFonts w:hint="eastAsia" w:ascii="楷体_GB2312" w:eastAsia="楷体_GB2312"/>
          <w:spacing w:val="-6"/>
          <w:kern w:val="0"/>
          <w:szCs w:val="32"/>
          <w:shd w:val="clear" w:color="auto" w:fill="FFFFFF"/>
        </w:rPr>
        <w:t>2016年12月28日黄石市第十三届人民代表大会常务委员会第三十六次会议通过  2017年3月30日湖北省第十二届人民代表大会常务委员会第二十七次会议批准</w:t>
      </w:r>
      <w:r>
        <w:rPr>
          <w:rFonts w:hint="eastAsia" w:ascii="楷体_GB2312" w:eastAsia="楷体_GB2312"/>
          <w:spacing w:val="-6"/>
          <w:kern w:val="0"/>
          <w:szCs w:val="32"/>
          <w:shd w:val="clear" w:color="auto" w:fill="FFFFFF"/>
          <w:lang w:eastAsia="zh-CN"/>
        </w:rPr>
        <w:t>）</w:t>
      </w:r>
    </w:p>
    <w:p>
      <w:pPr>
        <w:autoSpaceDE w:val="0"/>
        <w:spacing w:line="560" w:lineRule="exact"/>
        <w:ind w:left="640" w:right="640"/>
        <w:jc w:val="left"/>
        <w:rPr>
          <w:rFonts w:hint="eastAsia"/>
          <w:spacing w:val="-6"/>
          <w:szCs w:val="32"/>
        </w:rPr>
      </w:pPr>
    </w:p>
    <w:p>
      <w:pPr>
        <w:spacing w:line="600" w:lineRule="exact"/>
        <w:rPr>
          <w:rFonts w:hint="eastAsia" w:ascii="楷体_GB2312" w:hAnsi="黑体" w:eastAsia="楷体_GB2312" w:cs="黑体"/>
          <w:kern w:val="0"/>
          <w:szCs w:val="32"/>
          <w:shd w:val="clear" w:color="auto" w:fill="FFFFFF"/>
        </w:rPr>
      </w:pPr>
      <w:r>
        <w:rPr>
          <w:rFonts w:hint="eastAsia" w:ascii="楷体_GB2312" w:hAnsi="黑体" w:eastAsia="楷体_GB2312" w:cs="黑体"/>
          <w:kern w:val="0"/>
          <w:szCs w:val="32"/>
          <w:shd w:val="clear" w:color="auto" w:fill="FFFFFF"/>
        </w:rPr>
        <w:t>目    录</w:t>
      </w:r>
    </w:p>
    <w:p>
      <w:pPr>
        <w:spacing w:line="600" w:lineRule="exact"/>
        <w:ind w:firstLine="641"/>
        <w:jc w:val="left"/>
        <w:rPr>
          <w:rFonts w:hint="eastAsia" w:ascii="楷体_GB2312" w:hAnsi="Calibri" w:eastAsia="楷体_GB2312"/>
          <w:kern w:val="0"/>
          <w:szCs w:val="32"/>
          <w:shd w:val="clear" w:color="auto" w:fill="FFFFFF"/>
        </w:rPr>
      </w:pPr>
      <w:r>
        <w:rPr>
          <w:rFonts w:hint="eastAsia" w:ascii="楷体_GB2312" w:eastAsia="楷体_GB2312"/>
          <w:kern w:val="0"/>
          <w:szCs w:val="32"/>
          <w:shd w:val="clear" w:color="auto" w:fill="FFFFFF"/>
        </w:rPr>
        <w:t>第一章  总则</w:t>
      </w:r>
    </w:p>
    <w:p>
      <w:pPr>
        <w:spacing w:line="600" w:lineRule="exact"/>
        <w:ind w:firstLine="641"/>
        <w:jc w:val="left"/>
        <w:rPr>
          <w:rFonts w:hint="eastAsia" w:ascii="楷体_GB2312" w:eastAsia="楷体_GB2312"/>
          <w:kern w:val="0"/>
          <w:szCs w:val="32"/>
          <w:shd w:val="clear" w:color="auto" w:fill="FFFFFF"/>
        </w:rPr>
      </w:pPr>
      <w:r>
        <w:rPr>
          <w:rFonts w:hint="eastAsia" w:ascii="楷体_GB2312" w:eastAsia="楷体_GB2312"/>
          <w:kern w:val="0"/>
          <w:szCs w:val="32"/>
          <w:shd w:val="clear" w:color="auto" w:fill="FFFFFF"/>
        </w:rPr>
        <w:t>第二章  商业网点规划</w:t>
      </w:r>
    </w:p>
    <w:p>
      <w:pPr>
        <w:spacing w:line="600" w:lineRule="exact"/>
        <w:ind w:firstLine="641"/>
        <w:jc w:val="left"/>
        <w:rPr>
          <w:rFonts w:hint="eastAsia" w:ascii="楷体_GB2312" w:eastAsia="楷体_GB2312"/>
          <w:kern w:val="0"/>
          <w:szCs w:val="32"/>
          <w:shd w:val="clear" w:color="auto" w:fill="FFFFFF"/>
        </w:rPr>
      </w:pPr>
      <w:r>
        <w:rPr>
          <w:rFonts w:hint="eastAsia" w:ascii="楷体_GB2312" w:eastAsia="楷体_GB2312"/>
          <w:kern w:val="0"/>
          <w:szCs w:val="32"/>
          <w:shd w:val="clear" w:color="auto" w:fill="FFFFFF"/>
        </w:rPr>
        <w:t>第三章  商业网点建设</w:t>
      </w:r>
    </w:p>
    <w:p>
      <w:pPr>
        <w:spacing w:line="600" w:lineRule="exact"/>
        <w:ind w:firstLine="641"/>
        <w:jc w:val="left"/>
        <w:rPr>
          <w:rFonts w:hint="eastAsia" w:ascii="楷体_GB2312" w:eastAsia="楷体_GB2312"/>
          <w:kern w:val="0"/>
          <w:szCs w:val="32"/>
          <w:shd w:val="clear" w:color="auto" w:fill="FFFFFF"/>
        </w:rPr>
      </w:pPr>
      <w:r>
        <w:rPr>
          <w:rFonts w:hint="eastAsia" w:ascii="楷体_GB2312" w:eastAsia="楷体_GB2312"/>
          <w:kern w:val="0"/>
          <w:szCs w:val="32"/>
          <w:shd w:val="clear" w:color="auto" w:fill="FFFFFF"/>
        </w:rPr>
        <w:t>第四章  商业网点管理</w:t>
      </w:r>
    </w:p>
    <w:p>
      <w:pPr>
        <w:spacing w:line="600" w:lineRule="exact"/>
        <w:ind w:firstLine="641"/>
        <w:jc w:val="left"/>
        <w:rPr>
          <w:rFonts w:hint="eastAsia" w:ascii="楷体_GB2312" w:eastAsia="楷体_GB2312"/>
          <w:kern w:val="0"/>
          <w:szCs w:val="32"/>
          <w:shd w:val="clear" w:color="auto" w:fill="FFFFFF"/>
        </w:rPr>
      </w:pPr>
      <w:r>
        <w:rPr>
          <w:rFonts w:hint="eastAsia" w:ascii="楷体_GB2312" w:eastAsia="楷体_GB2312"/>
          <w:kern w:val="0"/>
          <w:szCs w:val="32"/>
          <w:shd w:val="clear" w:color="auto" w:fill="FFFFFF"/>
        </w:rPr>
        <w:t>第五章  法律责任</w:t>
      </w:r>
    </w:p>
    <w:p>
      <w:pPr>
        <w:spacing w:line="600" w:lineRule="exact"/>
        <w:ind w:firstLine="641"/>
        <w:jc w:val="left"/>
        <w:rPr>
          <w:rFonts w:hint="eastAsia" w:ascii="楷体_GB2312" w:eastAsia="楷体_GB2312"/>
          <w:kern w:val="0"/>
          <w:szCs w:val="32"/>
          <w:shd w:val="clear" w:color="auto" w:fill="FFFFFF"/>
        </w:rPr>
      </w:pPr>
      <w:r>
        <w:rPr>
          <w:rFonts w:hint="eastAsia" w:ascii="楷体_GB2312" w:eastAsia="楷体_GB2312"/>
          <w:kern w:val="0"/>
          <w:szCs w:val="32"/>
          <w:shd w:val="clear" w:color="auto" w:fill="FFFFFF"/>
        </w:rPr>
        <w:t>第六章  附则</w:t>
      </w:r>
    </w:p>
    <w:p>
      <w:pPr>
        <w:pStyle w:val="4"/>
        <w:spacing w:line="580" w:lineRule="exact"/>
        <w:jc w:val="left"/>
        <w:rPr>
          <w:rFonts w:hint="eastAsia" w:ascii="楷体_GB2312" w:hAnsi="仿宋_GB2312" w:eastAsia="楷体_GB2312" w:cs="仿宋_GB2312"/>
          <w:color w:val="000000"/>
          <w:kern w:val="0"/>
          <w:sz w:val="32"/>
          <w:szCs w:val="32"/>
        </w:rPr>
      </w:pPr>
      <w:r>
        <w:rPr>
          <w:rFonts w:hint="eastAsia" w:ascii="楷体_GB2312" w:hAnsi="仿宋_GB2312" w:eastAsia="楷体_GB2312" w:cs="仿宋_GB2312"/>
          <w:color w:val="000000"/>
          <w:sz w:val="32"/>
          <w:szCs w:val="32"/>
        </w:rPr>
        <w:t xml:space="preserve"> </w:t>
      </w:r>
    </w:p>
    <w:p>
      <w:pPr>
        <w:pStyle w:val="4"/>
        <w:spacing w:line="580" w:lineRule="exact"/>
        <w:rPr>
          <w:rFonts w:hint="eastAsia" w:ascii="黑体" w:hAnsi="黑体" w:eastAsia="黑体" w:cs="宋体"/>
          <w:color w:val="000000"/>
          <w:sz w:val="32"/>
          <w:szCs w:val="32"/>
        </w:rPr>
      </w:pPr>
      <w:r>
        <w:rPr>
          <w:rFonts w:hint="eastAsia" w:ascii="黑体" w:hAnsi="黑体" w:eastAsia="黑体"/>
          <w:color w:val="000000"/>
          <w:sz w:val="32"/>
          <w:szCs w:val="32"/>
        </w:rPr>
        <w:t>第一章  总则</w:t>
      </w:r>
    </w:p>
    <w:p>
      <w:pPr>
        <w:pStyle w:val="4"/>
        <w:spacing w:line="580" w:lineRule="exact"/>
        <w:jc w:val="left"/>
        <w:rPr>
          <w:rFonts w:hint="eastAsia" w:ascii="黑体" w:hAnsi="黑体" w:eastAsia="黑体"/>
          <w:color w:val="000000"/>
          <w:sz w:val="32"/>
          <w:szCs w:val="32"/>
        </w:rPr>
      </w:pPr>
      <w:r>
        <w:rPr>
          <w:rFonts w:hint="eastAsia" w:ascii="黑体" w:hAnsi="黑体" w:eastAsia="黑体"/>
          <w:color w:val="000000"/>
          <w:sz w:val="32"/>
          <w:szCs w:val="32"/>
        </w:rPr>
        <w:t xml:space="preserve"> </w:t>
      </w:r>
    </w:p>
    <w:p>
      <w:pPr>
        <w:pStyle w:val="4"/>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第一条  </w:t>
      </w:r>
      <w:r>
        <w:rPr>
          <w:rFonts w:hint="eastAsia" w:ascii="仿宋_GB2312"/>
          <w:sz w:val="32"/>
          <w:szCs w:val="32"/>
        </w:rPr>
        <w:t>为了加强商业网点的规划、建设和管理，优化商业网点布局，服务生产经营，方便居民生活，促进经济社会发展，根据有关法律、法规，结合本市实际，制定本条例。</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第二条  </w:t>
      </w:r>
      <w:r>
        <w:rPr>
          <w:rFonts w:hint="eastAsia" w:ascii="仿宋_GB2312"/>
          <w:sz w:val="32"/>
          <w:szCs w:val="32"/>
        </w:rPr>
        <w:t>本条例适用于本市行政区域内商业网点的规划、建设和管理。</w:t>
      </w:r>
    </w:p>
    <w:p>
      <w:pPr>
        <w:pStyle w:val="4"/>
        <w:spacing w:line="580" w:lineRule="exact"/>
        <w:ind w:firstLine="632" w:firstLineChars="200"/>
        <w:jc w:val="left"/>
        <w:rPr>
          <w:rFonts w:hint="eastAsia" w:ascii="仿宋_GB2312"/>
          <w:sz w:val="32"/>
          <w:szCs w:val="32"/>
        </w:rPr>
      </w:pPr>
      <w:r>
        <w:rPr>
          <w:rFonts w:hint="eastAsia" w:ascii="仿宋_GB2312"/>
          <w:sz w:val="32"/>
          <w:szCs w:val="32"/>
        </w:rPr>
        <w:t>本条例所称商业网点，是指依法从事商品流通，为生产、经营和生活服务的商业经营场所。</w:t>
      </w:r>
    </w:p>
    <w:p>
      <w:pPr>
        <w:pStyle w:val="5"/>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第三条  </w:t>
      </w:r>
      <w:r>
        <w:rPr>
          <w:rFonts w:hint="eastAsia" w:ascii="仿宋_GB2312"/>
          <w:sz w:val="32"/>
          <w:szCs w:val="32"/>
        </w:rPr>
        <w:t>商业网点的规划、建设和管理活动，遵循科学规划、合理布局、功能完善、业态优化、便民利民的原则。</w:t>
      </w:r>
    </w:p>
    <w:p>
      <w:pPr>
        <w:pStyle w:val="5"/>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第四条  </w:t>
      </w:r>
      <w:r>
        <w:rPr>
          <w:rFonts w:hint="eastAsia" w:ascii="仿宋_GB2312"/>
          <w:sz w:val="32"/>
          <w:szCs w:val="32"/>
        </w:rPr>
        <w:t>市、县（市、区）人民政府应当将商业网点规划、建设和管理工作纳入本级国民经济和社会发展规划，并建立综合协调机制，解决本行政区域内商业网点规划、建设和管理工作中的重大问题。</w:t>
      </w:r>
    </w:p>
    <w:p>
      <w:pPr>
        <w:pStyle w:val="4"/>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第五条  </w:t>
      </w:r>
      <w:r>
        <w:rPr>
          <w:rFonts w:hint="eastAsia" w:ascii="仿宋_GB2312"/>
          <w:sz w:val="32"/>
          <w:szCs w:val="32"/>
        </w:rPr>
        <w:t>商务行政主管部门负责商业网点规划、建设和管理活动的统筹、指导和协调，并做好有关监督管理工作。</w:t>
      </w:r>
    </w:p>
    <w:p>
      <w:pPr>
        <w:pStyle w:val="4"/>
        <w:spacing w:line="580" w:lineRule="exact"/>
        <w:ind w:firstLine="632" w:firstLineChars="200"/>
        <w:jc w:val="left"/>
        <w:rPr>
          <w:rFonts w:hint="eastAsia" w:ascii="仿宋_GB2312"/>
          <w:sz w:val="32"/>
          <w:szCs w:val="32"/>
        </w:rPr>
      </w:pPr>
      <w:r>
        <w:rPr>
          <w:rFonts w:hint="eastAsia" w:ascii="仿宋_GB2312"/>
          <w:sz w:val="32"/>
          <w:szCs w:val="32"/>
        </w:rPr>
        <w:t>规划行政主管部门应当参与商业网点专项规划的编制，并负责商业网点建设项目规划实施的监督管理。</w:t>
      </w:r>
    </w:p>
    <w:p>
      <w:pPr>
        <w:pStyle w:val="4"/>
        <w:spacing w:line="580" w:lineRule="exact"/>
        <w:ind w:firstLine="632" w:firstLineChars="200"/>
        <w:jc w:val="left"/>
        <w:rPr>
          <w:rFonts w:hint="eastAsia" w:ascii="仿宋_GB2312"/>
          <w:sz w:val="32"/>
          <w:szCs w:val="32"/>
        </w:rPr>
      </w:pPr>
      <w:r>
        <w:rPr>
          <w:rFonts w:hint="eastAsia" w:ascii="仿宋_GB2312"/>
          <w:sz w:val="32"/>
          <w:szCs w:val="32"/>
        </w:rPr>
        <w:t>城乡建设行政主管部门负责商业网点房屋建筑及其配套设施建设的监督管理。</w:t>
      </w:r>
    </w:p>
    <w:p>
      <w:pPr>
        <w:pStyle w:val="4"/>
        <w:spacing w:line="580" w:lineRule="exact"/>
        <w:ind w:firstLine="632" w:firstLineChars="200"/>
        <w:jc w:val="left"/>
        <w:rPr>
          <w:rFonts w:hint="eastAsia" w:ascii="黑体" w:hAnsi="黑体" w:eastAsia="黑体" w:cs="仿宋_GB2312"/>
          <w:sz w:val="32"/>
          <w:szCs w:val="32"/>
        </w:rPr>
      </w:pPr>
      <w:r>
        <w:rPr>
          <w:rFonts w:hint="eastAsia" w:ascii="仿宋_GB2312"/>
          <w:sz w:val="32"/>
          <w:szCs w:val="32"/>
        </w:rPr>
        <w:t>发展和改革、经济和信息化、公安、财政、国土资源、环境保护、交通运输、统计、城市管理、食品药品监督管理、房地产管理、工商行政管理、质量技术监督、人民防空、供销、邮政等部门，应当按照各自职责，共同做好商业网点规划、建设和管理工作。</w:t>
      </w:r>
    </w:p>
    <w:p>
      <w:pPr>
        <w:spacing w:line="580" w:lineRule="exact"/>
        <w:ind w:firstLine="632" w:firstLineChars="200"/>
        <w:jc w:val="left"/>
        <w:rPr>
          <w:rFonts w:hint="eastAsia" w:ascii="黑体" w:hAnsi="黑体" w:eastAsia="黑体" w:cs="Times New Roman"/>
          <w:kern w:val="0"/>
          <w:szCs w:val="32"/>
        </w:rPr>
      </w:pPr>
      <w:r>
        <w:rPr>
          <w:rFonts w:hint="eastAsia" w:ascii="黑体" w:hAnsi="黑体" w:eastAsia="黑体"/>
          <w:szCs w:val="32"/>
        </w:rPr>
        <w:t xml:space="preserve">第六条  </w:t>
      </w:r>
      <w:r>
        <w:rPr>
          <w:rFonts w:hint="eastAsia"/>
          <w:kern w:val="0"/>
          <w:szCs w:val="32"/>
        </w:rPr>
        <w:t>鼓励和支持商业网点利用互联网、物联网、云计算等现代信息技术，采取线下体验、网订店送、网上会展等多种形式，在营销、支付、售后服务等方面，实现线下与线上交易、有形与无形市场融合发展。</w:t>
      </w:r>
    </w:p>
    <w:p>
      <w:pPr>
        <w:spacing w:line="580" w:lineRule="exact"/>
        <w:ind w:firstLine="632" w:firstLineChars="200"/>
        <w:jc w:val="left"/>
        <w:rPr>
          <w:rFonts w:hint="eastAsia" w:ascii="黑体" w:hAnsi="黑体" w:eastAsia="黑体"/>
          <w:szCs w:val="32"/>
        </w:rPr>
      </w:pPr>
      <w:r>
        <w:rPr>
          <w:rFonts w:hint="eastAsia" w:ascii="黑体" w:hAnsi="黑体" w:eastAsia="黑体"/>
          <w:szCs w:val="32"/>
        </w:rPr>
        <w:t xml:space="preserve"> </w:t>
      </w:r>
    </w:p>
    <w:p>
      <w:pPr>
        <w:spacing w:line="580" w:lineRule="exact"/>
        <w:rPr>
          <w:rFonts w:hint="eastAsia" w:ascii="黑体" w:hAnsi="黑体" w:eastAsia="黑体"/>
          <w:szCs w:val="32"/>
        </w:rPr>
      </w:pPr>
      <w:r>
        <w:rPr>
          <w:rFonts w:hint="eastAsia" w:ascii="黑体" w:hAnsi="黑体" w:eastAsia="黑体"/>
          <w:szCs w:val="32"/>
        </w:rPr>
        <w:t>第二章  商业网点规划</w:t>
      </w:r>
    </w:p>
    <w:p>
      <w:pPr>
        <w:spacing w:line="580" w:lineRule="exact"/>
        <w:ind w:firstLine="632" w:firstLineChars="200"/>
        <w:jc w:val="left"/>
        <w:rPr>
          <w:rFonts w:hint="eastAsia" w:hAnsi="Calibri"/>
          <w:kern w:val="0"/>
          <w:szCs w:val="32"/>
        </w:rPr>
      </w:pPr>
      <w:r>
        <w:rPr>
          <w:rFonts w:hint="eastAsia"/>
          <w:kern w:val="0"/>
          <w:szCs w:val="32"/>
        </w:rPr>
        <w:t xml:space="preserve"> </w:t>
      </w:r>
    </w:p>
    <w:p>
      <w:pPr>
        <w:spacing w:line="580" w:lineRule="exact"/>
        <w:ind w:firstLine="632" w:firstLineChars="200"/>
        <w:jc w:val="left"/>
        <w:rPr>
          <w:rFonts w:hint="eastAsia"/>
          <w:kern w:val="0"/>
          <w:szCs w:val="32"/>
        </w:rPr>
      </w:pPr>
      <w:r>
        <w:rPr>
          <w:rFonts w:hint="eastAsia" w:ascii="黑体" w:hAnsi="黑体" w:eastAsia="黑体"/>
          <w:kern w:val="0"/>
          <w:szCs w:val="32"/>
        </w:rPr>
        <w:t xml:space="preserve">第七条  </w:t>
      </w:r>
      <w:r>
        <w:rPr>
          <w:rFonts w:hint="eastAsia"/>
          <w:kern w:val="0"/>
          <w:szCs w:val="32"/>
        </w:rPr>
        <w:t>市、县（市）商务行政主管部门应当会同本级规划行政主管部门，组织编制本行政区域商业网点专项规划，报本级人民政府批准后公布，并报本级人民代表大会常务委员会备案。</w:t>
      </w:r>
    </w:p>
    <w:p>
      <w:pPr>
        <w:pStyle w:val="5"/>
        <w:spacing w:line="580" w:lineRule="exact"/>
        <w:ind w:firstLine="632" w:firstLineChars="200"/>
        <w:jc w:val="left"/>
        <w:rPr>
          <w:rFonts w:hint="eastAsia" w:ascii="仿宋_GB2312"/>
          <w:kern w:val="0"/>
          <w:sz w:val="32"/>
          <w:szCs w:val="32"/>
        </w:rPr>
      </w:pPr>
      <w:r>
        <w:rPr>
          <w:rFonts w:hint="eastAsia" w:ascii="黑体" w:hAnsi="黑体" w:eastAsia="黑体"/>
          <w:sz w:val="32"/>
          <w:szCs w:val="32"/>
        </w:rPr>
        <w:t xml:space="preserve">第八条  </w:t>
      </w:r>
      <w:r>
        <w:rPr>
          <w:rFonts w:hint="eastAsia" w:ascii="仿宋_GB2312"/>
          <w:sz w:val="32"/>
          <w:szCs w:val="32"/>
        </w:rPr>
        <w:t>编制商业网点专项规划，应当符合下列规定：</w:t>
      </w:r>
    </w:p>
    <w:p>
      <w:pPr>
        <w:pStyle w:val="4"/>
        <w:spacing w:line="580" w:lineRule="exact"/>
        <w:ind w:firstLine="632" w:firstLineChars="200"/>
        <w:jc w:val="left"/>
        <w:rPr>
          <w:rFonts w:hint="eastAsia" w:ascii="仿宋_GB2312"/>
          <w:sz w:val="32"/>
          <w:szCs w:val="32"/>
        </w:rPr>
      </w:pPr>
      <w:r>
        <w:rPr>
          <w:rFonts w:hint="eastAsia" w:ascii="仿宋_GB2312"/>
          <w:sz w:val="32"/>
          <w:szCs w:val="32"/>
        </w:rPr>
        <w:t>（一）符合改革发展要求，与全市产业发展目标、功能分区、交通体系、文化景观相协调；</w:t>
      </w:r>
    </w:p>
    <w:p>
      <w:pPr>
        <w:pStyle w:val="5"/>
        <w:spacing w:line="580" w:lineRule="exact"/>
        <w:ind w:firstLine="632" w:firstLineChars="200"/>
        <w:jc w:val="left"/>
        <w:rPr>
          <w:rFonts w:hint="eastAsia" w:ascii="仿宋_GB2312"/>
          <w:sz w:val="32"/>
          <w:szCs w:val="32"/>
        </w:rPr>
      </w:pPr>
      <w:r>
        <w:rPr>
          <w:rFonts w:hint="eastAsia" w:ascii="仿宋_GB2312"/>
          <w:sz w:val="32"/>
          <w:szCs w:val="32"/>
        </w:rPr>
        <w:t>（二）统筹经济社会发展水平、人口分布、服务半径、消费升级、环境保护等因素，加强商业网点分类引导，推进商业网点的标准化、均衡化建设；</w:t>
      </w:r>
    </w:p>
    <w:p>
      <w:pPr>
        <w:pStyle w:val="4"/>
        <w:spacing w:line="580" w:lineRule="exact"/>
        <w:ind w:firstLine="632" w:firstLineChars="200"/>
        <w:jc w:val="left"/>
        <w:rPr>
          <w:rFonts w:hint="eastAsia" w:ascii="仿宋_GB2312"/>
          <w:sz w:val="32"/>
          <w:szCs w:val="32"/>
        </w:rPr>
      </w:pPr>
      <w:r>
        <w:rPr>
          <w:rFonts w:hint="eastAsia" w:ascii="仿宋_GB2312"/>
          <w:sz w:val="32"/>
          <w:szCs w:val="32"/>
        </w:rPr>
        <w:t>（三）结合商业发展新模式、新技术，调整提升传统业态，培育发展新型业态，推动商业转型升级，满足社会多样化、个性化的消费新需求；</w:t>
      </w:r>
    </w:p>
    <w:p>
      <w:pPr>
        <w:pStyle w:val="4"/>
        <w:spacing w:line="580" w:lineRule="exact"/>
        <w:ind w:firstLine="632" w:firstLineChars="200"/>
        <w:jc w:val="left"/>
        <w:rPr>
          <w:rFonts w:hint="eastAsia" w:ascii="仿宋_GB2312"/>
          <w:sz w:val="32"/>
          <w:szCs w:val="32"/>
        </w:rPr>
      </w:pPr>
      <w:r>
        <w:rPr>
          <w:rFonts w:hint="eastAsia" w:ascii="仿宋_GB2312"/>
          <w:sz w:val="32"/>
          <w:szCs w:val="32"/>
        </w:rPr>
        <w:t>（四）合理利用现有建筑物，推动商业网点与历史、民俗、产业等相关的文化资源有机融合；</w:t>
      </w:r>
    </w:p>
    <w:p>
      <w:pPr>
        <w:spacing w:line="580" w:lineRule="exact"/>
        <w:ind w:firstLine="632" w:firstLineChars="200"/>
        <w:jc w:val="left"/>
        <w:rPr>
          <w:rFonts w:hint="eastAsia"/>
          <w:kern w:val="0"/>
          <w:szCs w:val="32"/>
        </w:rPr>
      </w:pPr>
      <w:r>
        <w:rPr>
          <w:rFonts w:hint="eastAsia"/>
          <w:kern w:val="0"/>
          <w:szCs w:val="32"/>
        </w:rPr>
        <w:t>（五）明确规划期内商业网点的发展目标、发展规模、发展重点、区域布局、行业结构、配套设施和实施措施，重点规划建设城市商业中心、区域（片区）商业中心、社区商业中心、特色商业街区、商品交易市场、农副产品市场等。</w:t>
      </w:r>
    </w:p>
    <w:p>
      <w:pPr>
        <w:spacing w:line="580" w:lineRule="exact"/>
        <w:ind w:firstLine="632" w:firstLineChars="200"/>
        <w:jc w:val="left"/>
        <w:rPr>
          <w:rFonts w:hint="eastAsia" w:ascii="黑体" w:hAnsi="黑体" w:eastAsia="黑体"/>
          <w:kern w:val="0"/>
          <w:szCs w:val="32"/>
        </w:rPr>
      </w:pPr>
      <w:r>
        <w:rPr>
          <w:rFonts w:hint="eastAsia" w:ascii="黑体" w:hAnsi="黑体" w:eastAsia="黑体"/>
          <w:szCs w:val="32"/>
        </w:rPr>
        <w:t xml:space="preserve">第九条  </w:t>
      </w:r>
      <w:r>
        <w:rPr>
          <w:rFonts w:hint="eastAsia"/>
          <w:kern w:val="0"/>
          <w:szCs w:val="32"/>
        </w:rPr>
        <w:t>商业网点专项规划报送审批前，组织编制机关应当将规划草案予以公告，并采取论证会、听证会或者其他方式征求专家和社会公众的意见。公告的时间不得少于三十日。</w:t>
      </w:r>
    </w:p>
    <w:p>
      <w:pPr>
        <w:spacing w:line="580" w:lineRule="exact"/>
        <w:ind w:firstLine="632" w:firstLineChars="200"/>
        <w:jc w:val="left"/>
        <w:rPr>
          <w:rFonts w:hint="eastAsia" w:hAnsi="Calibri"/>
          <w:kern w:val="0"/>
          <w:szCs w:val="32"/>
        </w:rPr>
      </w:pPr>
      <w:r>
        <w:rPr>
          <w:rFonts w:hint="eastAsia" w:ascii="黑体" w:hAnsi="黑体" w:eastAsia="黑体"/>
          <w:szCs w:val="32"/>
        </w:rPr>
        <w:t xml:space="preserve">第十条  </w:t>
      </w:r>
      <w:r>
        <w:rPr>
          <w:rFonts w:hint="eastAsia"/>
          <w:kern w:val="0"/>
          <w:szCs w:val="32"/>
        </w:rPr>
        <w:t>商业网点专项规划应当符合国民经济和社会发展规划、城市总体规划和土地利用总体规划。</w:t>
      </w:r>
    </w:p>
    <w:p>
      <w:pPr>
        <w:pStyle w:val="4"/>
        <w:spacing w:line="580" w:lineRule="exact"/>
        <w:ind w:firstLine="632" w:firstLineChars="200"/>
        <w:jc w:val="left"/>
        <w:rPr>
          <w:rFonts w:hint="eastAsia" w:ascii="仿宋_GB2312"/>
          <w:kern w:val="0"/>
          <w:sz w:val="32"/>
          <w:szCs w:val="32"/>
        </w:rPr>
      </w:pPr>
      <w:r>
        <w:rPr>
          <w:rFonts w:hint="eastAsia" w:ascii="仿宋_GB2312"/>
          <w:sz w:val="32"/>
          <w:szCs w:val="32"/>
        </w:rPr>
        <w:t>城市控制性详细规划的编制应当落实商业网点专项规划内容，明确商业网点用地性质、用地范围、空间布局等。</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第十一条  </w:t>
      </w:r>
      <w:r>
        <w:rPr>
          <w:rFonts w:hint="eastAsia" w:ascii="仿宋_GB2312"/>
          <w:sz w:val="32"/>
          <w:szCs w:val="32"/>
        </w:rPr>
        <w:t>经批准的商业网点专项规划不得随意变更。确需变更的，应当经充分论证后，按原审批程序办理。</w:t>
      </w:r>
    </w:p>
    <w:p>
      <w:pPr>
        <w:pStyle w:val="4"/>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第十二条  </w:t>
      </w:r>
      <w:r>
        <w:rPr>
          <w:rFonts w:hint="eastAsia" w:ascii="仿宋_GB2312"/>
          <w:sz w:val="32"/>
          <w:szCs w:val="32"/>
        </w:rPr>
        <w:t>商务行政主管部门应当定期对商业网点专项规划实施情况进行评估，并将评估结果作为修改、补充和完善商业网点专项规划的依据。</w:t>
      </w:r>
    </w:p>
    <w:p>
      <w:pPr>
        <w:pStyle w:val="4"/>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 </w:t>
      </w:r>
    </w:p>
    <w:p>
      <w:pPr>
        <w:pStyle w:val="4"/>
        <w:spacing w:line="580" w:lineRule="exact"/>
        <w:rPr>
          <w:rFonts w:hint="eastAsia" w:ascii="黑体" w:hAnsi="黑体" w:eastAsia="黑体"/>
          <w:sz w:val="32"/>
          <w:szCs w:val="32"/>
        </w:rPr>
      </w:pPr>
      <w:r>
        <w:rPr>
          <w:rFonts w:hint="eastAsia" w:ascii="黑体" w:hAnsi="黑体" w:eastAsia="黑体"/>
          <w:sz w:val="32"/>
          <w:szCs w:val="32"/>
        </w:rPr>
        <w:t>第三章  商业网点建设</w:t>
      </w:r>
    </w:p>
    <w:p>
      <w:pPr>
        <w:pStyle w:val="4"/>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 </w:t>
      </w:r>
    </w:p>
    <w:p>
      <w:pPr>
        <w:spacing w:line="580" w:lineRule="exact"/>
        <w:ind w:firstLine="632" w:firstLineChars="200"/>
        <w:jc w:val="left"/>
        <w:rPr>
          <w:rFonts w:hint="eastAsia" w:ascii="黑体" w:hAnsi="黑体" w:eastAsia="黑体"/>
          <w:szCs w:val="32"/>
        </w:rPr>
      </w:pPr>
      <w:r>
        <w:rPr>
          <w:rFonts w:hint="eastAsia" w:ascii="黑体" w:hAnsi="黑体" w:eastAsia="黑体"/>
          <w:szCs w:val="32"/>
        </w:rPr>
        <w:t xml:space="preserve">第十三条  </w:t>
      </w:r>
      <w:r>
        <w:rPr>
          <w:rFonts w:hint="eastAsia"/>
          <w:kern w:val="0"/>
          <w:szCs w:val="32"/>
        </w:rPr>
        <w:t>市商务行政主管部门应当根据商业网点专项规划，会同本级发展和改革、规划、国土资源等行政主管部门，建立商业网点建设项目库，编制年度重点建设计划，定期发布商业网点建设指导目录。</w:t>
      </w:r>
    </w:p>
    <w:p>
      <w:pPr>
        <w:spacing w:line="580" w:lineRule="exact"/>
        <w:ind w:firstLine="632" w:firstLineChars="200"/>
        <w:jc w:val="left"/>
        <w:rPr>
          <w:rFonts w:hint="eastAsia" w:ascii="黑体" w:hAnsi="黑体" w:eastAsia="黑体"/>
          <w:szCs w:val="32"/>
        </w:rPr>
      </w:pPr>
      <w:r>
        <w:rPr>
          <w:rFonts w:hint="eastAsia" w:ascii="黑体" w:hAnsi="黑体" w:eastAsia="黑体"/>
          <w:szCs w:val="32"/>
        </w:rPr>
        <w:t xml:space="preserve">第十四条  </w:t>
      </w:r>
      <w:r>
        <w:rPr>
          <w:rFonts w:hint="eastAsia"/>
          <w:kern w:val="0"/>
          <w:szCs w:val="32"/>
        </w:rPr>
        <w:t>商业网点建设资金可以采取企业自筹、政府投资、引进外资或者其他途径筹措。</w:t>
      </w:r>
    </w:p>
    <w:p>
      <w:pPr>
        <w:pStyle w:val="4"/>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第十五条  </w:t>
      </w:r>
      <w:r>
        <w:rPr>
          <w:rFonts w:hint="eastAsia" w:ascii="仿宋_GB2312"/>
          <w:sz w:val="32"/>
          <w:szCs w:val="32"/>
        </w:rPr>
        <w:t>为保障民生需要重点发展的商业网点，市、县（市）人民政府可以在规划用地、项目审批、资金扶持等方面制定优惠政策。</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第十六条  </w:t>
      </w:r>
      <w:r>
        <w:rPr>
          <w:rFonts w:hint="eastAsia" w:ascii="仿宋_GB2312"/>
          <w:sz w:val="32"/>
          <w:szCs w:val="32"/>
        </w:rPr>
        <w:t>对农副产品市场等与居民日常生活密切相关的公益性商业网点，各级人民政府应当通过项目投资、产权回购、财政补助等方式参与建设。已建成居住区公益性商业网点配套不足的，各级人民政府应当通过调整、购买、租赁等方式逐步予以解决。</w:t>
      </w:r>
    </w:p>
    <w:p>
      <w:pPr>
        <w:pStyle w:val="5"/>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第十七条  </w:t>
      </w:r>
      <w:r>
        <w:rPr>
          <w:rFonts w:hint="eastAsia" w:ascii="仿宋_GB2312"/>
          <w:sz w:val="32"/>
          <w:szCs w:val="32"/>
        </w:rPr>
        <w:t>土地储备和土地供应应当合理保障商业网点建设用地需求。</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第十八条  </w:t>
      </w:r>
      <w:r>
        <w:rPr>
          <w:rFonts w:hint="eastAsia" w:ascii="仿宋_GB2312"/>
          <w:sz w:val="32"/>
          <w:szCs w:val="32"/>
        </w:rPr>
        <w:t>商业网点的建设选址、规模、功能和业态等，应当符合商业网点专项规划、相关基础设施建设标准和环境保护的要求，并根据经营规模配置相应的附属设施。</w:t>
      </w:r>
    </w:p>
    <w:p>
      <w:pPr>
        <w:spacing w:line="580" w:lineRule="exact"/>
        <w:ind w:firstLine="632" w:firstLineChars="200"/>
        <w:jc w:val="left"/>
        <w:rPr>
          <w:rFonts w:hint="eastAsia"/>
          <w:kern w:val="0"/>
          <w:szCs w:val="32"/>
        </w:rPr>
      </w:pPr>
      <w:r>
        <w:rPr>
          <w:rFonts w:hint="eastAsia" w:ascii="黑体" w:hAnsi="黑体" w:eastAsia="黑体"/>
          <w:szCs w:val="32"/>
        </w:rPr>
        <w:t xml:space="preserve">第十九条  </w:t>
      </w:r>
      <w:r>
        <w:rPr>
          <w:rFonts w:hint="eastAsia"/>
          <w:kern w:val="0"/>
          <w:szCs w:val="32"/>
        </w:rPr>
        <w:t>市、县（市、区）人民政府应当根据商业网点专项规划，配套建设商贸物流和公共服务等设施。</w:t>
      </w:r>
    </w:p>
    <w:p>
      <w:pPr>
        <w:spacing w:line="580" w:lineRule="exact"/>
        <w:ind w:firstLine="632" w:firstLineChars="200"/>
        <w:jc w:val="left"/>
        <w:rPr>
          <w:rFonts w:hint="eastAsia"/>
          <w:kern w:val="0"/>
          <w:szCs w:val="32"/>
        </w:rPr>
      </w:pPr>
      <w:r>
        <w:rPr>
          <w:rFonts w:hint="eastAsia"/>
          <w:kern w:val="0"/>
          <w:szCs w:val="32"/>
        </w:rPr>
        <w:t>鼓励和支持大型商贸物流基地、农产品流通冷链系统等物流配送体系建设，整合物流资源，提高流通效率，降低流通成本。</w:t>
      </w:r>
    </w:p>
    <w:p>
      <w:pPr>
        <w:spacing w:line="580" w:lineRule="exact"/>
        <w:ind w:firstLine="632" w:firstLineChars="200"/>
        <w:jc w:val="left"/>
        <w:rPr>
          <w:rFonts w:hint="eastAsia"/>
          <w:kern w:val="0"/>
          <w:szCs w:val="32"/>
        </w:rPr>
      </w:pPr>
      <w:r>
        <w:rPr>
          <w:rFonts w:hint="eastAsia"/>
          <w:kern w:val="0"/>
          <w:szCs w:val="32"/>
        </w:rPr>
        <w:t>对从事生鲜农产品、冷冻冷藏食品等运输和快递服务的专用车辆，公安机关交通管理部门及其他有关部门应当按照相关规定，提供通行、停靠、作业等方面的便利条件。</w:t>
      </w:r>
    </w:p>
    <w:p>
      <w:pPr>
        <w:pStyle w:val="5"/>
        <w:spacing w:line="580" w:lineRule="exact"/>
        <w:ind w:firstLine="632" w:firstLineChars="200"/>
        <w:jc w:val="left"/>
        <w:rPr>
          <w:rFonts w:hint="eastAsia" w:ascii="黑体" w:hAnsi="黑体" w:eastAsia="黑体"/>
          <w:kern w:val="0"/>
          <w:sz w:val="32"/>
          <w:szCs w:val="32"/>
        </w:rPr>
      </w:pPr>
      <w:r>
        <w:rPr>
          <w:rFonts w:hint="eastAsia" w:ascii="黑体" w:hAnsi="黑体" w:eastAsia="黑体"/>
          <w:sz w:val="32"/>
          <w:szCs w:val="32"/>
        </w:rPr>
        <w:t xml:space="preserve"> </w:t>
      </w:r>
    </w:p>
    <w:p>
      <w:pPr>
        <w:pStyle w:val="5"/>
        <w:spacing w:line="580" w:lineRule="exact"/>
        <w:rPr>
          <w:rFonts w:hint="eastAsia" w:ascii="黑体" w:hAnsi="黑体" w:eastAsia="黑体"/>
          <w:sz w:val="32"/>
          <w:szCs w:val="32"/>
        </w:rPr>
      </w:pPr>
      <w:r>
        <w:rPr>
          <w:rFonts w:hint="eastAsia" w:ascii="黑体" w:hAnsi="黑体" w:eastAsia="黑体"/>
          <w:sz w:val="32"/>
          <w:szCs w:val="32"/>
        </w:rPr>
        <w:t>第四章  商业网点管理</w:t>
      </w:r>
    </w:p>
    <w:p>
      <w:pPr>
        <w:pStyle w:val="5"/>
        <w:spacing w:line="580" w:lineRule="exact"/>
        <w:ind w:firstLine="632" w:firstLineChars="200"/>
        <w:rPr>
          <w:rFonts w:hint="eastAsia" w:ascii="黑体" w:hAnsi="黑体" w:eastAsia="黑体"/>
          <w:sz w:val="32"/>
          <w:szCs w:val="32"/>
        </w:rPr>
      </w:pPr>
    </w:p>
    <w:p>
      <w:pPr>
        <w:pStyle w:val="5"/>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第二十条  </w:t>
      </w:r>
      <w:r>
        <w:rPr>
          <w:rFonts w:hint="eastAsia" w:ascii="仿宋_GB2312"/>
          <w:sz w:val="32"/>
          <w:szCs w:val="32"/>
        </w:rPr>
        <w:t>商务行政主管部门应当加强对商业网点的监督管理，建立商业面积监测预警制度，合理引导社会资金投向。</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第二十一条  </w:t>
      </w:r>
      <w:r>
        <w:rPr>
          <w:rFonts w:hint="eastAsia" w:ascii="仿宋_GB2312"/>
          <w:sz w:val="32"/>
          <w:szCs w:val="32"/>
        </w:rPr>
        <w:t>商务行政主管部门可以会同统计、工商等行政主管部门，建立商业网点统计调查制度。列为统计调查对象的商业网点应当按照商务、统计、工商等行政主管部门的要求，提供有关信息、数据和资料。</w:t>
      </w:r>
    </w:p>
    <w:p>
      <w:pPr>
        <w:pStyle w:val="4"/>
        <w:spacing w:line="580" w:lineRule="exact"/>
        <w:ind w:firstLine="632" w:firstLineChars="200"/>
        <w:jc w:val="left"/>
        <w:rPr>
          <w:rFonts w:hint="eastAsia" w:ascii="仿宋_GB2312"/>
          <w:sz w:val="32"/>
          <w:szCs w:val="32"/>
        </w:rPr>
      </w:pPr>
      <w:r>
        <w:rPr>
          <w:rFonts w:hint="eastAsia" w:ascii="黑体" w:hAnsi="黑体" w:eastAsia="黑体"/>
          <w:sz w:val="32"/>
          <w:szCs w:val="32"/>
        </w:rPr>
        <w:t xml:space="preserve">第二十二条  </w:t>
      </w:r>
      <w:r>
        <w:rPr>
          <w:rFonts w:hint="eastAsia" w:ascii="仿宋_GB2312"/>
          <w:sz w:val="32"/>
          <w:szCs w:val="32"/>
        </w:rPr>
        <w:t>商务行政主管部门应当根据商业网点规划、建设和管理需要，建立商业网点公共服务信息平台，为社会公众提供商业网点规划展示、投资建设、网点查询、购物消费等信息服务。</w:t>
      </w:r>
    </w:p>
    <w:p>
      <w:pPr>
        <w:pStyle w:val="4"/>
        <w:spacing w:line="580" w:lineRule="exact"/>
        <w:ind w:firstLine="632" w:firstLineChars="200"/>
        <w:jc w:val="left"/>
        <w:rPr>
          <w:rFonts w:hint="eastAsia" w:ascii="仿宋_GB2312"/>
          <w:sz w:val="32"/>
          <w:szCs w:val="32"/>
        </w:rPr>
      </w:pPr>
      <w:r>
        <w:rPr>
          <w:rFonts w:hint="eastAsia" w:ascii="仿宋_GB2312"/>
          <w:sz w:val="32"/>
          <w:szCs w:val="32"/>
        </w:rPr>
        <w:t>商务行政主管部门应当与城乡建设、规划、工商、统计等行政主管部门实现信息共享、互联互通。相关行政主管部门应当依法使用并保护商业网点的商业秘密。</w:t>
      </w:r>
    </w:p>
    <w:p>
      <w:pPr>
        <w:spacing w:line="580" w:lineRule="exact"/>
        <w:ind w:firstLine="632" w:firstLineChars="200"/>
        <w:jc w:val="left"/>
        <w:rPr>
          <w:rFonts w:hint="eastAsia" w:ascii="黑体" w:hAnsi="黑体" w:eastAsia="黑体"/>
          <w:szCs w:val="32"/>
        </w:rPr>
      </w:pPr>
      <w:r>
        <w:rPr>
          <w:rFonts w:hint="eastAsia" w:ascii="黑体" w:hAnsi="黑体" w:eastAsia="黑体"/>
          <w:szCs w:val="32"/>
        </w:rPr>
        <w:t xml:space="preserve">第二十三条  </w:t>
      </w:r>
      <w:r>
        <w:rPr>
          <w:rFonts w:hint="eastAsia"/>
          <w:kern w:val="0"/>
          <w:szCs w:val="32"/>
        </w:rPr>
        <w:t>县（市、区）商务行政主管部门应当加强对农副产品市场等与居民日常生活密切相关的公益性商业网点用途的监管，不得随意改变使用性质。</w:t>
      </w:r>
    </w:p>
    <w:p>
      <w:pPr>
        <w:pStyle w:val="5"/>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第二十四条  </w:t>
      </w:r>
      <w:r>
        <w:rPr>
          <w:rFonts w:hint="eastAsia" w:ascii="仿宋_GB2312"/>
          <w:sz w:val="32"/>
          <w:szCs w:val="32"/>
        </w:rPr>
        <w:t>临街的商业网点经营者不得出店经营、作业或者展示商品。</w:t>
      </w:r>
    </w:p>
    <w:p>
      <w:pPr>
        <w:spacing w:line="580" w:lineRule="exact"/>
        <w:ind w:firstLine="632" w:firstLineChars="200"/>
        <w:jc w:val="left"/>
        <w:rPr>
          <w:rFonts w:hint="eastAsia"/>
          <w:kern w:val="0"/>
          <w:szCs w:val="32"/>
        </w:rPr>
      </w:pPr>
      <w:r>
        <w:rPr>
          <w:rFonts w:hint="eastAsia"/>
          <w:kern w:val="0"/>
          <w:szCs w:val="32"/>
        </w:rPr>
        <w:t>县（市、区）人民政府应当对食品摊贩、修理服务、日用品销售等便民摊点统筹规划，合理规定经营区域和时段。便民摊点不得影响安全、交通、卫生，并符合环境保护要求。</w:t>
      </w:r>
    </w:p>
    <w:p>
      <w:pPr>
        <w:pStyle w:val="5"/>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第二十五条  </w:t>
      </w:r>
      <w:r>
        <w:rPr>
          <w:rFonts w:hint="eastAsia" w:ascii="仿宋_GB2312"/>
          <w:sz w:val="32"/>
          <w:szCs w:val="32"/>
        </w:rPr>
        <w:t>商务行政主管部门应当根据辖区内商业网点管理需要，牵头组织规划、城乡建设、城市管理、公安、工商行政管理等部门开展联合执法。</w:t>
      </w:r>
    </w:p>
    <w:p>
      <w:pPr>
        <w:pStyle w:val="5"/>
        <w:spacing w:line="580" w:lineRule="exact"/>
        <w:ind w:firstLine="632" w:firstLineChars="200"/>
        <w:jc w:val="left"/>
        <w:rPr>
          <w:rFonts w:hint="eastAsia" w:ascii="黑体" w:hAnsi="黑体" w:eastAsia="黑体"/>
          <w:kern w:val="0"/>
          <w:sz w:val="32"/>
          <w:szCs w:val="32"/>
        </w:rPr>
      </w:pPr>
      <w:r>
        <w:rPr>
          <w:rFonts w:hint="eastAsia" w:ascii="黑体" w:hAnsi="黑体" w:eastAsia="黑体"/>
          <w:sz w:val="32"/>
          <w:szCs w:val="32"/>
        </w:rPr>
        <w:t xml:space="preserve">  </w:t>
      </w:r>
    </w:p>
    <w:p>
      <w:pPr>
        <w:spacing w:line="580" w:lineRule="exact"/>
        <w:rPr>
          <w:rFonts w:hint="eastAsia" w:ascii="黑体" w:hAnsi="黑体" w:eastAsia="黑体"/>
          <w:szCs w:val="32"/>
        </w:rPr>
      </w:pPr>
      <w:r>
        <w:rPr>
          <w:rFonts w:hint="eastAsia" w:ascii="黑体" w:hAnsi="黑体" w:eastAsia="黑体"/>
          <w:szCs w:val="32"/>
        </w:rPr>
        <w:t>第五章  法律责任</w:t>
      </w:r>
    </w:p>
    <w:p>
      <w:pPr>
        <w:pStyle w:val="4"/>
        <w:widowControl w:val="0"/>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 </w:t>
      </w:r>
    </w:p>
    <w:p>
      <w:pPr>
        <w:pStyle w:val="4"/>
        <w:widowControl w:val="0"/>
        <w:spacing w:line="580" w:lineRule="exact"/>
        <w:ind w:firstLine="632" w:firstLineChars="200"/>
        <w:jc w:val="left"/>
        <w:rPr>
          <w:rFonts w:hint="eastAsia" w:ascii="仿宋_GB2312" w:hAnsi="宋体"/>
          <w:sz w:val="32"/>
          <w:szCs w:val="32"/>
        </w:rPr>
      </w:pPr>
      <w:r>
        <w:rPr>
          <w:rFonts w:hint="eastAsia" w:ascii="黑体" w:hAnsi="黑体" w:eastAsia="黑体"/>
          <w:sz w:val="32"/>
          <w:szCs w:val="32"/>
        </w:rPr>
        <w:t xml:space="preserve">第二十六条  </w:t>
      </w:r>
      <w:r>
        <w:rPr>
          <w:rFonts w:hint="eastAsia" w:ascii="仿宋_GB2312"/>
          <w:sz w:val="32"/>
          <w:szCs w:val="32"/>
        </w:rPr>
        <w:t>对违反本条例的行为，法律、法规有规定的，从其规定。</w:t>
      </w:r>
    </w:p>
    <w:p>
      <w:pPr>
        <w:spacing w:line="580" w:lineRule="exact"/>
        <w:ind w:firstLine="632" w:firstLineChars="200"/>
        <w:jc w:val="left"/>
        <w:rPr>
          <w:rFonts w:hint="eastAsia" w:ascii="黑体" w:hAnsi="黑体" w:eastAsia="黑体"/>
          <w:szCs w:val="32"/>
        </w:rPr>
      </w:pPr>
      <w:r>
        <w:rPr>
          <w:rFonts w:hint="eastAsia" w:ascii="黑体" w:hAnsi="黑体" w:eastAsia="黑体"/>
          <w:szCs w:val="32"/>
        </w:rPr>
        <w:t xml:space="preserve">第二十七条  </w:t>
      </w:r>
      <w:r>
        <w:rPr>
          <w:rFonts w:hint="eastAsia"/>
          <w:szCs w:val="32"/>
        </w:rPr>
        <w:t>违反本条例第七条、第九条、第十一条规定，对依法应当编制商业网点专项规划而未组织编制，或者未按法定程序编制、审批、变更商业网点专项规划的，由本级人民政府责令改正，通报批评；对有关部门直接负责的主管人员和其他直接责任人员依法给予行政处分。</w:t>
      </w:r>
    </w:p>
    <w:p>
      <w:pPr>
        <w:spacing w:line="580" w:lineRule="exact"/>
        <w:ind w:firstLine="632" w:firstLineChars="200"/>
        <w:jc w:val="left"/>
        <w:rPr>
          <w:rFonts w:hint="eastAsia" w:hAnsi="Calibri"/>
          <w:kern w:val="0"/>
          <w:szCs w:val="32"/>
        </w:rPr>
      </w:pPr>
      <w:r>
        <w:rPr>
          <w:rFonts w:hint="eastAsia" w:ascii="黑体" w:hAnsi="黑体" w:eastAsia="黑体"/>
          <w:szCs w:val="32"/>
        </w:rPr>
        <w:t xml:space="preserve">第二十八条  </w:t>
      </w:r>
      <w:r>
        <w:rPr>
          <w:rFonts w:hint="eastAsia"/>
          <w:kern w:val="0"/>
          <w:szCs w:val="32"/>
        </w:rPr>
        <w:t>列为统计调查对象的商业网点经营者违反本条例第二十一条规定，不按要求提供信息、数据和资料的，由统计行政主管部门责令限期改正，给予警告；逾期不改正的，对企业或者其他组织处2000元以上1万元以下的罚款；对个体工商户处200元以上1000元以下的罚款。</w:t>
      </w:r>
    </w:p>
    <w:p>
      <w:pPr>
        <w:adjustRightInd w:val="0"/>
        <w:snapToGrid w:val="0"/>
        <w:spacing w:line="580" w:lineRule="exact"/>
        <w:ind w:firstLine="632" w:firstLineChars="200"/>
        <w:jc w:val="left"/>
        <w:rPr>
          <w:rFonts w:hint="eastAsia"/>
          <w:kern w:val="0"/>
          <w:szCs w:val="32"/>
        </w:rPr>
      </w:pPr>
      <w:r>
        <w:rPr>
          <w:rFonts w:hint="eastAsia" w:ascii="黑体" w:hAnsi="黑体" w:eastAsia="黑体"/>
          <w:szCs w:val="32"/>
        </w:rPr>
        <w:t xml:space="preserve">第二十九条  </w:t>
      </w:r>
      <w:r>
        <w:rPr>
          <w:rFonts w:hint="eastAsia"/>
          <w:kern w:val="0"/>
          <w:szCs w:val="32"/>
        </w:rPr>
        <w:t>临街的商业网点违反本条例第二十四条第一款规定，出店经营、作业或者展示商品的，由城市管理行政执法部门责令停止违法行为；拒不改正，情节严重的，处200元以上1000元以下的罚款。</w:t>
      </w:r>
    </w:p>
    <w:p>
      <w:pPr>
        <w:adjustRightInd w:val="0"/>
        <w:snapToGrid w:val="0"/>
        <w:spacing w:line="580" w:lineRule="exact"/>
        <w:ind w:firstLine="632" w:firstLineChars="200"/>
        <w:jc w:val="left"/>
        <w:rPr>
          <w:rFonts w:hint="eastAsia"/>
          <w:kern w:val="0"/>
          <w:szCs w:val="32"/>
        </w:rPr>
      </w:pPr>
      <w:r>
        <w:rPr>
          <w:rFonts w:hint="eastAsia"/>
          <w:kern w:val="0"/>
          <w:szCs w:val="32"/>
        </w:rPr>
        <w:t>便民摊点违反本条例第二十四条第二款规定，超出经营区域、时段或者影响安全、交通、卫生的，由城市管理行政执法部门责令停止违法行为；拒不改正，情节严重的，处100元以上500元以下的罚款。</w:t>
      </w:r>
    </w:p>
    <w:p>
      <w:pPr>
        <w:adjustRightInd w:val="0"/>
        <w:snapToGrid w:val="0"/>
        <w:spacing w:line="580" w:lineRule="exact"/>
        <w:ind w:firstLine="632" w:firstLineChars="200"/>
        <w:jc w:val="left"/>
        <w:rPr>
          <w:rFonts w:hint="eastAsia"/>
          <w:szCs w:val="32"/>
        </w:rPr>
      </w:pPr>
      <w:r>
        <w:rPr>
          <w:rFonts w:hint="eastAsia" w:ascii="黑体" w:hAnsi="黑体" w:eastAsia="黑体"/>
          <w:szCs w:val="32"/>
        </w:rPr>
        <w:t xml:space="preserve">第三十条  </w:t>
      </w:r>
      <w:r>
        <w:rPr>
          <w:rFonts w:hint="eastAsia"/>
          <w:szCs w:val="32"/>
        </w:rPr>
        <w:t>有关行政</w:t>
      </w:r>
      <w:r>
        <w:rPr>
          <w:rFonts w:hint="eastAsia"/>
          <w:kern w:val="0"/>
          <w:szCs w:val="32"/>
        </w:rPr>
        <w:t>主管部门及其工作人员在商业网点规划、建设和管理工作中玩忽职守、滥用职权、徇私舞弊的，对直接负责的主管人员和其他</w:t>
      </w:r>
      <w:r>
        <w:rPr>
          <w:rFonts w:hint="eastAsia"/>
          <w:szCs w:val="32"/>
        </w:rPr>
        <w:t>直接责任人员依法给予行政处分；构成犯罪的，依法追究刑事责任。</w:t>
      </w:r>
    </w:p>
    <w:p>
      <w:pPr>
        <w:pStyle w:val="4"/>
        <w:spacing w:line="580" w:lineRule="exact"/>
        <w:jc w:val="left"/>
        <w:rPr>
          <w:rFonts w:hint="eastAsia" w:ascii="黑体" w:hAnsi="黑体" w:eastAsia="黑体"/>
          <w:sz w:val="32"/>
          <w:szCs w:val="32"/>
        </w:rPr>
      </w:pPr>
      <w:r>
        <w:rPr>
          <w:rFonts w:hint="eastAsia" w:ascii="黑体" w:hAnsi="黑体" w:eastAsia="黑体"/>
          <w:sz w:val="32"/>
          <w:szCs w:val="32"/>
        </w:rPr>
        <w:t xml:space="preserve"> </w:t>
      </w:r>
    </w:p>
    <w:p>
      <w:pPr>
        <w:pStyle w:val="4"/>
        <w:spacing w:line="580" w:lineRule="exact"/>
        <w:rPr>
          <w:rFonts w:hint="eastAsia" w:ascii="黑体" w:hAnsi="黑体" w:eastAsia="黑体"/>
          <w:sz w:val="32"/>
          <w:szCs w:val="32"/>
        </w:rPr>
      </w:pPr>
      <w:r>
        <w:rPr>
          <w:rFonts w:hint="eastAsia" w:ascii="黑体" w:hAnsi="黑体" w:eastAsia="黑体"/>
          <w:sz w:val="32"/>
          <w:szCs w:val="32"/>
        </w:rPr>
        <w:t>第六章  附则</w:t>
      </w:r>
    </w:p>
    <w:p>
      <w:pPr>
        <w:pStyle w:val="4"/>
        <w:spacing w:line="580" w:lineRule="exact"/>
        <w:ind w:firstLine="632" w:firstLineChars="200"/>
        <w:jc w:val="left"/>
        <w:rPr>
          <w:rFonts w:hint="eastAsia" w:ascii="黑体" w:hAnsi="黑体" w:eastAsia="黑体"/>
          <w:sz w:val="32"/>
          <w:szCs w:val="32"/>
        </w:rPr>
      </w:pPr>
      <w:r>
        <w:rPr>
          <w:rFonts w:hint="eastAsia" w:ascii="黑体" w:hAnsi="黑体" w:eastAsia="黑体"/>
          <w:sz w:val="32"/>
          <w:szCs w:val="32"/>
        </w:rPr>
        <w:t xml:space="preserve"> </w:t>
      </w:r>
    </w:p>
    <w:p>
      <w:pPr>
        <w:spacing w:line="580" w:lineRule="exact"/>
        <w:ind w:firstLine="632" w:firstLineChars="200"/>
        <w:jc w:val="left"/>
        <w:rPr>
          <w:rFonts w:hint="eastAsia"/>
        </w:rPr>
      </w:pPr>
      <w:r>
        <w:rPr>
          <w:rFonts w:hint="eastAsia" w:ascii="黑体" w:hAnsi="黑体" w:eastAsia="黑体"/>
          <w:szCs w:val="32"/>
        </w:rPr>
        <w:t xml:space="preserve">第三十一条  </w:t>
      </w:r>
      <w:r>
        <w:rPr>
          <w:rFonts w:hint="eastAsia"/>
          <w:szCs w:val="32"/>
        </w:rPr>
        <w:t>本</w:t>
      </w:r>
      <w:r>
        <w:rPr>
          <w:rFonts w:hint="eastAsia"/>
          <w:kern w:val="0"/>
          <w:szCs w:val="32"/>
        </w:rPr>
        <w:t>条例自2017年8月1日起施行。</w:t>
      </w:r>
      <w:bookmarkStart w:id="0" w:name="_GoBack"/>
      <w:bookmarkEnd w:id="0"/>
    </w:p>
    <w:sectPr>
      <w:footerReference r:id="rId3" w:type="default"/>
      <w:footerReference r:id="rId4" w:type="even"/>
      <w:pgSz w:w="11906" w:h="16838"/>
      <w:pgMar w:top="2098" w:right="1474" w:bottom="1985" w:left="1588" w:header="851" w:footer="1701"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Segoe Print"/>
    <w:panose1 w:val="00000000000000000000"/>
    <w:charset w:val="00"/>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474351"/>
    </w:sdtPr>
    <w:sdtContent>
      <w:p>
        <w:pPr>
          <w:pStyle w:val="2"/>
          <w:ind w:right="320" w:rightChars="10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r>
          <w:rPr>
            <w:sz w:val="28"/>
            <w:szCs w:val="28"/>
          </w:rPr>
          <w:t xml:space="preserve"> </w:t>
        </w:r>
        <w:r>
          <w:rPr>
            <w:rFonts w:hint="eastAsia"/>
            <w:sz w:val="28"/>
            <w:szCs w:val="28"/>
          </w:rPr>
          <w:t>－</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023965"/>
    </w:sdtPr>
    <w:sdtEndPr>
      <w:rPr>
        <w:sz w:val="28"/>
        <w:szCs w:val="28"/>
      </w:rPr>
    </w:sdtEndPr>
    <w:sdtContent>
      <w:p>
        <w:pPr>
          <w:pStyle w:val="2"/>
          <w:ind w:left="320" w:leftChars="100"/>
          <w:rPr>
            <w:sz w:val="28"/>
            <w:szCs w:val="28"/>
          </w:rP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r>
          <w:rPr>
            <w:sz w:val="28"/>
            <w:szCs w:val="28"/>
          </w:rPr>
          <w:t xml:space="preserve"> </w:t>
        </w:r>
        <w:r>
          <w:rPr>
            <w:rFonts w:hint="eastAsia"/>
            <w:sz w:val="28"/>
            <w:szCs w:val="28"/>
          </w:rPr>
          <w:t>－</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814"/>
    <w:rsid w:val="00101210"/>
    <w:rsid w:val="00306A10"/>
    <w:rsid w:val="00482A79"/>
    <w:rsid w:val="00513A57"/>
    <w:rsid w:val="00523FA7"/>
    <w:rsid w:val="00682840"/>
    <w:rsid w:val="00697814"/>
    <w:rsid w:val="007C72E1"/>
    <w:rsid w:val="00A14556"/>
    <w:rsid w:val="00CC7CFC"/>
    <w:rsid w:val="00D56B60"/>
    <w:rsid w:val="00DA496C"/>
    <w:rsid w:val="667E3F2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仿宋_GB2312" w:eastAsia="仿宋_GB2312" w:hAnsiTheme="minorHAnsi" w:cstheme="minorBidi"/>
      <w:kern w:val="2"/>
      <w:sz w:val="32"/>
      <w:szCs w:val="21"/>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pPr>
    <w:rPr>
      <w:sz w:val="18"/>
      <w:szCs w:val="18"/>
    </w:rPr>
  </w:style>
  <w:style w:type="paragraph" w:styleId="4">
    <w:name w:val="HTML Preformatted"/>
    <w:basedOn w:val="1"/>
    <w:link w:val="8"/>
    <w:unhideWhenUsed/>
    <w:uiPriority w:val="99"/>
    <w:rPr>
      <w:rFonts w:ascii="Courier New" w:hAnsi="Courier New" w:cs="Courier New"/>
      <w:sz w:val="20"/>
      <w:szCs w:val="20"/>
    </w:rPr>
  </w:style>
  <w:style w:type="paragraph" w:styleId="5">
    <w:name w:val="Normal (Web)"/>
    <w:basedOn w:val="1"/>
    <w:unhideWhenUsed/>
    <w:qFormat/>
    <w:uiPriority w:val="99"/>
    <w:rPr>
      <w:rFonts w:ascii="Times New Roman" w:hAnsi="Times New Roman" w:cs="Times New Roman"/>
      <w:sz w:val="24"/>
      <w:szCs w:val="24"/>
    </w:rPr>
  </w:style>
  <w:style w:type="character" w:customStyle="1" w:styleId="8">
    <w:name w:val="HTML 预设格式 字符"/>
    <w:basedOn w:val="6"/>
    <w:link w:val="4"/>
    <w:semiHidden/>
    <w:qFormat/>
    <w:uiPriority w:val="99"/>
    <w:rPr>
      <w:rFonts w:ascii="Courier New" w:hAnsi="Courier New" w:cs="Courier New"/>
      <w:sz w:val="20"/>
      <w:szCs w:val="20"/>
    </w:rPr>
  </w:style>
  <w:style w:type="character" w:customStyle="1" w:styleId="9">
    <w:name w:val="16"/>
    <w:basedOn w:val="6"/>
    <w:uiPriority w:val="0"/>
    <w:rPr>
      <w:rFonts w:hint="default" w:ascii="ˎ̥" w:hAnsi="ˎ̥"/>
      <w:color w:val="000000"/>
      <w:sz w:val="24"/>
      <w:szCs w:val="24"/>
    </w:rPr>
  </w:style>
  <w:style w:type="character" w:customStyle="1" w:styleId="10">
    <w:name w:val="页眉 字符"/>
    <w:basedOn w:val="6"/>
    <w:link w:val="3"/>
    <w:qFormat/>
    <w:uiPriority w:val="99"/>
    <w:rPr>
      <w:rFonts w:ascii="仿宋_GB2312" w:eastAsia="仿宋_GB2312"/>
      <w:sz w:val="18"/>
      <w:szCs w:val="18"/>
    </w:rPr>
  </w:style>
  <w:style w:type="character" w:customStyle="1" w:styleId="11">
    <w:name w:val="页脚 字符"/>
    <w:basedOn w:val="6"/>
    <w:link w:val="2"/>
    <w:qFormat/>
    <w:uiPriority w:val="99"/>
    <w:rPr>
      <w:rFonts w:ascii="仿宋_GB2312" w:eastAsia="仿宋_GB231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501</Words>
  <Characters>2860</Characters>
  <Lines>23</Lines>
  <Paragraphs>6</Paragraphs>
  <TotalTime>0</TotalTime>
  <ScaleCrop>false</ScaleCrop>
  <LinksUpToDate>false</LinksUpToDate>
  <CharactersWithSpaces>3355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2017-07-09T02:57:00Z</dcterms:created>
  <dc:creator>Byron Jack</dc:creator>
  <cp:lastModifiedBy>Byron</cp:lastModifiedBy>
  <dcterms:modified xsi:type="dcterms:W3CDTF">2017-07-09T14:57:46Z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