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7000F16">
      <w:pPr>
        <w:spacing w:after="192" w:line="408"/>
        <w:rPr>
          <w:color w:val="1a4f8b"/>
        </w:rPr>
      </w:pPr>
      <w:r>
        <w:rPr>
          <w:rFonts w:hint="eastAsia" w:ascii="SimHei" w:hAnsi="SimHei" w:eastAsia="SimHei" w:cs="SimHei"/>
          <w:b w:val="1"/>
          <w:color w:val="1a4f8b"/>
          <w:spacing w:val="19"/>
          <w:sz w:val="28"/>
        </w:rPr>
        <w:t>业务需求发现 · 交付文档</w:t>
      </w:r>
    </w:p>
    <w:p w14:paraId="7A8006A1">
      <w:pPr>
        <w:spacing w:after="120" w:line="408"/>
        <w:rPr>
          <w:color w:val="1a4f8b"/>
        </w:rPr>
      </w:pPr>
      <w:r>
        <w:rPr>
          <w:rFonts w:hint="eastAsia" w:ascii="SimHei" w:hAnsi="SimHei" w:eastAsia="SimHei" w:cs="SimHei"/>
          <w:b w:val="1"/>
          <w:color w:val="1a4f8b"/>
          <w:sz w:val="56"/>
        </w:rPr>
        <w:t>业务挖掘报告</w:t>
      </w:r>
    </w:p>
    <w:p w14:paraId="66CB20F7">
      <w:pPr>
        <w:spacing w:after="480" w:line="408"/>
        <w:rPr>
          <w:color w:val="666666"/>
        </w:rPr>
      </w:pPr>
      <w:r>
        <w:rPr>
          <w:rFonts w:hint="eastAsia" w:ascii="SimSun" w:hAnsi="SimSun" w:eastAsia="SimSun" w:cs="SimSun"/>
          <w:color w:val="666666"/>
          <w:sz w:val="30"/>
        </w:rPr>
        <w:t>场馆排期与需求变更 · 上海东浩会展经营有限公司（演练）</w:t>
      </w:r>
    </w:p>
    <w:p w14:paraId="2F493DFF">
      <w:pPr>
        <w:spacing w:line="408"/>
        <w:rPr>
          <w:color w:val="666666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66666"/>
          <w:sz w:val="20"/>
        </w:rPr>
        <w:t>来源：实验室系统（fde-simulation）生成成果整理 | 2026年10月 | v1.0</w:t>
      </w:r>
    </w:p>
    <w:p w14:paraId="0A2575AC">
      <w:pPr>
        <w:spacing w:before="240" w:after="120"/>
      </w:pPr>
      <w:r>
        <w:rPr>
          <w:rFonts w:hint="eastAsia"/>
          <w:b w:val="1"/>
        </w:rPr>
        <w:t>目录</w:t>
      </w:r>
    </w:p>
    <w:p w14:paraId="29EDE35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一、业务机会清单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2E571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机会结论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491BF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"section-1-5" </w:instrText>
      </w:r>
      <w:r>
        <w:fldChar w:fldCharType="separate" w:fldLock="0" w:dirty="0"/>
      </w:r>
      <w:r>
        <w:rPr>
          <w:rFonts w:hint="eastAsia"/>
        </w:rPr>
        <w:t>1.5 不做范围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CAC7A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二、指标基线与价值假设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13934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指标口径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6D9F7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价值假设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FEB82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三、项目章程与利益相关者地图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AEF71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四、候选需求与优先级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005AF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五、调查覆盖与证据缺口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EB70F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六、关卡评审记录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7CBC54EE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a4f8b" w:sz="24"/>
              <w:bottom w:val="none" w:sz="8"/>
              <w:right w:val="none" w:sz="8"/>
            </w:tcBorders>
            <w:shd w:val="clear" w:fill="f5f7fa"/>
            <w:vAlign w:val="center"/>
          </w:tcPr>
          <w:p w14:paraId="51F5B786">
            <w:pPr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0"/>
              </w:rPr>
              <w:t>报告说明：本报告基于实验室系统（fde-simulation 演练平台）生成的业务挖掘成果整理。企业名称与公开业务方向有公开来源；人物、指标和业务问题为演练虚构，不代表集团或成员企业实际情况。本报告中的需求均为待验证假设。</w:t>
            </w:r>
          </w:p>
        </w:tc>
      </w:tr>
    </w:tbl>
    <w:p w14:paraId="3C272690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1a4f8b"/>
          <w:sz w:val="36"/>
        </w:rPr>
        <w:t>一、业务机会清单</w:t>
      </w:r>
      <w:bookmarkEnd w:id="1"/>
    </w:p>
    <w:p w14:paraId="4C1FAE2E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bookmarkStart w:id="2" w:name="section-1-1"/>
      <w:r>
        <w:rPr>
          <w:rFonts w:hint="eastAsia" w:ascii="SimHei" w:hAnsi="SimHei" w:eastAsia="SimHei" w:cs="SimHei"/>
          <w:b w:val="1"/>
          <w:color w:val="000000"/>
          <w:sz w:val="28"/>
        </w:rPr>
        <w:t>1.1 机会结论</w:t>
      </w:r>
      <w:bookmarkEnd w:id="2"/>
    </w:p>
    <w:p w14:paraId="0F493743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问题不在"要不要上 AI 排期"，而在档期申请链路的交接点：版本、未结项与责任在交接时丢失，导致重复核对。机会在于在提交与交接节点增加"冲突提示 + 三项齐套检查 + 来源留痕"，把重复核对从逐项比对降为一次核对。</w:t>
      </w:r>
    </w:p>
    <w:p w14:paraId="1F3B1FB0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1.2 触发事件</w:t>
      </w:r>
    </w:p>
    <w:p w14:paraId="604ABD6D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一线：排期表与邮件需求对不上，临时变更靠人工逐项核对，还要记清发生节点与受影响对象（f10）；两活动撤场/进场在同一装卸口时间重叠时，必须翻原始版本才能判断责任（f11）。</w:t>
      </w:r>
    </w:p>
    <w:p w14:paraId="19E4FFF2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流程：交接必须记录接收人、版本与未结项，不能只发"已处理"（f20、f23）。</w:t>
      </w:r>
    </w:p>
    <w:p w14:paraId="32E43099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系统：服务台/台账/文件库三类工具、无统一关联编号（f30）；场馆区域、时间窗、进撤场时长、版本、占档状态口径需统一，且缺失值与未确认值分开（f31）。</w:t>
      </w:r>
    </w:p>
    <w:p w14:paraId="42CE892D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1.3 机会描述</w:t>
      </w:r>
    </w:p>
    <w:p w14:paraId="5057B2DB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在"意向询期 → 占档确认 → 合同审核 → 进撤场计划"链路的各交接点，引入只读的冲突提示能力：只提示排期冲突、不自动锁档，每条提示说明原因并携带来源，配合交接三项齐套检查，减少下游重复核对。</w:t>
      </w:r>
    </w:p>
    <w:p w14:paraId="3EE42BDD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1.4 维持现状的损失</w:t>
      </w:r>
    </w:p>
    <w:p w14:paraId="7A3FBC52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重复核对工时、冲突晚发现的改场/加急成本、责任判定争议（结构性判断；访谈中"45 单/月、35 分钟/单"为虚构样本，不作基线，见 REQ-6）。</w:t>
      </w:r>
    </w:p>
    <w:p w14:paraId="0A2504C5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bookmarkStart w:id="3" w:name="section-1-5"/>
      <w:r>
        <w:rPr>
          <w:rFonts w:hint="eastAsia" w:ascii="SimHei" w:hAnsi="SimHei" w:eastAsia="SimHei" w:cs="SimHei"/>
          <w:b w:val="1"/>
          <w:color w:val="000000"/>
          <w:sz w:val="28"/>
        </w:rPr>
        <w:t>1.5 不做范围</w:t>
      </w:r>
      <w:bookmarkEnd w:id="3"/>
    </w:p>
    <w:p w14:paraId="37B2540F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不锁档、不签约、不承诺容量、不自动对外承诺（f05、f52）；演练结果不作业务指令（f40）。</w:t>
      </w:r>
    </w:p>
    <w:p w14:paraId="47A46392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1.6 待验证项</w:t>
      </w:r>
    </w:p>
    <w:p w14:paraId="6057D572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各交接点耗时占比、改期与投诉频次。</w:t>
      </w:r>
    </w:p>
    <w:p w14:paraId="4D36A5C0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4" w:name="section-2"/>
      <w:r>
        <w:rPr>
          <w:rFonts w:hint="eastAsia" w:ascii="SimHei" w:hAnsi="SimHei" w:eastAsia="SimHei" w:cs="SimHei"/>
          <w:b w:val="1"/>
          <w:color w:val="1a4f8b"/>
          <w:sz w:val="36"/>
        </w:rPr>
        <w:t>二、指标基线与价值假设</w:t>
      </w:r>
      <w:bookmarkEnd w:id="4"/>
    </w:p>
    <w:p w14:paraId="5DB9ECB6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bookmarkStart w:id="5" w:name="section-2-1"/>
      <w:r>
        <w:rPr>
          <w:rFonts w:hint="eastAsia" w:ascii="SimHei" w:hAnsi="SimHei" w:eastAsia="SimHei" w:cs="SimHei"/>
          <w:b w:val="1"/>
          <w:color w:val="000000"/>
          <w:sz w:val="28"/>
        </w:rPr>
        <w:t>2.1 指标口径</w:t>
      </w:r>
      <w:bookmarkEnd w:id="5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9D4EF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指标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6CF8A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口径定义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4283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处理时长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641EF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意向询期 → 进撤场计划确认的自然耗时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DC367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返工次数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082D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同一申请因版本/信息不一致被退回或重排的次数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D8BA4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版本正确率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AEB6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复核时引用版本与最新版本一致的比例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935A1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采用率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8AD8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试点批次使用冲突提示的申请占比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2DF57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人工复核成本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8A72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单人时 × 复核次数</w:t>
            </w:r>
          </w:p>
        </w:tc>
      </w:tr>
    </w:tbl>
    <w:p w14:paraId="4B4FB7CE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2.2 基线状态</w:t>
      </w:r>
    </w:p>
    <w:p w14:paraId="696EC35D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当前无核实台账，基线为空；访谈中"45 单/月、35 分钟/单"为虚构样本，仅作练习，不得对外引用（REQ-6）。计划先测一周基线再与试点对比。</w:t>
      </w:r>
    </w:p>
    <w:p w14:paraId="796408D5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bookmarkStart w:id="6" w:name="section-2-3"/>
      <w:r>
        <w:rPr>
          <w:rFonts w:hint="eastAsia" w:ascii="SimHei" w:hAnsi="SimHei" w:eastAsia="SimHei" w:cs="SimHei"/>
          <w:b w:val="1"/>
          <w:color w:val="000000"/>
          <w:sz w:val="28"/>
        </w:rPr>
        <w:t>2.3 价值假设</w:t>
      </w:r>
      <w:bookmarkEnd w:id="6"/>
    </w:p>
    <w:p w14:paraId="14F3F774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H1：三项齐套检查（接收人/版本/未结项）可减少重复核对（f20、f23、f10）。</w:t>
      </w:r>
    </w:p>
    <w:p w14:paraId="4DA725F1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H2：30 样本回放能识别全部已标注冲突并说明原因（f02），把冲突发现前移。</w:t>
      </w:r>
    </w:p>
    <w:p w14:paraId="57356323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H3：来源与人工复核留痕（f40、f41）可降低审核返工。</w:t>
      </w:r>
    </w:p>
    <w:p w14:paraId="67009BAF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2.4 测量计划</w:t>
      </w:r>
    </w:p>
    <w:p w14:paraId="5B66D65A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试点批次固定 30 个样本，按申请记录上述 5 项指标；缺失与估计值单列。</w:t>
      </w:r>
    </w:p>
    <w:p w14:paraId="0AB7C4B6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2.5 止损与回退</w:t>
      </w:r>
    </w:p>
    <w:p w14:paraId="4900A517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召回不达标、出现越权锁档、无法追溯版本即停试；停止权在傅景（f04）。</w:t>
      </w:r>
    </w:p>
    <w:p w14:paraId="17C8998F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7" w:name="section-3"/>
      <w:r>
        <w:rPr>
          <w:rFonts w:hint="eastAsia" w:ascii="SimHei" w:hAnsi="SimHei" w:eastAsia="SimHei" w:cs="SimHei"/>
          <w:b w:val="1"/>
          <w:color w:val="1a4f8b"/>
          <w:sz w:val="36"/>
        </w:rPr>
        <w:t>三、项目章程与利益相关者地图</w:t>
      </w:r>
      <w:bookmarkEnd w:id="7"/>
    </w:p>
    <w:p w14:paraId="45A40A93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3.1 目标与范围</w:t>
      </w:r>
    </w:p>
    <w:p w14:paraId="2CCB8EFB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目标：减少重复核对，保留人工确认与可追溯来源（f00）。范围：单批次场馆档期申请；只提示冲突，不锁档、不签约、不承诺容量（f05）。</w:t>
      </w:r>
    </w:p>
    <w:p w14:paraId="3CAB5707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3.2 验收标准</w:t>
      </w:r>
    </w:p>
    <w:p w14:paraId="0765397F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30 个样本回放识别全部已标注冲突并说明原因（f02）；每条结果附来源与人工复核记录（f41）。</w:t>
      </w:r>
    </w:p>
    <w:p w14:paraId="7125FCE3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3.3 决策链</w:t>
      </w:r>
    </w:p>
    <w:p w14:paraId="1C674ECB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结果承担与范围决定 = 顾明岚（业务负责人）；停止试点权 = 傅景（审核与质量）；结果用途确认 = 叶书（客户协同）；预算审批人待核实。</w:t>
      </w:r>
    </w:p>
    <w:p w14:paraId="06C98FD9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3.4 RACI 分工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9F7A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职责域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47C7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责任人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F338F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流程与交接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F3091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唐映秋（项目流程协调员）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387C6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数据与只读接口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DE5A2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秦芮（数字化工程师）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EE6BC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一线执行与复核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C8B34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林亦舟（一线服务专员）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4890F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审核标准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8B19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傅景（审核与质量负责人）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C8913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客户口径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4A7CF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叶书（客户协同代表）</w:t>
            </w:r>
          </w:p>
        </w:tc>
      </w:tr>
    </w:tbl>
    <w:p w14:paraId="5E7507A7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3.5 风险与红线</w:t>
      </w:r>
    </w:p>
    <w:p w14:paraId="25499AEC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销售延长使用与运营保留恢复时间的口径冲突（f50、f52）须先书面统一；来源不清的申请不得进入正式流转（f40）；跨企业资料访问须授权（f41）；演练结果不得作为业务指令。</w:t>
      </w:r>
    </w:p>
    <w:p w14:paraId="17969A70">
      <w:pPr>
        <w:pStyle w:val="000006"/>
        <w:keepNext w:val="1"/>
        <w:keepLines w:val="1"/>
        <w:spacing w:before="288" w:beforeAutospacing="1" w:after="144" w:afterAutospacing="1" w:line="408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3.6 里程碑</w:t>
      </w:r>
    </w:p>
    <w:p w14:paraId="6CE3F108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口径与样本确认 → 只读原型 → 30 样本回放 → 单批次试点评审。待核实：审批人清单、接口读写权限、预算口径。</w:t>
      </w:r>
    </w:p>
    <w:p w14:paraId="3148E1B9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8" w:name="section-4"/>
      <w:r>
        <w:rPr>
          <w:rFonts w:hint="eastAsia" w:ascii="SimHei" w:hAnsi="SimHei" w:eastAsia="SimHei" w:cs="SimHei"/>
          <w:b w:val="1"/>
          <w:color w:val="1a4f8b"/>
          <w:sz w:val="36"/>
        </w:rPr>
        <w:t>四、候选需求与优先级</w:t>
      </w:r>
      <w:bookmarkEnd w:id="8"/>
    </w:p>
    <w:tbl>
      <w:tblPr>
        <w:tblW w:w="8306" w:type="dxa"/>
        <w:shd w:color="000000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50DE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A5FDA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需求假设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1845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优先级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80CAC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责任人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1F4A4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下一步验证</w:t>
            </w:r>
          </w:p>
        </w:tc>
      </w:tr>
      <w:tr>
        <w:trPr/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FA3D1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REQ-1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15121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交接点版本与未结项信息缺失是重复核对的主要来源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2801B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3798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唐映秋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5BE5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按 f01 链路逐交接点观察记录三项是否齐全</w:t>
            </w:r>
          </w:p>
        </w:tc>
      </w:tr>
      <w:tr>
        <w:trPr/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647FD5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REQ-2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C8A95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跨工具无统一关联编号导致跨系统比对只能人工完成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ED296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1185A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秦芮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BA28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脱敏只读导出，验证关键字段能否按申请串联</w:t>
            </w:r>
          </w:p>
        </w:tc>
      </w:tr>
      <w:tr>
        <w:trPr/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4439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REQ-3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D8B2C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冲突提示需保留来源与人工复核记录才可被审核接受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BCE441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P0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F7A4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傅景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A45EE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30 样本回放中为每条结果附来源与复核记录</w:t>
            </w:r>
          </w:p>
        </w:tc>
      </w:tr>
      <w:tr>
        <w:trPr/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151F0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REQ-4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24C6A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销售与运营的时间口径需先统一，否则冲突提示无法落地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C8B46C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521A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叶书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8BD4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形成冲突上报与交接责任清单草案</w:t>
            </w:r>
          </w:p>
        </w:tc>
      </w:tr>
      <w:tr>
        <w:trPr/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FF2B0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REQ-5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78780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试点治理需明确范围决定权、停止权与用途确认三方分工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4DA01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P1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6A909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顾明岚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0E16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试点启动前书面确认职责与停止条件</w:t>
            </w:r>
          </w:p>
        </w:tc>
      </w:tr>
      <w:tr>
        <w:trPr/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D9C6F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REQ-6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F7A83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耗时与损失口径未建立，改进效果暂不可量化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6067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P2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C50A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顾明岚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5D43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先确定损失口径，再记录基线</w:t>
            </w:r>
          </w:p>
        </w:tc>
      </w:tr>
    </w:tbl>
    <w:p w14:paraId="3D7A7894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9" w:name="section-5"/>
      <w:r>
        <w:rPr>
          <w:rFonts w:hint="eastAsia" w:ascii="SimHei" w:hAnsi="SimHei" w:eastAsia="SimHei" w:cs="SimHei"/>
          <w:b w:val="1"/>
          <w:color w:val="1a4f8b"/>
          <w:sz w:val="36"/>
        </w:rPr>
        <w:t>五、调查覆盖与证据缺口</w:t>
      </w:r>
      <w:bookmarkEnd w:id="9"/>
    </w:p>
    <w:p w14:paraId="1A6D4B80">
      <w:pPr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调查覆盖 15/36 条事实（42%）。主要证据缺口包括：试点预算与成本核算口径（顾明岚）；单量与耗时统计样本、现场设备网络、复核方式（林亦舟）；材料模板、审批权限清单、业务规则维护（唐映秋）；接口读写能力、数据质量判断、更新频率与故障处置（秦芮）；留存期限、兜底转人工、审计凭证（傅景）；投诉处理与反馈闭环（叶书）。</w:t>
      </w:r>
    </w:p>
    <w:p w14:paraId="2A833315">
      <w:pPr>
        <w:pStyle w:val="000005"/>
        <w:keepNext w:val="1"/>
        <w:keepLines w:val="1"/>
        <w:spacing w:before="432" w:beforeAutospacing="1" w:after="192" w:afterAutospacing="1" w:line="408"/>
        <w:outlineLvl w:val="0"/>
        <w:rPr>
          <w:color w:val="1a4f8b"/>
          <w:kern w:val="44"/>
          <w:sz w:val="44"/>
          <w:szCs w:val="44"/>
        </w:rPr>
      </w:pPr>
      <w:bookmarkStart w:id="10" w:name="section-6"/>
      <w:r>
        <w:rPr>
          <w:rFonts w:hint="eastAsia" w:ascii="SimHei" w:hAnsi="SimHei" w:eastAsia="SimHei" w:cs="SimHei"/>
          <w:b w:val="1"/>
          <w:color w:val="1a4f8b"/>
          <w:sz w:val="36"/>
        </w:rPr>
        <w:t>六、关卡评审记录</w:t>
      </w:r>
      <w:bookmarkEnd w:id="10"/>
    </w:p>
    <w:p w14:paraId="592F5750">
      <w:pPr>
        <w:pBdr>
          <w:left w:val="single" w:color="1a4f8b" w:sz="24"/>
        </w:pBdr>
        <w:shd w:val="clear" w:fill="f5f7fa"/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关卡：业务负责人确认问题、指标口径与调查范围。评审结论：通过（2026-10-23）。</w:t>
      </w:r>
    </w:p>
    <w:p w14:paraId="0D6C7B7C">
      <w:pPr>
        <w:pBdr>
          <w:left w:val="single" w:color="1a4f8b" w:sz="24"/>
        </w:pBdr>
        <w:shd w:val="clear" w:fill="f5f7fa"/>
        <w:spacing w:after="192" w:line="408"/>
        <w:ind w:firstLine="48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保留条件：基线为空，耗时/单量/损失金额/审批人清单/接口权限待验证；异常接手按类型细分；预算审批人缺失前不进入采购与对外承诺。</w:t>
      </w:r>
    </w:p>
    <w:p w14:paraId="286BEF2D">
      <w:pPr>
        <w:pBdr>
          <w:left w:val="single" w:color="1a4f8b" w:sz="24"/>
        </w:pBdr>
        <w:shd w:val="clear" w:fill="f5f7fa"/>
        <w:spacing w:after="192" w:line="408"/>
        <w:ind w:firstLine="480"/>
        <w:rPr>
          <w:color w:val="000000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000000"/>
          <w:sz w:val="24"/>
        </w:rPr>
        <w:t>实验室系统评分：86/100。待改进：引用编号来源需按允许证据列表核对；基线为空，价值假设缺少可证伪阈值；待核实项缺少责任人与截止时间。</w:t>
      </w:r>
    </w:p>
    <w:p w14:paraId="4A23F7BE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C11C8C7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Default Paragraph Font" w:uiPriority="1" w:semiHidden="1" w:unhideWhenUsed="1"/>
    <w:lsdException w:name="Message Header" w:semiHidden="1" w:unhideWhenUsed="1"/>
    <w:lsdException w:name="footnote reference" w:semiHidden="1" w:unhideWhenUsed="1"/>
    <w:lsdException w:name="footer" w:semiHidden="1" w:unhideWhenUsed="1"/>
    <w:lsdException w:name="List Continue 2" w:semiHidden="1" w:unhideWhenUsed="1"/>
    <w:lsdException w:name="toc 7" w:uiPriority="39" w:semiHidden="1" w:unhideWhenUsed="1"/>
    <w:lsdException w:name="index heading" w:semiHidden="1" w:unhideWhenUsed="1"/>
    <w:lsdException w:name="Subtitle" w:uiPriority="11" w:qFormat="1"/>
    <w:lsdException w:name="List Continue 3" w:semiHidden="1" w:unhideWhenUsed="1"/>
    <w:lsdException w:name="FollowedHyperlink" w:semiHidden="1" w:unhideWhenUsed="1"/>
    <w:lsdException w:name="macro" w:semiHidden="1" w:unhideWhenUsed="1"/>
    <w:lsdException w:name="annotation text" w:semiHidden="1" w:unhideWhenUsed="1"/>
    <w:lsdException w:name="Title" w:uiPriority="10" w:qFormat="1"/>
    <w:lsdException w:name="index 8" w:semiHidden="1" w:unhideWhenUsed="1"/>
    <w:lsdException w:name="Note Heading" w:semiHidden="1" w:unhideWhenUsed="1"/>
    <w:lsdException w:name="heading 7" w:uiPriority="9" w:semiHidden="1" w:unhideWhenUsed="1" w:qFormat="1"/>
    <w:lsdException w:name="List Number 4" w:semiHidden="1" w:unhideWhenUsed="1"/>
    <w:lsdException w:name="caption" w:uiPriority="35" w:semiHidden="1" w:unhideWhenUsed="1" w:qFormat="1"/>
    <w:lsdException w:name="List" w:semiHidden="1" w:unhideWhenUsed="1"/>
    <w:lsdException w:name="heading 6" w:uiPriority="9" w:semiHidden="1" w:unhideWhenUsed="1" w:qFormat="1"/>
    <w:lsdException w:name="toc 4" w:uiPriority="39" w:semiHidden="1" w:unhideWhenUsed="1"/>
    <w:lsdException w:name="toc 9" w:uiPriority="39" w:semiHidden="1" w:unhideWhenUsed="1"/>
    <w:lsdException w:name="toc 5" w:uiPriority="39" w:semiHidden="1" w:unhideWhenUsed="1"/>
    <w:lsdException w:name="toa heading" w:semiHidden="1" w:unhideWhenUsed="1"/>
    <w:lsdException w:name="endnote reference" w:semiHidden="1" w:unhideWhenUsed="1"/>
    <w:lsdException w:name="List Continue" w:semiHidden="1" w:unhideWhenUsed="1"/>
    <w:lsdException w:name="heading 9" w:uiPriority="9" w:semiHidden="1" w:unhideWhenUsed="1" w:qFormat="1"/>
    <w:lsdException w:name="envelope return" w:semiHidden="1" w:unhideWhenUsed="1"/>
    <w:lsdException w:name="index 1" w:semiHidden="1" w:unhideWhenUsed="1"/>
    <w:lsdException w:name="Body Text 3" w:semiHidden="1" w:unhideWhenUsed="1"/>
    <w:lsdException w:name="index 2" w:semiHidden="1" w:unhideWhenUsed="1"/>
    <w:lsdException w:name="index 9" w:semiHidden="1" w:unhideWhenUsed="1"/>
    <w:lsdException w:name="annotation reference" w:semiHidden="1" w:unhideWhenUsed="1"/>
    <w:lsdException w:name="heading 1" w:uiPriority="9" w:qFormat="1"/>
    <w:lsdException w:name="heading 5" w:uiPriority="9" w:semiHidden="1" w:unhideWhenUsed="1" w:qFormat="1"/>
    <w:lsdException w:name="header" w:semiHidden="1" w:unhideWhenUsed="1"/>
    <w:lsdException w:name="table of authorities" w:semiHidden="1" w:unhideWhenUsed="1"/>
    <w:lsdException w:name="Body Text 2" w:semiHidden="1" w:unhideWhenUsed="1"/>
    <w:lsdException w:name="toc 8" w:uiPriority="39" w:semiHidden="1" w:unhideWhenUsed="1"/>
    <w:lsdException w:name="toc 3" w:uiPriority="39" w:semiHidden="1" w:unhideWhenUsed="1"/>
    <w:lsdException w:name="page number" w:semiHidden="1" w:unhideWhenUsed="1"/>
    <w:lsdException w:name="envelope address" w:semiHidden="1" w:unhideWhenUsed="1"/>
    <w:lsdException w:name="List Bullet 2" w:semiHidden="1" w:unhideWhenUsed="1"/>
    <w:lsdException w:name="List Bullet 3" w:semiHidden="1" w:unhideWhenUsed="1"/>
    <w:lsdException w:name="toc 2" w:uiPriority="39" w:semiHidden="1" w:unhideWhenUsed="1"/>
    <w:lsdException w:name="heading 4" w:uiPriority="9" w:semiHidden="1" w:unhideWhenUsed="1" w:qFormat="1"/>
    <w:lsdException w:name="index 5" w:semiHidden="1" w:unhideWhenUsed="1"/>
    <w:lsdException w:name="Normal" w:uiPriority="0" w:qFormat="1"/>
    <w:lsdException w:name="Strong" w:uiPriority="22" w:qFormat="1"/>
    <w:lsdException w:name="index 7" w:semiHidden="1" w:unhideWhenUsed="1"/>
    <w:lsdException w:name="footnote text" w:semiHidden="1" w:unhideWhenUsed="1"/>
    <w:lsdException w:name="index 4" w:semiHidden="1" w:unhideWhenUsed="1"/>
    <w:lsdException w:name="index 3" w:semiHidden="1" w:unhideWhenUsed="1"/>
    <w:lsdException w:name="table of figures" w:semiHidden="1" w:unhideWhenUsed="1"/>
    <w:lsdException w:name="endnote text" w:semiHidden="1" w:unhideWhenUsed="1"/>
    <w:lsdException w:name="Date" w:semiHidden="1" w:unhideWhenUsed="1"/>
    <w:lsdException w:name="Body Text Indent 2" w:semiHidden="1" w:unhideWhenUsed="1"/>
    <w:lsdException w:name="Salutation" w:semiHidden="1" w:unhideWhenUsed="1"/>
    <w:lsdException w:name="Body Text Indent" w:semiHidden="1" w:unhideWhenUsed="1"/>
    <w:lsdException w:name="line number" w:semiHidden="1" w:unhideWhenUsed="1"/>
    <w:lsdException w:name="Normal Indent" w:semiHidden="1" w:unhideWhenUsed="1"/>
    <w:lsdException w:name="List Bullet 4" w:semiHidden="1" w:unhideWhenUsed="1"/>
    <w:lsdException w:name="Body Text" w:semiHidden="1" w:unhideWhenUsed="1"/>
    <w:lsdException w:name="Closing" w:semiHidden="1" w:unhideWhenUsed="1"/>
    <w:lsdException w:name="heading 8" w:uiPriority="9" w:semiHidden="1" w:unhideWhenUsed="1" w:qFormat="1"/>
    <w:lsdException w:name="Signature" w:semiHidden="1" w:unhideWhenUsed="1"/>
    <w:lsdException w:name="heading 2" w:uiPriority="9" w:semiHidden="1" w:unhideWhenUsed="1" w:qFormat="1"/>
    <w:lsdException w:name="List Number 5" w:semiHidden="1" w:unhideWhenUsed="1"/>
    <w:lsdException w:name="index 6" w:semiHidden="1" w:unhideWhenUsed="1"/>
    <w:lsdException w:name="List Number" w:semiHidden="1" w:unhideWhenUsed="1"/>
    <w:lsdException w:name="Hyperlink" w:semiHidden="1" w:unhideWhenUsed="1"/>
    <w:lsdException w:name="List 4" w:semiHidden="1" w:unhideWhenUsed="1"/>
    <w:lsdException w:name="Body Text First Indent 2" w:semiHidden="1" w:unhideWhenUsed="1"/>
    <w:lsdException w:name="List 3" w:semiHidden="1" w:unhideWhenUsed="1"/>
    <w:lsdException w:name="toc 6" w:uiPriority="39" w:semiHidden="1" w:unhideWhenUsed="1"/>
    <w:lsdException w:name="List 5" w:semiHidden="1" w:unhideWhenUsed="1"/>
    <w:lsdException w:name="List 2" w:semiHidden="1" w:unhideWhenUsed="1"/>
    <w:lsdException w:name="toc 1" w:uiPriority="39" w:semiHidden="1" w:unhideWhenUsed="1"/>
    <w:lsdException w:name="Block Text" w:semiHidden="1" w:unhideWhenUsed="1"/>
    <w:lsdException w:name="Body Text Indent 3" w:semiHidden="1" w:unhideWhenUsed="1"/>
    <w:lsdException w:name="heading 3" w:uiPriority="9" w:semiHidden="1" w:unhideWhenUsed="1" w:qFormat="1"/>
    <w:lsdException w:name="List Bullet 5" w:semiHidden="1" w:unhideWhenUsed="1"/>
    <w:lsdException w:name="List Number 3" w:semiHidden="1" w:unhideWhenUsed="1"/>
    <w:lsdException w:name="List Continue 4" w:semiHidden="1" w:unhideWhenUsed="1"/>
    <w:lsdException w:name="List Continue 5" w:semiHidden="1" w:unhideWhenUsed="1"/>
    <w:lsdException w:name="Body Text First Indent" w:semiHidden="1" w:unhideWhenUsed="1"/>
    <w:lsdException w:name="List Number 2" w:semiHidden="1" w:unhideWhenUsed="1"/>
    <w:lsdException w:name="List Bullet" w:semiHidden="1" w:unhideWhenUsed="1"/>
  </w:latentStyles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2026-10-23T11:17:08Z</dcterms:created>
  <dcterms:modified xsi:type="dcterms:W3CDTF">2026-10-23T11:17:08Z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"01a166b4638275f5919aefd36814348f", "ReservedCode1": "", "ContentPropagator": "00119111010856365494821B355", "PropagateID": "01a166b4638275f5919aefd36814348f", "ReservedCode2": ""}}</vt:lpwstr>
  </property>
</Properties>
</file>