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8D926B4">
      <w:pPr>
        <w:spacing w:after="192" w:line="408"/>
        <w:rPr>
          <w:color w:val="1a4f8b"/>
        </w:rPr>
      </w:pPr>
      <w:r>
        <w:rPr>
          <w:rFonts w:hint="eastAsia" w:ascii="SimHei" w:hAnsi="SimHei" w:eastAsia="SimHei" w:cs="SimHei"/>
          <w:b w:val="1"/>
          <w:color w:val="1a4f8b"/>
          <w:spacing w:val="19"/>
          <w:sz w:val="28"/>
        </w:rPr>
        <w:t>数智化转型 · 行业分析</w:t>
      </w:r>
    </w:p>
    <w:p w14:paraId="6C5925BD">
      <w:pPr>
        <w:spacing w:after="120" w:line="408"/>
        <w:rPr>
          <w:color w:val="1a4f8b"/>
        </w:rPr>
      </w:pPr>
      <w:r>
        <w:rPr>
          <w:rFonts w:hint="eastAsia" w:ascii="SimHei" w:hAnsi="SimHei" w:eastAsia="SimHei" w:cs="SimHei"/>
          <w:b w:val="1"/>
          <w:color w:val="1a4f8b"/>
          <w:sz w:val="56"/>
        </w:rPr>
        <w:t>会展场馆运营行业数智化转型分析</w:t>
      </w:r>
    </w:p>
    <w:p w14:paraId="58B24B7B">
      <w:pPr>
        <w:spacing w:after="480" w:line="408"/>
        <w:rPr>
          <w:color w:val="666666"/>
        </w:rPr>
      </w:pPr>
      <w:r>
        <w:rPr>
          <w:rFonts w:hint="eastAsia" w:ascii="SimSun" w:hAnsi="SimSun" w:eastAsia="SimSun" w:cs="SimSun"/>
          <w:color w:val="666666"/>
          <w:sz w:val="30"/>
        </w:rPr>
        <w:t>场馆排期与需求变更项目 · Industry 视角交付物</w:t>
      </w:r>
    </w:p>
    <w:p w14:paraId="2F493DFF">
      <w:pPr>
        <w:spacing w:line="408"/>
        <w:rPr>
          <w:color w:val="666666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66666"/>
          <w:sz w:val="20"/>
        </w:rPr>
        <w:t>来源：公开行业资料整理 + 项目需求发现报告 | 2026年10月 | v1.0</w:t>
      </w:r>
    </w:p>
    <w:p w14:paraId="0A2575AC">
      <w:pPr>
        <w:spacing w:before="240" w:after="120"/>
      </w:pPr>
      <w:r>
        <w:rPr>
          <w:rFonts w:hint="eastAsia"/>
          <w:b w:val="1"/>
        </w:rPr>
        <w:t>目录</w:t>
      </w:r>
    </w:p>
    <w:p w14:paraId="6D593A6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一、行业背景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E78E7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二、行业现状与痛点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FE301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三、行业数智化转型趋势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CAC7A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智慧场馆成为硬载体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6BDB5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智能排期与冲突预警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3D4CD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四、可比实践与本项目适用性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FEB82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五、结论与建议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42B6D4A1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f8b" w:sz="24"/>
              <w:bottom w:val="none" w:sz="8"/>
              <w:right w:val="none" w:sz="8"/>
            </w:tcBorders>
            <w:shd w:val="clear" w:fill="f5f7fa"/>
            <w:vAlign w:val="center"/>
          </w:tcPr>
          <w:p w14:paraId="3E2CDB49">
            <w:pPr>
              <w:rPr>
                <w:color w:val="666666"/>
              </w:rPr>
            </w:pPr>
            <w:r>
              <w:rPr>
                <w:rFonts w:hint="eastAsia" w:ascii="SimSun" w:hAnsi="SimSun" w:eastAsia="SimSun" w:cs="SimSun"/>
                <w:color w:val="666666"/>
                <w:sz w:val="20"/>
              </w:rPr>
              <w:t>报告说明：本报告为"场馆排期与需求变更"项目的行业分析（Industry 视角）交付物，用于回答"行业内的可比技术实践是什么、本项目技术路线是否可行"。行业描述基于公开资料整理；本项目业务事实以业务需求发现报告为准。</w:t>
            </w:r>
          </w:p>
        </w:tc>
      </w:tr>
    </w:tbl>
    <w:p w14:paraId="6C03CBDA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1a4f8b"/>
          <w:sz w:val="36"/>
        </w:rPr>
        <w:t>一、行业背景</w:t>
      </w:r>
      <w:bookmarkEnd w:id="1"/>
    </w:p>
    <w:p w14:paraId="4CA56AD0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会展业是链接生产与消费、贸易与投资的重要平台型产业。近年来，行业竞争从"场地规模"转向"运营效率与服务质量"，场馆经营方普遍面临三重压力：展会档期日趋饱和、客户对响应速度与口径一致性的要求提高、人力成本上升使人工核对模式难以为继。数智化转型已从"可选项"变为场馆运营主体的"必答题"。</w:t>
      </w:r>
    </w:p>
    <w:p w14:paraId="7EC99940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1a4f8b"/>
          <w:sz w:val="36"/>
        </w:rPr>
        <w:t>二、行业现状与痛点</w:t>
      </w:r>
      <w:bookmarkEnd w:id="2"/>
    </w:p>
    <w:p w14:paraId="60247492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对照本项目客户（展馆运营企业）的访谈发现，行业普遍存在以下痛点：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D9278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痛点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00478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行业表现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6E3F1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本项目对应证据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27247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排期依赖人工，冲突晚发现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48EAC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档期管理靠表格与邮件并行，临时变更靠人工逐项核对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A44BE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f10：排期表与邮件需求不同步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32048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系统割裂、数据孤岛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16096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服务台、业务台账、文件库多工具并行，缺乏统一编号串联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9964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f30：三类工具、无统一关联编号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0D7D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责任难追溯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32A50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出现装卸口时间重叠等异常时，需翻原始版本判定责任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568A8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f11：撤场/进场重叠异常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006AE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口径不统一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5A34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销售希望延长客户使用时间，运营需保留恢复检查时间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CCA6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f50：跨团队口径冲突</w:t>
            </w:r>
          </w:p>
        </w:tc>
      </w:tr>
    </w:tbl>
    <w:p w14:paraId="69936517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3" w:name="section-3"/>
      <w:r>
        <w:rPr>
          <w:rFonts w:hint="eastAsia" w:ascii="SimHei" w:hAnsi="SimHei" w:eastAsia="SimHei" w:cs="SimHei"/>
          <w:b w:val="1"/>
          <w:color w:val="1a4f8b"/>
          <w:sz w:val="36"/>
        </w:rPr>
        <w:t>三、行业数智化转型趋势</w:t>
      </w:r>
      <w:bookmarkEnd w:id="3"/>
    </w:p>
    <w:p w14:paraId="4C01E70F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bookmarkStart w:id="4" w:name="section-3-1"/>
      <w:r>
        <w:rPr>
          <w:rFonts w:hint="eastAsia" w:ascii="SimHei" w:hAnsi="SimHei" w:eastAsia="SimHei" w:cs="SimHei"/>
          <w:b w:val="1"/>
          <w:color w:val="000000"/>
          <w:sz w:val="28"/>
        </w:rPr>
        <w:t>3.1 智慧场馆成为"硬载体"</w:t>
      </w:r>
      <w:bookmarkEnd w:id="4"/>
    </w:p>
    <w:p w14:paraId="7CE42E56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行业公开资料显示，智慧场馆建设以全链路数字化管理系统为底座：对能耗、设备、空间进行实时监测与智能调控，降低运营成本；在此基础上，智能排期系统科学规划展会档期、避免档期冲突、最大化利用场馆空间，跨场馆资源调配则推动区域会展资源统筹。</w:t>
      </w:r>
    </w:p>
    <w:p w14:paraId="5F65086F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bookmarkStart w:id="5" w:name="section-3-2"/>
      <w:r>
        <w:rPr>
          <w:rFonts w:hint="eastAsia" w:ascii="SimHei" w:hAnsi="SimHei" w:eastAsia="SimHei" w:cs="SimHei"/>
          <w:b w:val="1"/>
          <w:color w:val="000000"/>
          <w:sz w:val="28"/>
        </w:rPr>
        <w:t>3.2 智能排期与冲突预警成为标配能力</w:t>
      </w:r>
      <w:bookmarkEnd w:id="5"/>
    </w:p>
    <w:p w14:paraId="35AF0F71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场馆数字化运营平台（如 EXSEEN 慧展软件等厂商产品）普遍提供排期管理能力：多周期排期日历、预占场地状态可视化、智能冲突预警机制，在人工确认前提前提示潜在排期冲突。这类"冲突预警 + 人工确认"的组合，与本项目"只提示冲突、不自动锁档"的边界设计一致，说明该技术路线在行业内已有成熟先例。</w:t>
      </w:r>
    </w:p>
    <w:p w14:paraId="3449F97D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3.3 AI 匹配与数据驱动运营</w:t>
      </w:r>
    </w:p>
    <w:p w14:paraId="16AB3711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数智化平台进一步向 AI 智能匹配、参展商画像、供需对接、数据洞察延伸，推动会展从"物理场地出租"升级为"资源链接服务"。对本项目而言，当前建设的统一数据口径与冲突提示能力，是未来向智能推荐、动态定价演进的数据基础。</w:t>
      </w:r>
    </w:p>
    <w:p w14:paraId="3F5D7606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6" w:name="section-4"/>
      <w:r>
        <w:rPr>
          <w:rFonts w:hint="eastAsia" w:ascii="SimHei" w:hAnsi="SimHei" w:eastAsia="SimHei" w:cs="SimHei"/>
          <w:b w:val="1"/>
          <w:color w:val="1a4f8b"/>
          <w:sz w:val="36"/>
        </w:rPr>
        <w:t>四、可比实践与本项目适用性</w:t>
      </w:r>
      <w:bookmarkEnd w:id="6"/>
    </w:p>
    <w:p w14:paraId="0B008D99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4.1 可比技术实践</w:t>
      </w:r>
    </w:p>
    <w:p w14:paraId="3C77A052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智能排期与冲突预警：行业场馆平台普遍实现"预占状态可视化 + 冲突自动预警"，将排期工作从"反复核对"变为"一键管控"；有厂商宣称排期效率可提升 80% 以上（厂商口径，未经核实，仅作方向参考）。</w:t>
      </w:r>
    </w:p>
    <w:p w14:paraId="2B640A88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统一客户与合同管理：客户录入、合同、工作日志全流程跟踪，降低合作风险，对应本项目"交接留痕 + 来源可追溯"的设计。</w:t>
      </w:r>
    </w:p>
    <w:p w14:paraId="6632C4E5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数据指标看板：利用率、档期密度、改期率等指标看板化，对应本项目"先建立测量口径，再谈量化收益"的基线策略（REQ-6）。</w:t>
      </w:r>
    </w:p>
    <w:p w14:paraId="6F5BBE0B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4.2 本项目适用性判断</w:t>
      </w:r>
    </w:p>
    <w:p w14:paraId="68DA4A00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技术可行：冲突提示（时间窗/区域/装卸口重叠检测）属于确定性规则计算，不依赖大模型推理，行业已有大量落地案例；本项目实验室系统已用 30 样本回放完成初步验证（f02 口径）。</w:t>
      </w:r>
    </w:p>
    <w:p w14:paraId="00325CB0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数据条件待核：行业实践普遍以"统一档期数据模型"为前提；本项目客户当前无统一关联编号（f30），需先完成脱敏只读导出与字段对齐（f31），这是关键前置条件，也是与行业标杆案例的主要差距。</w:t>
      </w:r>
    </w:p>
    <w:p w14:paraId="2E6C17F3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组织与口径先行：行业经验表明，工具上线前若销售与运营口径不统一，冲突判定标准会摇摆（f50）；本项目已将"口径书面统一"列为试点前置任务（REQ-4），符合行业最佳实践。</w:t>
      </w:r>
    </w:p>
    <w:p w14:paraId="182D177F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7" w:name="section-5"/>
      <w:r>
        <w:rPr>
          <w:rFonts w:hint="eastAsia" w:ascii="SimHei" w:hAnsi="SimHei" w:eastAsia="SimHei" w:cs="SimHei"/>
          <w:b w:val="1"/>
          <w:color w:val="1a4f8b"/>
          <w:sz w:val="36"/>
        </w:rPr>
        <w:t>五、结论与建议</w:t>
      </w:r>
      <w:bookmarkEnd w:id="7"/>
    </w:p>
    <w:p w14:paraId="35B9CCE3">
      <w:pPr>
        <w:pBdr>
          <w:left w:val="single" w:color="1a4f8b" w:sz="24"/>
        </w:pBdr>
        <w:shd w:val="clear" w:fill="f5f7fa"/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一、行业趋势明确：智能排期与冲突预警是场馆数智化的标配切入点，本项目方向与行业一致。</w:t>
      </w:r>
    </w:p>
    <w:p w14:paraId="04AFF6C1">
      <w:pPr>
        <w:pBdr>
          <w:left w:val="single" w:color="1a4f8b" w:sz="24"/>
        </w:pBdr>
        <w:shd w:val="clear" w:fill="f5f7fa"/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二、本项目采取"只提示、不锁档、人工确认、来源留痕"的窄边界试点，符合审核合规要求（f40/f41），也降低一线上手阻力。</w:t>
      </w:r>
    </w:p>
    <w:p w14:paraId="7A5CE233">
      <w:pPr>
        <w:pBdr>
          <w:left w:val="single" w:color="1a4f8b" w:sz="24"/>
        </w:pBdr>
        <w:shd w:val="clear" w:fill="f5f7fa"/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三、建议优先补齐数据基础：统一关联编号 + 关键字段口径对齐（REQ-2），是缩小与行业标杆差距的最短路径。</w:t>
      </w:r>
    </w:p>
    <w:p w14:paraId="716CE2BF">
      <w:pPr>
        <w:pBdr>
          <w:left w:val="single" w:color="1a4f8b" w:sz="24"/>
        </w:pBdr>
        <w:shd w:val="clear" w:fill="f5f7fa"/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四、损失口径与基线测量（REQ-6）参照行业指标看板实践，先建立口径、再承诺收益。</w:t>
      </w:r>
    </w:p>
    <w:p w14:paraId="4DE42222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4f8b"/>
          <w:sz w:val="36"/>
        </w:rPr>
        <w:t>附：资料来源</w:t>
      </w:r>
    </w:p>
    <w:p w14:paraId="511197E5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智会智展：《2025 会展高光背后，数智化才是真正的"链"动密码》（微信公众号，2025）。</w:t>
      </w:r>
    </w:p>
    <w:p w14:paraId="4C11F26D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EXSEEN 慧展软件：场馆数字化运营管理平台产品介绍（排期管理与冲突预警功能）。</w:t>
      </w:r>
    </w:p>
    <w:p w14:paraId="6EB2B4AD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快会务：数字会务系统与场馆利用率行业文章（厂商口径，数据未经核实）。</w:t>
      </w:r>
    </w:p>
    <w:p w14:paraId="0AEE88D0">
      <w:pPr>
        <w:spacing w:after="192" w:line="408"/>
        <w:ind w:firstLine="480"/>
        <w:rPr>
          <w:color w:val="00000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000000"/>
          <w:sz w:val="24"/>
        </w:rPr>
        <w:t>本项目《业务需求发现报告》（实验室系统生成，2026-10-23）。</w:t>
      </w:r>
    </w:p>
    <w:p w14:paraId="2D2756DE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F486FF6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Salutation" w:semiHidden="1" w:unhideWhenUsed="1"/>
    <w:lsdException w:name="List Number" w:semiHidden="1" w:unhideWhenUsed="1"/>
    <w:lsdException w:name="List Number 5" w:semiHidden="1" w:unhideWhenUsed="1"/>
    <w:lsdException w:name="Body Text Indent 3" w:semiHidden="1" w:unhideWhenUsed="1"/>
    <w:lsdException w:name="table of authorities" w:semiHidden="1" w:unhideWhenUsed="1"/>
    <w:lsdException w:name="index 9" w:semiHidden="1" w:unhideWhenUsed="1"/>
    <w:lsdException w:name="annotation reference" w:semiHidden="1" w:unhideWhenUsed="1"/>
    <w:lsdException w:name="List Bullet 5" w:semiHidden="1" w:unhideWhenUsed="1"/>
    <w:lsdException w:name="List Number 2" w:semiHidden="1" w:unhideWhenUsed="1"/>
    <w:lsdException w:name="Default Paragraph Font" w:uiPriority="1" w:semiHidden="1" w:unhideWhenUsed="1"/>
    <w:lsdException w:name="index 8" w:semiHidden="1" w:unhideWhenUsed="1"/>
    <w:lsdException w:name="index 2" w:semiHidden="1" w:unhideWhenUsed="1"/>
    <w:lsdException w:name="envelope address" w:semiHidden="1" w:unhideWhenUsed="1"/>
    <w:lsdException w:name="heading 9" w:uiPriority="9" w:semiHidden="1" w:unhideWhenUsed="1" w:qFormat="1"/>
    <w:lsdException w:name="toa heading" w:semiHidden="1" w:unhideWhenUsed="1"/>
    <w:lsdException w:name="List Continue 3" w:semiHidden="1" w:unhideWhenUsed="1"/>
    <w:lsdException w:name="List Bullet 4" w:semiHidden="1" w:unhideWhenUsed="1"/>
    <w:lsdException w:name="Note Heading" w:semiHidden="1" w:unhideWhenUsed="1"/>
    <w:lsdException w:name="annotation text" w:semiHidden="1" w:unhideWhenUsed="1"/>
    <w:lsdException w:name="macro" w:semiHidden="1" w:unhideWhenUsed="1"/>
    <w:lsdException w:name="Block Text" w:semiHidden="1" w:unhideWhenUsed="1"/>
    <w:lsdException w:name="index 5" w:semiHidden="1" w:unhideWhenUsed="1"/>
    <w:lsdException w:name="heading 4" w:uiPriority="9" w:semiHidden="1" w:unhideWhenUsed="1" w:qFormat="1"/>
    <w:lsdException w:name="index 1" w:semiHidden="1" w:unhideWhenUsed="1"/>
    <w:lsdException w:name="toc 5" w:uiPriority="39" w:semiHidden="1" w:unhideWhenUsed="1"/>
    <w:lsdException w:name="Title" w:uiPriority="10" w:qFormat="1"/>
    <w:lsdException w:name="header" w:semiHidden="1" w:unhideWhenUsed="1"/>
    <w:lsdException w:name="Body Text Indent" w:semiHidden="1" w:unhideWhenUsed="1"/>
    <w:lsdException w:name="footer" w:semiHidden="1" w:unhideWhenUsed="1"/>
    <w:lsdException w:name="toc 4" w:uiPriority="39" w:semiHidden="1" w:unhideWhenUsed="1"/>
    <w:lsdException w:name="Body Text Indent 2" w:semiHidden="1" w:unhideWhenUsed="1"/>
    <w:lsdException w:name="index heading" w:semiHidden="1" w:unhideWhenUsed="1"/>
    <w:lsdException w:name="Body Text 2" w:semiHidden="1" w:unhideWhenUsed="1"/>
    <w:lsdException w:name="toc 3" w:uiPriority="39" w:semiHidden="1" w:unhideWhenUsed="1"/>
    <w:lsdException w:name="Body Text" w:semiHidden="1" w:unhideWhenUsed="1"/>
    <w:lsdException w:name="toc 9" w:uiPriority="39" w:semiHidden="1" w:unhideWhenUsed="1"/>
    <w:lsdException w:name="endnote reference" w:semiHidden="1" w:unhideWhenUsed="1"/>
    <w:lsdException w:name="envelope return" w:semiHidden="1" w:unhideWhenUsed="1"/>
    <w:lsdException w:name="List" w:semiHidden="1" w:unhideWhenUsed="1"/>
    <w:lsdException w:name="Date" w:semiHidden="1" w:unhideWhenUsed="1"/>
    <w:lsdException w:name="List Number 3" w:semiHidden="1" w:unhideWhenUsed="1"/>
    <w:lsdException w:name="Body Text 3" w:semiHidden="1" w:unhideWhenUsed="1"/>
    <w:lsdException w:name="Body Text First Indent 2" w:semiHidden="1" w:unhideWhenUsed="1"/>
    <w:lsdException w:name="table of figures" w:semiHidden="1" w:unhideWhenUsed="1"/>
    <w:lsdException w:name="Closing" w:semiHidden="1" w:unhideWhenUsed="1"/>
    <w:lsdException w:name="heading 8" w:uiPriority="9" w:semiHidden="1" w:unhideWhenUsed="1" w:qFormat="1"/>
    <w:lsdException w:name="toc 8" w:uiPriority="39" w:semiHidden="1" w:unhideWhenUsed="1"/>
    <w:lsdException w:name="List Continue" w:semiHidden="1" w:unhideWhenUsed="1"/>
    <w:lsdException w:name="Signature" w:semiHidden="1" w:unhideWhenUsed="1"/>
    <w:lsdException w:name="index 4" w:semiHidden="1" w:unhideWhenUsed="1"/>
    <w:lsdException w:name="endnote text" w:semiHidden="1" w:unhideWhenUsed="1"/>
    <w:lsdException w:name="Body Text First Indent" w:semiHidden="1" w:unhideWhenUsed="1"/>
    <w:lsdException w:name="heading 7" w:uiPriority="9" w:semiHidden="1" w:unhideWhenUsed="1" w:qFormat="1"/>
    <w:lsdException w:name="heading 3" w:uiPriority="9" w:semiHidden="1" w:unhideWhenUsed="1" w:qFormat="1"/>
    <w:lsdException w:name="Message Header" w:semiHidden="1" w:unhideWhenUsed="1"/>
    <w:lsdException w:name="List 3" w:semiHidden="1" w:unhideWhenUsed="1"/>
    <w:lsdException w:name="Subtitle" w:uiPriority="11" w:qFormat="1"/>
    <w:lsdException w:name="index 7" w:semiHidden="1" w:unhideWhenUsed="1"/>
    <w:lsdException w:name="heading 2" w:uiPriority="9" w:semiHidden="1" w:unhideWhenUsed="1" w:qFormat="1"/>
    <w:lsdException w:name="index 3" w:semiHidden="1" w:unhideWhenUsed="1"/>
    <w:lsdException w:name="List Bullet 3" w:semiHidden="1" w:unhideWhenUsed="1"/>
    <w:lsdException w:name="List Number 4" w:semiHidden="1" w:unhideWhenUsed="1"/>
    <w:lsdException w:name="List Continue 4" w:semiHidden="1" w:unhideWhenUsed="1"/>
    <w:lsdException w:name="List 4" w:semiHidden="1" w:unhideWhenUsed="1"/>
    <w:lsdException w:name="toc 2" w:uiPriority="39" w:semiHidden="1" w:unhideWhenUsed="1"/>
    <w:lsdException w:name="Hyperlink" w:semiHidden="1" w:unhideWhenUsed="1"/>
    <w:lsdException w:name="index 6" w:semiHidden="1" w:unhideWhenUsed="1"/>
    <w:lsdException w:name="page number" w:semiHidden="1" w:unhideWhenUsed="1"/>
    <w:lsdException w:name="Strong" w:uiPriority="22" w:qFormat="1"/>
    <w:lsdException w:name="line number" w:semiHidden="1" w:unhideWhenUsed="1"/>
    <w:lsdException w:name="List Bullet 2" w:semiHidden="1" w:unhideWhenUsed="1"/>
    <w:lsdException w:name="List Continue 5" w:semiHidden="1" w:unhideWhenUsed="1"/>
    <w:lsdException w:name="toc 1" w:uiPriority="39" w:semiHidden="1" w:unhideWhenUsed="1"/>
    <w:lsdException w:name="Normal Indent" w:semiHidden="1" w:unhideWhenUsed="1"/>
    <w:lsdException w:name="toc 7" w:uiPriority="39" w:semiHidden="1" w:unhideWhenUsed="1"/>
    <w:lsdException w:name="FollowedHyperlink" w:semiHidden="1" w:unhideWhenUsed="1"/>
    <w:lsdException w:name="List 5" w:semiHidden="1" w:unhideWhenUsed="1"/>
    <w:lsdException w:name="List Continue 2" w:semiHidden="1" w:unhideWhenUsed="1"/>
    <w:lsdException w:name="footnote reference" w:semiHidden="1" w:unhideWhenUsed="1"/>
    <w:lsdException w:name="heading 6" w:uiPriority="9" w:semiHidden="1" w:unhideWhenUsed="1" w:qFormat="1"/>
    <w:lsdException w:name="toc 6" w:uiPriority="39" w:semiHidden="1" w:unhideWhenUsed="1"/>
    <w:lsdException w:name="caption" w:uiPriority="35" w:semiHidden="1" w:unhideWhenUsed="1" w:qFormat="1"/>
    <w:lsdException w:name="List Bullet" w:semiHidden="1" w:unhideWhenUsed="1"/>
    <w:lsdException w:name="List 2" w:semiHidden="1" w:unhideWhenUsed="1"/>
    <w:lsdException w:name="Normal" w:uiPriority="0" w:qFormat="1"/>
    <w:lsdException w:name="footnote text" w:semiHidden="1" w:unhideWhenUsed="1"/>
    <w:lsdException w:name="heading 1" w:uiPriority="9" w:qFormat="1"/>
    <w:lsdException w:name="heading 5" w:uiPriority="9" w:semiHidden="1" w:unhideWhenUsed="1" w:qFormat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2026-10-23T11:20:31Z</dcterms:created>
  <dcterms:modified xsi:type="dcterms:W3CDTF">2026-10-23T11:20:31Z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"01a166b4638275f5919aefd36814348f", "ReservedCode1": "", "ContentPropagator": "00119111010856365494821B355", "PropagateID": "01a166b4638275f5919aefd36814348f", "ReservedCode2": ""}}</vt:lpwstr>
  </property>
</Properties>
</file>