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after="192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pacing w:val="19"/>
          <w:sz w:val="28"/>
        </w:rPr>
        <w:t>数智化转型 · 方案设计</w:t>
      </w:r>
    </w:p>
    <w:p w14:paraId="4E001E2D">
      <w:pPr>
        <w:spacing w:after="120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z w:val="56"/>
        </w:rPr>
        <w:t>场馆档期冲突提示工具设计方案</w:t>
      </w:r>
    </w:p>
    <w:p w14:paraId="76ED7B6A">
      <w:pPr>
        <w:spacing w:after="480" w:line="408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30"/>
        </w:rPr>
        <w:t>场馆排期与需求变更项目 · 上海东浩会展经营有限公司（演练）</w:t>
      </w:r>
    </w:p>
    <w:p w14:paraId="110009EE">
      <w:pPr>
        <w:spacing w:line="408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0"/>
        </w:rPr>
        <w:t>上游依据：业务需求发现报告、业务挖掘报告 | 2026年10月 | v1.0</w:t>
      </w:r>
    </w:p>
    <w:p w14:paraId="6BDD6E1E">
      <w:pPr>
        <w:spacing w:before="240" w:after="120"/>
      </w:pPr>
      <w:r>
        <w:rPr>
          <w:rFonts w:hint="eastAsia"/>
          <w:b w:val="1"/>
        </w:rPr>
        <w:t>目录</w:t>
      </w:r>
    </w:p>
    <w:p w14:paraId="29EDE35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一、设计背景与目标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77DF9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二、业务范围与红线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49C37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DBC6B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四、关键设计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123A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占档状态三态模型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B90FE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冲突规则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EE8B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五、数据流与集成方式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A5CF9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六、验收口径与测试设计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DBABF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七、风险与治理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1D87D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八、实施计划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ED99FD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b" w:sz="24"/>
              <w:bottom w:val="none" w:sz="8"/>
              <w:right w:val="none" w:sz="8"/>
            </w:tcBorders>
            <w:shd w:val="clear" w:fill="f5f7fa"/>
            <w:vAlign w:val="center"/>
          </w:tcPr>
          <w:p w14:paraId="727B38EE">
            <w:pPr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0"/>
              </w:rPr>
              <w:t>方案说明：本设计方案对应 FDE 流程「方案设计」阶段交付物。上游依据为业务需求发现报告（实验室系统生成，2026-10-23）与业务挖掘报告（机会清单 / 指标基线 / 项目章程）。项目为演练场景，人物、指标与业务问题为虚构。</w:t>
            </w:r>
          </w:p>
        </w:tc>
      </w:tr>
    </w:tbl>
    <w:p w14:paraId="7B120E3A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4f8b"/>
          <w:sz w:val="36"/>
        </w:rPr>
        <w:t>一、设计背景与目标</w:t>
      </w:r>
      <w:bookmarkEnd w:id="1"/>
    </w:p>
    <w:p w14:paraId="0B24B7B9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1.1 问题定位</w:t>
      </w:r>
    </w:p>
    <w:p w14:paraId="2AEF213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问题不在"要不要上 AI 排期"，而在档期申请链路的交接点——版本、未结项与责任在交接时丢失，导致重复核对（f01 链路：意向询期 → 占档确认 → 合同审核 → 进撤场计划）。</w:t>
      </w:r>
    </w:p>
    <w:p w14:paraId="3AF7E9A6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1.2 业务目标</w:t>
      </w:r>
    </w:p>
    <w:p w14:paraId="44C9F90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减少重复核对，同时保留人工确认与可追溯来源（f00）。这不是把判断交给系统，而是把重复比对的人力省下来，让每次变更都有据可查。</w:t>
      </w:r>
    </w:p>
    <w:p w14:paraId="54F8D0B3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1.3 设计目标</w:t>
      </w:r>
    </w:p>
    <w:p w14:paraId="6300A2B9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一是建立统一关联编号，使跨工具（服务台 / 台账 / 文件库）比对从人工串联降为一次核对（REQ-2）。二是在提交与交接节点提供实时冲突提示，每条提示说明原因并携带来源（f02 / f40）。三是交接三项齐套检查（接收人 / 版本 / 未结项），缺项自动拦截（f20 / f23）。四是全流程留痕，支持 30 样本回放审计（f02 / f41）。</w:t>
      </w:r>
    </w:p>
    <w:p w14:paraId="0D270DDA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4f8b"/>
          <w:sz w:val="36"/>
        </w:rPr>
        <w:t>二、业务范围与红线</w:t>
      </w:r>
      <w:bookmarkEnd w:id="2"/>
    </w:p>
    <w:p w14:paraId="505C76C5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2.1 范围内（单批次试点）</w:t>
      </w:r>
    </w:p>
    <w:p w14:paraId="579E23CB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单批次场馆档期申请的冲突提示（区域时间窗重叠、装卸口进/撤场重叠、交接版本不一致、交接三项不齐套）；只读数据集成（脱敏后的档期数据导出与字段对齐）；人工复核记录与授权确认留痕。</w:t>
      </w:r>
    </w:p>
    <w:p w14:paraId="3C0094D9">
      <w:pPr>
        <w:pBdr>
          <w:left w:val="single" w:color="b23a3a" w:sz="24"/>
        </w:pBdr>
        <w:shd w:val="clear" w:fill="fde9e9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2.2 范围外（红线）</w:t>
      </w:r>
    </w:p>
    <w:p w14:paraId="07AB0DAB">
      <w:pPr>
        <w:pBdr>
          <w:left w:val="single" w:color="b23a3a" w:sz="24"/>
        </w:pBdr>
        <w:shd w:val="clear" w:fill="fde9e9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不自动锁档、不签约、不承诺容量（f05 / f52）；对外承诺仍由业务人员确认（f52）；演练结果不得作为实际业务指令（f40）；跨企业资料只按明确授权范围访问（f41）。</w:t>
      </w:r>
    </w:p>
    <w:p w14:paraId="545B0A66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a4f8b"/>
          <w:sz w:val="36"/>
        </w:rPr>
        <w:t>三、总体架构</w:t>
      </w:r>
      <w:bookmarkEnd w:id="3"/>
    </w:p>
    <w:p w14:paraId="267D083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系统由五层构成，数据单向只读流入，决策权始终在人工侧：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08A6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层次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CEC2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能力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F1AD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对应需求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C1D5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统一编号层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2C76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分配 DLG-YYYYMMDD-NNNN，串联三类工具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42F9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REQ-2 / f30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2CC8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数据汇聚层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082D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对齐场馆区域、时间窗、进撤场时长、版本、占档状态；缺失值与未确认值分列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9BC4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REQ-2 / f31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1802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冲突检测层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2598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区域时间窗重叠、装卸口重叠、版本不一致检测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9A61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REQ-1 / f11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E462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齐套检查层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89F4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交接三项（接收人 / 版本 / 未结项）校验与拦截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AD5A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REQ-1 / f20 / f23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3999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复核留痕层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19B1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来源校验、授权确认、复核台账、回放审计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75C6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REQ-3 / f40 / f41</w:t>
            </w:r>
          </w:p>
        </w:tc>
      </w:tr>
    </w:tbl>
    <w:p w14:paraId="7257AAC7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1a4f8b"/>
          <w:sz w:val="36"/>
        </w:rPr>
        <w:t>四、关键设计</w:t>
      </w:r>
      <w:bookmarkEnd w:id="4"/>
    </w:p>
    <w:p w14:paraId="7A8175CC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5" w:name="section-4-1"/>
      <w:r>
        <w:rPr>
          <w:rFonts w:hint="eastAsia" w:ascii="SimHei" w:hAnsi="SimHei" w:eastAsia="SimHei" w:cs="SimHei"/>
          <w:b w:val="1"/>
          <w:color w:val="000000"/>
          <w:sz w:val="28"/>
        </w:rPr>
        <w:t>4.1 占档状态三态模型</w:t>
      </w:r>
      <w:bookmarkEnd w:id="5"/>
    </w:p>
    <w:p w14:paraId="1C4BCA8A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为避免"把没填误判成没占档"（f31），占档状态设计为三态：confirmed（已确认占用）、unconfirmed（已填报但未确认，参与冲突判定）、missing（字段缺失，不参与时间窗判定，单独输出数据不完整提示）。</w:t>
      </w:r>
    </w:p>
    <w:p w14:paraId="2C48B107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6" w:name="section-4-2"/>
      <w:r>
        <w:rPr>
          <w:rFonts w:hint="eastAsia" w:ascii="SimHei" w:hAnsi="SimHei" w:eastAsia="SimHei" w:cs="SimHei"/>
          <w:b w:val="1"/>
          <w:color w:val="000000"/>
          <w:sz w:val="28"/>
        </w:rPr>
        <w:t>4.2 冲突规则</w:t>
      </w:r>
      <w:bookmarkEnd w:id="6"/>
    </w:p>
    <w:p w14:paraId="48EC1F5F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区域时间窗重叠：不同申请在同一场馆区域的时间窗（含进撤场时长）重叠，提示并要求人工确认以哪一版本为准。</w:t>
      </w:r>
    </w:p>
    <w:p w14:paraId="36152B67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装卸口进/撤场重叠：不同申请在同一装卸口的进撤场时间重叠，提示需翻原始版本判断责任节点（f11）。</w:t>
      </w:r>
    </w:p>
    <w:p w14:paraId="0CDC11E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交接版本不一致：交接引用版本与台账最新版本不一致，提示未列明最新版本（f23）。</w:t>
      </w:r>
    </w:p>
    <w:p w14:paraId="5C81A45E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交接三项不齐套：接收人 / 版本 / 未结项缺一，拦截并退回补充（f20 / f23）。</w:t>
      </w:r>
    </w:p>
    <w:p w14:paraId="3291A2DA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四类规则独立判断、互不屏蔽：不同区域也可能共用装卸口，两类提示各自成立。</w:t>
      </w:r>
    </w:p>
    <w:p w14:paraId="2700E817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4.3 人工确认与授权</w:t>
      </w:r>
    </w:p>
    <w:p w14:paraId="56E4229E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每条提示默认 requires_human_confirm 为真、auto_lock 为假（恒不锁档）。来源为空的提示不得进入正式流转（f40）。正式结论只能由授权人员名单内的复核人确认（f41）；名单未配置时默认收紧、拒绝确认。</w:t>
      </w:r>
    </w:p>
    <w:p w14:paraId="66DE5A2B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4.4 可追溯性</w:t>
      </w:r>
    </w:p>
    <w:p w14:paraId="7DFBB88F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每条提示输出类型、涉及申请编号、原因、来源、是否需人工确认、是否自动锁档六项，与复核记录一并写入台账，支持按申请回放。</w:t>
      </w:r>
    </w:p>
    <w:p w14:paraId="4100BF78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7" w:name="section-5"/>
      <w:r>
        <w:rPr>
          <w:rFonts w:hint="eastAsia" w:ascii="SimHei" w:hAnsi="SimHei" w:eastAsia="SimHei" w:cs="SimHei"/>
          <w:b w:val="1"/>
          <w:color w:val="1a4f8b"/>
          <w:sz w:val="36"/>
        </w:rPr>
        <w:t>五、数据流与集成方式</w:t>
      </w:r>
      <w:bookmarkEnd w:id="7"/>
    </w:p>
    <w:p w14:paraId="5425F439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、客户诉求进入统一入口，系统自动分配统一关联编号。二、只读抽取服务台、业务台账、文件库中的关键字段，按编号汇聚。三、冲突检测与齐套检查实时计算，产出含原因与来源的提示。四、提示推送给具名接收人，人工确认后进入合同审核与进撤场计划。五、全过程写入复核台账，供回放与审计。</w:t>
      </w:r>
    </w:p>
    <w:p w14:paraId="2CEF10C1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集成边界：试点阶段仅做只读（脱敏导出），不回写占档状态；如需回写，须另行走权限申请与审批（由秦芮与傅景确认边界）。</w:t>
      </w:r>
    </w:p>
    <w:p w14:paraId="136F7BF6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8" w:name="section-6"/>
      <w:r>
        <w:rPr>
          <w:rFonts w:hint="eastAsia" w:ascii="SimHei" w:hAnsi="SimHei" w:eastAsia="SimHei" w:cs="SimHei"/>
          <w:b w:val="1"/>
          <w:color w:val="1a4f8b"/>
          <w:sz w:val="36"/>
        </w:rPr>
        <w:t>六、验收口径与测试设计</w:t>
      </w:r>
      <w:bookmarkEnd w:id="8"/>
    </w:p>
    <w:p w14:paraId="3A5DAAA9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6.1 验收标准（f02）</w:t>
      </w:r>
    </w:p>
    <w:p w14:paraId="60918FB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回放 30 个档期样本，识别全部已标注冲突且说明原因；每条结果附来源与人工复核记录（f41）。</w:t>
      </w:r>
    </w:p>
    <w:p w14:paraId="70DCC646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6.2 测试覆盖</w:t>
      </w:r>
    </w:p>
    <w:p w14:paraId="166D68F9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统一编号格式校验与生成（正常 / 边界 / 异常）；区域时间窗重叠与装卸口重叠检测（含进撤场时长口径）；缺失值不判定为"未占档"；交接三项齐套检查（区分"没填"与"确认无"）；版本不一致检测；授权确认与来源缺失拒绝流转。</w:t>
      </w:r>
    </w:p>
    <w:p w14:paraId="26151F0D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6.3 自检结果</w:t>
      </w:r>
    </w:p>
    <w:p w14:paraId="3848CBE4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执行 examples/demo.py：样本 30，识别提示 11 条，已标注档期冲突识别 7/7，全部含原因与来源，auto_lock 为假。</w:t>
      </w:r>
    </w:p>
    <w:p w14:paraId="3691F370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9" w:name="section-7"/>
      <w:r>
        <w:rPr>
          <w:rFonts w:hint="eastAsia" w:ascii="SimHei" w:hAnsi="SimHei" w:eastAsia="SimHei" w:cs="SimHei"/>
          <w:b w:val="1"/>
          <w:color w:val="1a4f8b"/>
          <w:sz w:val="36"/>
        </w:rPr>
        <w:t>七、风险与治理</w:t>
      </w:r>
      <w:bookmarkEnd w:id="9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A030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AB30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处置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0ED0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责任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4D9A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销售与运营时间口径不一（f50）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DCED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口径书面统一后启动试点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C5FF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叶书起草 / 顾明岚签署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F78A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越权锁档或自动承诺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8418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硬性禁用自动锁档；提示默认需人工确认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D3D8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傅景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3A51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来源不清进入流转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A0A7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无来源提示拒绝流转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A8BB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傅景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5D3B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数据质量差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F50D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缺失与未确认分列，抽样核对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FA25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秦芮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6852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基线缺失导致收益不可量化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A0E8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先建口径再谈收益（REQ-6）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4A81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顾明岚</w:t>
            </w:r>
          </w:p>
        </w:tc>
      </w:tr>
    </w:tbl>
    <w:p w14:paraId="415611C1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停止权归属傅景（f04）；未经预算审批人确认不进入采购与对外承诺。</w:t>
      </w:r>
    </w:p>
    <w:p w14:paraId="1EDE35B4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10" w:name="section-8"/>
      <w:r>
        <w:rPr>
          <w:rFonts w:hint="eastAsia" w:ascii="SimHei" w:hAnsi="SimHei" w:eastAsia="SimHei" w:cs="SimHei"/>
          <w:b w:val="1"/>
          <w:color w:val="1a4f8b"/>
          <w:sz w:val="36"/>
        </w:rPr>
        <w:t>八、实施计划</w:t>
      </w:r>
      <w:bookmarkEnd w:id="10"/>
    </w:p>
    <w:p w14:paraId="25BF344D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一、口径与样本确认（责任：顾明岚、叶书）。二、只读原型与脱敏导出（责任：秦芮）。三、30 样本回放验收（责任：傅景、唐映秋）。四、单批次试点评审与复盘（责任：顾明岚）。</w:t>
      </w:r>
    </w:p>
    <w:p w14:paraId="4D65990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里程碑：口径确认 → 只读原型 → 样本回放 → 试点评审。</w:t>
      </w:r>
    </w:p>
    <w:p w14:paraId="19EAB9BF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4f8b"/>
          <w:sz w:val="36"/>
        </w:rPr>
        <w:t>附：证据引用</w:t>
      </w:r>
    </w:p>
    <w:p w14:paraId="1848E691">
      <w:pPr>
        <w:spacing w:after="192" w:line="408"/>
        <w:ind w:firstLine="480"/>
        <w:rPr>
          <w:color w:val="00000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000000"/>
          <w:sz w:val="24"/>
        </w:rPr>
        <w:t>业务需求发现报告：f00、f01、f02、f04、f05、f10、f11、f20、f23、f30、f31、f40、f41、f50、f52。需求编号：REQ-1 至 REQ-6。</w:t>
      </w:r>
    </w:p>
    <w:p w14:paraId="3A32CF31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C030052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2" w:uiPriority="9" w:semiHidden="1" w:unhideWhenUsed="1" w:qFormat="1"/>
    <w:lsdException w:name="List Bullet" w:semiHidden="1" w:unhideWhenUsed="1"/>
    <w:lsdException w:name="annotation reference" w:semiHidden="1" w:unhideWhenUsed="1"/>
    <w:lsdException w:name="toc 9" w:uiPriority="39" w:semiHidden="1" w:unhideWhenUsed="1"/>
    <w:lsdException w:name="toc 4" w:uiPriority="39" w:semiHidden="1" w:unhideWhenUsed="1"/>
    <w:lsdException w:name="Block Text" w:semiHidden="1" w:unhideWhenUsed="1"/>
    <w:lsdException w:name="index 5" w:semiHidden="1" w:unhideWhenUsed="1"/>
    <w:lsdException w:name="index 8" w:semiHidden="1" w:unhideWhenUsed="1"/>
    <w:lsdException w:name="heading 3" w:uiPriority="9" w:semiHidden="1" w:unhideWhenUsed="1" w:qFormat="1"/>
    <w:lsdException w:name="Hyperlink" w:semiHidden="1" w:unhideWhenUsed="1"/>
    <w:lsdException w:name="Body Text Indent 2" w:semiHidden="1" w:unhideWhenUsed="1"/>
    <w:lsdException w:name="Normal" w:uiPriority="0" w:qFormat="1"/>
    <w:lsdException w:name="List" w:semiHidden="1" w:unhideWhenUsed="1"/>
    <w:lsdException w:name="footnote text" w:semiHidden="1" w:unhideWhenUsed="1"/>
    <w:lsdException w:name="Body Text First Indent" w:semiHidden="1" w:unhideWhenUsed="1"/>
    <w:lsdException w:name="List 2" w:semiHidden="1" w:unhideWhenUsed="1"/>
    <w:lsdException w:name="List 5" w:semiHidden="1" w:unhideWhenUsed="1"/>
    <w:lsdException w:name="FollowedHyperlink" w:semiHidden="1" w:unhideWhenUsed="1"/>
    <w:lsdException w:name="index 9" w:semiHidden="1" w:unhideWhenUsed="1"/>
    <w:lsdException w:name="index 2" w:semiHidden="1" w:unhideWhenUsed="1"/>
    <w:lsdException w:name="toc 5" w:uiPriority="39" w:semiHidden="1" w:unhideWhenUsed="1"/>
    <w:lsdException w:name="Body Text First Indent 2" w:semiHidden="1" w:unhideWhenUsed="1"/>
    <w:lsdException w:name="Body Text Indent" w:semiHidden="1" w:unhideWhenUsed="1"/>
    <w:lsdException w:name="List Number 2" w:semiHidden="1" w:unhideWhenUsed="1"/>
    <w:lsdException w:name="heading 9" w:uiPriority="9" w:semiHidden="1" w:unhideWhenUsed="1" w:qFormat="1"/>
    <w:lsdException w:name="Signature" w:semiHidden="1" w:unhideWhenUsed="1"/>
    <w:lsdException w:name="Body Text" w:semiHidden="1" w:unhideWhenUsed="1"/>
    <w:lsdException w:name="Body Text 3" w:semiHidden="1" w:unhideWhenUsed="1"/>
    <w:lsdException w:name="table of authorities" w:semiHidden="1" w:unhideWhenUsed="1"/>
    <w:lsdException w:name="List Number 5" w:semiHidden="1" w:unhideWhenUsed="1"/>
    <w:lsdException w:name="Note Heading" w:semiHidden="1" w:unhideWhenUsed="1"/>
    <w:lsdException w:name="List Continue 2" w:semiHidden="1" w:unhideWhenUsed="1"/>
    <w:lsdException w:name="envelope return" w:semiHidden="1" w:unhideWhenUsed="1"/>
    <w:lsdException w:name="line number" w:semiHidden="1" w:unhideWhenUsed="1"/>
    <w:lsdException w:name="index 3" w:semiHidden="1" w:unhideWhenUsed="1"/>
    <w:lsdException w:name="index heading" w:semiHidden="1" w:unhideWhenUsed="1"/>
    <w:lsdException w:name="heading 5" w:uiPriority="9" w:semiHidden="1" w:unhideWhenUsed="1" w:qFormat="1"/>
    <w:lsdException w:name="Subtitle" w:uiPriority="11" w:qFormat="1"/>
    <w:lsdException w:name="macro" w:semiHidden="1" w:unhideWhenUsed="1"/>
    <w:lsdException w:name="endnote reference" w:semiHidden="1" w:unhideWhenUsed="1"/>
    <w:lsdException w:name="Body Text 2" w:semiHidden="1" w:unhideWhenUsed="1"/>
    <w:lsdException w:name="heading 4" w:uiPriority="9" w:semiHidden="1" w:unhideWhenUsed="1" w:qFormat="1"/>
    <w:lsdException w:name="page number" w:semiHidden="1" w:unhideWhenUsed="1"/>
    <w:lsdException w:name="footnote reference" w:semiHidden="1" w:unhideWhenUsed="1"/>
    <w:lsdException w:name="heading 6" w:uiPriority="9" w:semiHidden="1" w:unhideWhenUsed="1" w:qFormat="1"/>
    <w:lsdException w:name="List Bullet 4" w:semiHidden="1" w:unhideWhenUsed="1"/>
    <w:lsdException w:name="List Continue 5" w:semiHidden="1" w:unhideWhenUsed="1"/>
    <w:lsdException w:name="List 3" w:semiHidden="1" w:unhideWhenUsed="1"/>
    <w:lsdException w:name="toc 6" w:uiPriority="39" w:semiHidden="1" w:unhideWhenUsed="1"/>
    <w:lsdException w:name="toc 1" w:uiPriority="39" w:semiHidden="1" w:unhideWhenUsed="1"/>
    <w:lsdException w:name="index 6" w:semiHidden="1" w:unhideWhenUsed="1"/>
    <w:lsdException w:name="List Bullet 5" w:semiHidden="1" w:unhideWhenUsed="1"/>
    <w:lsdException w:name="Salutation" w:semiHidden="1" w:unhideWhenUsed="1"/>
    <w:lsdException w:name="List Continue 4" w:semiHidden="1" w:unhideWhenUsed="1"/>
    <w:lsdException w:name="Default Paragraph Font" w:uiPriority="1" w:semiHidden="1" w:unhideWhenUsed="1"/>
    <w:lsdException w:name="toc 7" w:uiPriority="39" w:semiHidden="1" w:unhideWhenUsed="1"/>
    <w:lsdException w:name="toc 2" w:uiPriority="39" w:semiHidden="1" w:unhideWhenUsed="1"/>
    <w:lsdException w:name="index 7" w:semiHidden="1" w:unhideWhenUsed="1"/>
    <w:lsdException w:name="heading 1" w:uiPriority="9" w:qFormat="1"/>
    <w:lsdException w:name="List Number 4" w:semiHidden="1" w:unhideWhenUsed="1"/>
    <w:lsdException w:name="toa heading" w:semiHidden="1" w:unhideWhenUsed="1"/>
    <w:lsdException w:name="caption" w:uiPriority="35" w:semiHidden="1" w:unhideWhenUsed="1" w:qFormat="1"/>
    <w:lsdException w:name="Date" w:semiHidden="1" w:unhideWhenUsed="1"/>
    <w:lsdException w:name="envelope address" w:semiHidden="1" w:unhideWhenUsed="1"/>
    <w:lsdException w:name="Normal Indent" w:semiHidden="1" w:unhideWhenUsed="1"/>
    <w:lsdException w:name="Closing" w:semiHidden="1" w:unhideWhenUsed="1"/>
    <w:lsdException w:name="index 4" w:semiHidden="1" w:unhideWhenUsed="1"/>
    <w:lsdException w:name="annotation text" w:semiHidden="1" w:unhideWhenUsed="1"/>
    <w:lsdException w:name="index 1" w:semiHidden="1" w:unhideWhenUsed="1"/>
    <w:lsdException w:name="Title" w:uiPriority="10" w:qFormat="1"/>
    <w:lsdException w:name="header" w:semiHidden="1" w:unhideWhenUsed="1"/>
    <w:lsdException w:name="Message Header" w:semiHidden="1" w:unhideWhenUsed="1"/>
    <w:lsdException w:name="List Number 3" w:semiHidden="1" w:unhideWhenUsed="1"/>
    <w:lsdException w:name="heading 7" w:uiPriority="9" w:semiHidden="1" w:unhideWhenUsed="1" w:qFormat="1"/>
    <w:lsdException w:name="endnote text" w:semiHidden="1" w:unhideWhenUsed="1"/>
    <w:lsdException w:name="List 4" w:semiHidden="1" w:unhideWhenUsed="1"/>
    <w:lsdException w:name="List Number" w:semiHidden="1" w:unhideWhenUsed="1"/>
    <w:lsdException w:name="footer" w:semiHidden="1" w:unhideWhenUsed="1"/>
    <w:lsdException w:name="List Bullet 2" w:semiHidden="1" w:unhideWhenUsed="1"/>
    <w:lsdException w:name="Strong" w:uiPriority="22" w:qFormat="1"/>
    <w:lsdException w:name="heading 8" w:uiPriority="9" w:semiHidden="1" w:unhideWhenUsed="1" w:qFormat="1"/>
    <w:lsdException w:name="table of figures" w:semiHidden="1" w:unhideWhenUsed="1"/>
    <w:lsdException w:name="toc 8" w:uiPriority="39" w:semiHidden="1" w:unhideWhenUsed="1"/>
    <w:lsdException w:name="toc 3" w:uiPriority="39" w:semiHidden="1" w:unhideWhenUsed="1"/>
    <w:lsdException w:name="Body Text Indent 3" w:semiHidden="1" w:unhideWhenUsed="1"/>
    <w:lsdException w:name="List Bullet 3" w:semiHidden="1" w:unhideWhenUsed="1"/>
    <w:lsdException w:name="List Continue" w:semiHidden="1" w:unhideWhenUsed="1"/>
    <w:lsdException w:name="List Continue 3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2026-10-23T11:23:46Z</dcterms:created>
  <dcterms:modified xsi:type="dcterms:W3CDTF">2026-10-23T11:23:46Z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"01a166b4638275f5919aefd36814348f", "ReservedCode1": "", "ContentPropagator": "00119111010856365494821B355", "PropagateID": "01a166b4638275f5919aefd36814348f", "ReservedCode2": ""}}</vt:lpwstr>
  </property>
</Properties>
</file>