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4519" w14:textId="34715A70" w:rsidR="00BC5DEE" w:rsidRDefault="0070455E">
      <w:pPr>
        <w:spacing w:before="200"/>
        <w:jc w:val="center"/>
      </w:pPr>
      <w:r>
        <w:rPr>
          <w:b/>
          <w:sz w:val="40"/>
        </w:rPr>
        <w:t>SS</w:t>
      </w:r>
      <w:r w:rsidR="00000000">
        <w:rPr>
          <w:b/>
          <w:sz w:val="40"/>
        </w:rPr>
        <w:t>ĐÁNH GIÁ NGUỒN THÔNG TIN SQL VS NoSQL</w:t>
      </w:r>
      <w:r w:rsidR="00000000">
        <w:rPr>
          <w:b/>
          <w:sz w:val="40"/>
        </w:rPr>
        <w:br/>
        <w:t>BẰNG CRAAP TEST</w:t>
      </w:r>
    </w:p>
    <w:p w14:paraId="60F582BB" w14:textId="77777777" w:rsidR="00BC5DEE" w:rsidRDefault="00000000">
      <w:pPr>
        <w:spacing w:before="700"/>
        <w:jc w:val="center"/>
      </w:pPr>
      <w:r>
        <w:rPr>
          <w:sz w:val="26"/>
        </w:rPr>
        <w:t>Chủ đề: So sánh SQL và NoSQL trong xử lý dữ liệu lớn và hệ thống IT</w:t>
      </w:r>
    </w:p>
    <w:p w14:paraId="45A5380B" w14:textId="77777777" w:rsidR="00BC5DEE" w:rsidRDefault="00000000">
      <w:pPr>
        <w:spacing w:before="1400"/>
        <w:jc w:val="center"/>
      </w:pPr>
      <w:r>
        <w:rPr>
          <w:i/>
        </w:rPr>
        <w:t>Mục tiêu: tìm kiếm, kiểm chứng và đánh giá độ tin cậy của nguồn thông tin trước khi tổng hợp kết luận.</w:t>
      </w:r>
    </w:p>
    <w:p w14:paraId="6E63DE5A" w14:textId="77777777" w:rsidR="00BC5DEE" w:rsidRDefault="00000000">
      <w:pPr>
        <w:spacing w:before="1800"/>
        <w:jc w:val="center"/>
      </w:pPr>
      <w:r>
        <w:t>Ngày thực hiện: 06/10/2026</w:t>
      </w:r>
    </w:p>
    <w:p w14:paraId="0856132B" w14:textId="77777777" w:rsidR="00BC5DEE" w:rsidRDefault="00000000">
      <w:r>
        <w:br w:type="page"/>
      </w:r>
    </w:p>
    <w:p w14:paraId="6929FE75" w14:textId="77777777" w:rsidR="00BC5DEE" w:rsidRDefault="00000000">
      <w:pPr>
        <w:pStyle w:val="Heading1"/>
      </w:pPr>
      <w:r>
        <w:rPr>
          <w:rFonts w:ascii="Times New Roman" w:eastAsia="Times New Roman" w:hAnsi="Times New Roman"/>
        </w:rPr>
        <w:lastRenderedPageBreak/>
        <w:t>1. Câu hỏi nghiên cứu và từ khóa/chiến lược tìm kiếm</w:t>
      </w:r>
    </w:p>
    <w:p w14:paraId="0B13C44B" w14:textId="77777777" w:rsidR="00BC5DEE" w:rsidRDefault="00000000">
      <w:pPr>
        <w:spacing w:after="80"/>
        <w:ind w:firstLine="425"/>
      </w:pPr>
      <w:r>
        <w:t>Câu hỏi nghiên cứu: “Ưu điểm và nhược điểm của cơ sở dữ liệu SQL so với NoSQL khi xây dựng hệ thống IT xử lý dữ liệu lớn là gì, đặc biệt xét trên các khía cạnh mô hình dữ liệu, tính nhất quán, giao dịch, khả năng mở rộng và độ sẵn sàng?”</w:t>
      </w:r>
    </w:p>
    <w:p w14:paraId="105E3968" w14:textId="77777777" w:rsidR="00BC5DEE" w:rsidRDefault="00000000">
      <w:pPr>
        <w:spacing w:after="80"/>
        <w:ind w:firstLine="425"/>
      </w:pPr>
      <w:r>
        <w:t>Mục tiêu của câu hỏi là tránh cách so sánh tuyệt đối kiểu “SQL tốt hơn” hoặc “NoSQL tốt hơn”. Thay vào đó, báo cáo xem hai nhóm công nghệ như những lựa chọn kiến trúc có các đánh đổi khác nhau. Một bài tổng quan hệ thống năm 2023 phân tích 142 nghiên cứu và nhấn mạnh rằng việc lựa chọn phụ thuộc vào yêu cầu của ứng dụng, trong đó các thuộc tính như quy mô, hiệu năng, tính sẵn sàng, tính nhất quán và sharding cần được xem xét đồng thời [1].</w:t>
      </w:r>
    </w:p>
    <w:p w14:paraId="09CCFB30" w14:textId="77777777" w:rsidR="00BC5DEE" w:rsidRDefault="00000000">
      <w:pPr>
        <w:pStyle w:val="Heading2"/>
      </w:pPr>
      <w:r>
        <w:rPr>
          <w:rFonts w:ascii="Times New Roman" w:eastAsia="Times New Roman" w:hAnsi="Times New Roman"/>
        </w:rPr>
        <w:t>Từ khóa tìm kiếm</w:t>
      </w:r>
    </w:p>
    <w:p w14:paraId="17CD20F4" w14:textId="77777777" w:rsidR="00BC5DEE" w:rsidRDefault="00000000">
      <w:pPr>
        <w:pStyle w:val="ListBullet"/>
        <w:spacing w:after="60" w:line="264" w:lineRule="auto"/>
      </w:pPr>
      <w:r>
        <w:t>“so sánh CSDL SQL vs NoSQL”</w:t>
      </w:r>
    </w:p>
    <w:p w14:paraId="3375F32E" w14:textId="77777777" w:rsidR="00BC5DEE" w:rsidRDefault="00000000">
      <w:pPr>
        <w:pStyle w:val="ListBullet"/>
        <w:spacing w:after="60" w:line="264" w:lineRule="auto"/>
      </w:pPr>
      <w:r>
        <w:t>“SQL vs NoSQL scalability consistency big data”</w:t>
      </w:r>
    </w:p>
    <w:p w14:paraId="4EFEEA93" w14:textId="77777777" w:rsidR="00BC5DEE" w:rsidRDefault="00000000">
      <w:pPr>
        <w:pStyle w:val="ListBullet"/>
        <w:spacing w:after="60" w:line="264" w:lineRule="auto"/>
      </w:pPr>
      <w:r>
        <w:t>“NoSQL databases survey decision guidance”</w:t>
      </w:r>
    </w:p>
    <w:p w14:paraId="2479F274" w14:textId="77777777" w:rsidR="00BC5DEE" w:rsidRDefault="00000000">
      <w:pPr>
        <w:pStyle w:val="ListBullet"/>
        <w:spacing w:after="60" w:line="264" w:lineRule="auto"/>
      </w:pPr>
      <w:r>
        <w:t>“scalable SQL and NoSQL data stores”</w:t>
      </w:r>
    </w:p>
    <w:p w14:paraId="755718F0" w14:textId="77777777" w:rsidR="00BC5DEE" w:rsidRDefault="00000000">
      <w:pPr>
        <w:pStyle w:val="ListBullet"/>
        <w:spacing w:after="60" w:line="264" w:lineRule="auto"/>
      </w:pPr>
      <w:r>
        <w:t>“MongoDB transactions sharding official documentation”</w:t>
      </w:r>
    </w:p>
    <w:p w14:paraId="2964B65C" w14:textId="77777777" w:rsidR="00BC5DEE" w:rsidRDefault="00000000">
      <w:pPr>
        <w:pStyle w:val="ListBullet"/>
        <w:spacing w:after="60" w:line="264" w:lineRule="auto"/>
      </w:pPr>
      <w:r>
        <w:t>“PostgreSQL 18 transactions JSON partitioning documentation”</w:t>
      </w:r>
    </w:p>
    <w:p w14:paraId="17B4B4FA" w14:textId="77777777" w:rsidR="00BC5DEE" w:rsidRDefault="00000000">
      <w:pPr>
        <w:pStyle w:val="Heading2"/>
      </w:pPr>
      <w:r>
        <w:rPr>
          <w:rFonts w:ascii="Times New Roman" w:eastAsia="Times New Roman" w:hAnsi="Times New Roman"/>
        </w:rPr>
        <w:t>Truy vấn và chiến lược tìm kiếm đã dùng</w:t>
      </w:r>
    </w:p>
    <w:p w14:paraId="0A8F8E3A" w14:textId="77777777" w:rsidR="00BC5DEE" w:rsidRDefault="00000000">
      <w:pPr>
        <w:spacing w:after="80"/>
      </w:pPr>
      <w:r>
        <w:t>1. “SQL vs NoSQL” scalability consistency big data</w:t>
      </w:r>
    </w:p>
    <w:p w14:paraId="404FEB69" w14:textId="77777777" w:rsidR="00BC5DEE" w:rsidRDefault="00000000">
      <w:pPr>
        <w:spacing w:after="80"/>
      </w:pPr>
      <w:r>
        <w:t>2. “NoSQL databases” “survey and decision guidance”</w:t>
      </w:r>
    </w:p>
    <w:p w14:paraId="5506F8A7" w14:textId="77777777" w:rsidR="00BC5DEE" w:rsidRDefault="00000000">
      <w:pPr>
        <w:spacing w:after="80"/>
      </w:pPr>
      <w:r>
        <w:t>3. “scalable SQL and NoSQL data stores” filetype:pdf</w:t>
      </w:r>
    </w:p>
    <w:p w14:paraId="077E12E3" w14:textId="77777777" w:rsidR="00BC5DEE" w:rsidRDefault="00000000">
      <w:pPr>
        <w:spacing w:after="80"/>
      </w:pPr>
      <w:r>
        <w:t>4. site:mongodb.com/docs “transactions” “sharding”</w:t>
      </w:r>
    </w:p>
    <w:p w14:paraId="0AA73761" w14:textId="77777777" w:rsidR="00BC5DEE" w:rsidRDefault="00000000">
      <w:pPr>
        <w:spacing w:after="80"/>
      </w:pPr>
      <w:r>
        <w:t>5. site:postgresql.org/docs/18 “transactions” “JSON”</w:t>
      </w:r>
    </w:p>
    <w:p w14:paraId="4C043E75" w14:textId="77777777" w:rsidR="00BC5DEE" w:rsidRDefault="00000000">
      <w:pPr>
        <w:spacing w:after="80"/>
      </w:pPr>
      <w:r>
        <w:t>6. “Dynamo: Amazon’s Highly Available Key-value Store”</w:t>
      </w:r>
    </w:p>
    <w:p w14:paraId="59DCED83" w14:textId="77777777" w:rsidR="00BC5DEE" w:rsidRDefault="00000000">
      <w:pPr>
        <w:spacing w:after="80"/>
      </w:pPr>
      <w:r>
        <w:t>7. “Bigtable: A Distributed Storage System for Structured Data” filetype:pdf</w:t>
      </w:r>
    </w:p>
    <w:p w14:paraId="0B90A0B8" w14:textId="77777777" w:rsidR="00BC5DEE" w:rsidRDefault="00000000">
      <w:pPr>
        <w:spacing w:after="80"/>
        <w:ind w:firstLine="425"/>
      </w:pPr>
      <w:r>
        <w:rPr>
          <w:b/>
        </w:rPr>
        <w:t>Toán tử/chiến lược:</w:t>
      </w:r>
      <w:r>
        <w:t xml:space="preserve"> filetype:pdf để ưu tiên tài liệu hội nghị/bài nghiên cứu dạng PDF; site: để giới hạn kết quả vào tài liệu chính thức; dấu ngoặc kép “...” để tìm đúng cụm từ; kết hợp từ khóa về scalability, consistency, transactions, sharding nhằm giảm kết quả quá rộng.</w:t>
      </w:r>
    </w:p>
    <w:p w14:paraId="46727C6C" w14:textId="77777777" w:rsidR="00BC5DEE" w:rsidRDefault="00000000">
      <w:pPr>
        <w:spacing w:after="80"/>
        <w:ind w:firstLine="425"/>
      </w:pPr>
      <w:r>
        <w:rPr>
          <w:b/>
        </w:rPr>
        <w:t>Nguồn được ưu tiên gồm</w:t>
      </w:r>
      <w:r>
        <w:t xml:space="preserve"> bài báo học thuật hoặc tổng quan có thể kiểm tra tác giả và DOI; tài liệu chính thức của PostgreSQL/MongoDB để kiểm tra tính năng và phiên bản; cùng case study kinh điển như Dynamo và Bigtable để đối chiếu động cơ thiết kế của hệ thống phân tán.</w:t>
      </w:r>
    </w:p>
    <w:p w14:paraId="311C2350" w14:textId="77777777" w:rsidR="00BC5DEE" w:rsidRDefault="00000000">
      <w:r>
        <w:br w:type="page"/>
      </w:r>
    </w:p>
    <w:p w14:paraId="1F837301" w14:textId="77777777" w:rsidR="00BC5DEE" w:rsidRDefault="00BC5DEE">
      <w:pPr>
        <w:sectPr w:rsidR="00BC5DEE">
          <w:footerReference w:type="default" r:id="rId8"/>
          <w:pgSz w:w="12240" w:h="15840"/>
          <w:pgMar w:top="1134" w:right="1134" w:bottom="1134" w:left="1247" w:header="720" w:footer="720" w:gutter="0"/>
          <w:cols w:space="720"/>
          <w:docGrid w:linePitch="360"/>
        </w:sectPr>
      </w:pPr>
    </w:p>
    <w:p w14:paraId="10DFB705" w14:textId="135077C4" w:rsidR="00BC5DEE" w:rsidRDefault="00000000">
      <w:pPr>
        <w:pStyle w:val="Heading1"/>
      </w:pPr>
      <w:r>
        <w:rPr>
          <w:rFonts w:ascii="Times New Roman" w:eastAsia="Times New Roman" w:hAnsi="Times New Roman"/>
        </w:rPr>
        <w:lastRenderedPageBreak/>
        <w:t xml:space="preserve">2. Bảng đánh giá CRAAP </w:t>
      </w:r>
    </w:p>
    <w:p w14:paraId="717D037F" w14:textId="77777777" w:rsidR="00BC5DEE" w:rsidRDefault="00000000">
      <w:pPr>
        <w:spacing w:after="80"/>
      </w:pPr>
      <w:r>
        <w:t>Thang điểm: 1 = rất yếu, 5 = rất mạnh. Với Purpose, điểm cao nghĩa là mục đích chủ yếu là giáo dục/nghiên cứu/kỹ thuật; điểm thấp thể hiện mức độ phụ thuộc vào mục tiêu quảng bá sản phẩm hoặc lợi ích của nhà cung cấp.</w:t>
      </w:r>
    </w:p>
    <w:tbl>
      <w:tblPr>
        <w:tblStyle w:val="TableGrid"/>
        <w:tblW w:w="0" w:type="auto"/>
        <w:jc w:val="center"/>
        <w:tblLook w:val="04A0" w:firstRow="1" w:lastRow="0" w:firstColumn="1" w:lastColumn="0" w:noHBand="0" w:noVBand="1"/>
      </w:tblPr>
      <w:tblGrid>
        <w:gridCol w:w="1203"/>
        <w:gridCol w:w="3300"/>
        <w:gridCol w:w="1110"/>
        <w:gridCol w:w="1110"/>
        <w:gridCol w:w="1110"/>
        <w:gridCol w:w="1110"/>
        <w:gridCol w:w="1101"/>
        <w:gridCol w:w="4426"/>
      </w:tblGrid>
      <w:tr w:rsidR="00BC5DEE" w14:paraId="5D1EEEC2" w14:textId="77777777">
        <w:trPr>
          <w:tblHeader/>
          <w:jc w:val="center"/>
        </w:trPr>
        <w:tc>
          <w:tcPr>
            <w:tcW w:w="1810" w:type="dxa"/>
            <w:shd w:val="clear" w:color="auto" w:fill="D9EAF7"/>
            <w:vAlign w:val="center"/>
          </w:tcPr>
          <w:p w14:paraId="63FC0051" w14:textId="77777777" w:rsidR="00BC5DEE" w:rsidRDefault="00000000">
            <w:pPr>
              <w:jc w:val="center"/>
            </w:pPr>
            <w:r>
              <w:rPr>
                <w:b/>
                <w:sz w:val="17"/>
              </w:rPr>
              <w:t>STT</w:t>
            </w:r>
          </w:p>
        </w:tc>
        <w:tc>
          <w:tcPr>
            <w:tcW w:w="1810" w:type="dxa"/>
            <w:shd w:val="clear" w:color="auto" w:fill="D9EAF7"/>
            <w:vAlign w:val="center"/>
          </w:tcPr>
          <w:p w14:paraId="55A513E4" w14:textId="77777777" w:rsidR="00BC5DEE" w:rsidRDefault="00000000">
            <w:pPr>
              <w:jc w:val="center"/>
            </w:pPr>
            <w:r>
              <w:rPr>
                <w:b/>
                <w:sz w:val="17"/>
              </w:rPr>
              <w:t>Nguồn tài liệu</w:t>
            </w:r>
          </w:p>
        </w:tc>
        <w:tc>
          <w:tcPr>
            <w:tcW w:w="1810" w:type="dxa"/>
            <w:shd w:val="clear" w:color="auto" w:fill="D9EAF7"/>
            <w:vAlign w:val="center"/>
          </w:tcPr>
          <w:p w14:paraId="38F90452" w14:textId="77777777" w:rsidR="00BC5DEE" w:rsidRDefault="00000000">
            <w:pPr>
              <w:jc w:val="center"/>
            </w:pPr>
            <w:r>
              <w:rPr>
                <w:b/>
                <w:sz w:val="17"/>
              </w:rPr>
              <w:t>C</w:t>
            </w:r>
          </w:p>
        </w:tc>
        <w:tc>
          <w:tcPr>
            <w:tcW w:w="1810" w:type="dxa"/>
            <w:shd w:val="clear" w:color="auto" w:fill="D9EAF7"/>
            <w:vAlign w:val="center"/>
          </w:tcPr>
          <w:p w14:paraId="4427863F" w14:textId="77777777" w:rsidR="00BC5DEE" w:rsidRDefault="00000000">
            <w:pPr>
              <w:jc w:val="center"/>
            </w:pPr>
            <w:r>
              <w:rPr>
                <w:b/>
                <w:sz w:val="17"/>
              </w:rPr>
              <w:t>R</w:t>
            </w:r>
          </w:p>
        </w:tc>
        <w:tc>
          <w:tcPr>
            <w:tcW w:w="1810" w:type="dxa"/>
            <w:shd w:val="clear" w:color="auto" w:fill="D9EAF7"/>
            <w:vAlign w:val="center"/>
          </w:tcPr>
          <w:p w14:paraId="3B55EB2A" w14:textId="77777777" w:rsidR="00BC5DEE" w:rsidRDefault="00000000">
            <w:pPr>
              <w:jc w:val="center"/>
            </w:pPr>
            <w:r>
              <w:rPr>
                <w:b/>
                <w:sz w:val="17"/>
              </w:rPr>
              <w:t>A</w:t>
            </w:r>
          </w:p>
        </w:tc>
        <w:tc>
          <w:tcPr>
            <w:tcW w:w="1810" w:type="dxa"/>
            <w:shd w:val="clear" w:color="auto" w:fill="D9EAF7"/>
            <w:vAlign w:val="center"/>
          </w:tcPr>
          <w:p w14:paraId="6A2B80A6" w14:textId="77777777" w:rsidR="00BC5DEE" w:rsidRDefault="00000000">
            <w:pPr>
              <w:jc w:val="center"/>
            </w:pPr>
            <w:r>
              <w:rPr>
                <w:b/>
                <w:sz w:val="17"/>
              </w:rPr>
              <w:t>A</w:t>
            </w:r>
          </w:p>
        </w:tc>
        <w:tc>
          <w:tcPr>
            <w:tcW w:w="1810" w:type="dxa"/>
            <w:shd w:val="clear" w:color="auto" w:fill="D9EAF7"/>
            <w:vAlign w:val="center"/>
          </w:tcPr>
          <w:p w14:paraId="21F34AB4" w14:textId="77777777" w:rsidR="00BC5DEE" w:rsidRDefault="00000000">
            <w:pPr>
              <w:jc w:val="center"/>
            </w:pPr>
            <w:r>
              <w:rPr>
                <w:b/>
                <w:sz w:val="17"/>
              </w:rPr>
              <w:t>P</w:t>
            </w:r>
          </w:p>
        </w:tc>
        <w:tc>
          <w:tcPr>
            <w:tcW w:w="1810" w:type="dxa"/>
            <w:shd w:val="clear" w:color="auto" w:fill="D9EAF7"/>
            <w:vAlign w:val="center"/>
          </w:tcPr>
          <w:p w14:paraId="0D85B289" w14:textId="77777777" w:rsidR="00BC5DEE" w:rsidRDefault="00000000">
            <w:pPr>
              <w:jc w:val="center"/>
            </w:pPr>
            <w:r>
              <w:rPr>
                <w:b/>
                <w:sz w:val="17"/>
              </w:rPr>
              <w:t>Nhận xét chung</w:t>
            </w:r>
          </w:p>
        </w:tc>
      </w:tr>
      <w:tr w:rsidR="00BC5DEE" w14:paraId="18511CF8" w14:textId="77777777">
        <w:trPr>
          <w:jc w:val="center"/>
        </w:trPr>
        <w:tc>
          <w:tcPr>
            <w:tcW w:w="648" w:type="dxa"/>
            <w:vAlign w:val="center"/>
          </w:tcPr>
          <w:p w14:paraId="06BA8323" w14:textId="77777777" w:rsidR="00BC5DEE" w:rsidRDefault="00000000">
            <w:pPr>
              <w:jc w:val="center"/>
            </w:pPr>
            <w:r>
              <w:rPr>
                <w:sz w:val="15"/>
              </w:rPr>
              <w:t>1</w:t>
            </w:r>
          </w:p>
        </w:tc>
        <w:tc>
          <w:tcPr>
            <w:tcW w:w="4320" w:type="dxa"/>
            <w:vAlign w:val="center"/>
          </w:tcPr>
          <w:p w14:paraId="3C459674" w14:textId="77777777" w:rsidR="00BC5DEE" w:rsidRDefault="00000000">
            <w:r>
              <w:rPr>
                <w:sz w:val="15"/>
              </w:rPr>
              <w:t>W. Khan et al., “SQL and NoSQL Database Software Architecture Performance Analysis and Assessments—A Systematic Literature Review” (2023), MDPI/DOI.</w:t>
            </w:r>
          </w:p>
        </w:tc>
        <w:tc>
          <w:tcPr>
            <w:tcW w:w="576" w:type="dxa"/>
            <w:vAlign w:val="center"/>
          </w:tcPr>
          <w:p w14:paraId="54A9B795" w14:textId="77777777" w:rsidR="00BC5DEE" w:rsidRDefault="00000000">
            <w:pPr>
              <w:jc w:val="center"/>
            </w:pPr>
            <w:r>
              <w:rPr>
                <w:sz w:val="15"/>
              </w:rPr>
              <w:t>4</w:t>
            </w:r>
          </w:p>
        </w:tc>
        <w:tc>
          <w:tcPr>
            <w:tcW w:w="576" w:type="dxa"/>
            <w:vAlign w:val="center"/>
          </w:tcPr>
          <w:p w14:paraId="0DF4A7FF" w14:textId="77777777" w:rsidR="00BC5DEE" w:rsidRDefault="00000000">
            <w:pPr>
              <w:jc w:val="center"/>
            </w:pPr>
            <w:r>
              <w:rPr>
                <w:sz w:val="15"/>
              </w:rPr>
              <w:t>5</w:t>
            </w:r>
          </w:p>
        </w:tc>
        <w:tc>
          <w:tcPr>
            <w:tcW w:w="576" w:type="dxa"/>
            <w:vAlign w:val="center"/>
          </w:tcPr>
          <w:p w14:paraId="7DDDA572" w14:textId="77777777" w:rsidR="00BC5DEE" w:rsidRDefault="00000000">
            <w:pPr>
              <w:jc w:val="center"/>
            </w:pPr>
            <w:r>
              <w:rPr>
                <w:sz w:val="15"/>
              </w:rPr>
              <w:t>5</w:t>
            </w:r>
          </w:p>
        </w:tc>
        <w:tc>
          <w:tcPr>
            <w:tcW w:w="576" w:type="dxa"/>
            <w:vAlign w:val="center"/>
          </w:tcPr>
          <w:p w14:paraId="3B20EF04" w14:textId="77777777" w:rsidR="00BC5DEE" w:rsidRDefault="00000000">
            <w:pPr>
              <w:jc w:val="center"/>
            </w:pPr>
            <w:r>
              <w:rPr>
                <w:sz w:val="15"/>
              </w:rPr>
              <w:t>5</w:t>
            </w:r>
          </w:p>
        </w:tc>
        <w:tc>
          <w:tcPr>
            <w:tcW w:w="576" w:type="dxa"/>
            <w:vAlign w:val="center"/>
          </w:tcPr>
          <w:p w14:paraId="797E35CE" w14:textId="77777777" w:rsidR="00BC5DEE" w:rsidRDefault="00000000">
            <w:pPr>
              <w:jc w:val="center"/>
            </w:pPr>
            <w:r>
              <w:rPr>
                <w:sz w:val="15"/>
              </w:rPr>
              <w:t>5</w:t>
            </w:r>
          </w:p>
        </w:tc>
        <w:tc>
          <w:tcPr>
            <w:tcW w:w="7343" w:type="dxa"/>
            <w:vAlign w:val="center"/>
          </w:tcPr>
          <w:p w14:paraId="79E3195E" w14:textId="77777777" w:rsidR="00BC5DEE" w:rsidRDefault="00000000">
            <w:r>
              <w:rPr>
                <w:sz w:val="15"/>
              </w:rPr>
              <w:t>Nguồn mạnh nhất về tổng quan: peer-reviewed/review article, phân tích 142 nghiên cứu. Currency không tuyệt đối 5 vì đã cách hiện tại vài năm và công nghệ còn thay đổi.</w:t>
            </w:r>
          </w:p>
        </w:tc>
      </w:tr>
      <w:tr w:rsidR="00BC5DEE" w14:paraId="5388FA73" w14:textId="77777777">
        <w:trPr>
          <w:jc w:val="center"/>
        </w:trPr>
        <w:tc>
          <w:tcPr>
            <w:tcW w:w="648" w:type="dxa"/>
            <w:vAlign w:val="center"/>
          </w:tcPr>
          <w:p w14:paraId="7AD10645" w14:textId="77777777" w:rsidR="00BC5DEE" w:rsidRDefault="00000000">
            <w:pPr>
              <w:jc w:val="center"/>
            </w:pPr>
            <w:r>
              <w:rPr>
                <w:sz w:val="15"/>
              </w:rPr>
              <w:t>2</w:t>
            </w:r>
          </w:p>
        </w:tc>
        <w:tc>
          <w:tcPr>
            <w:tcW w:w="4320" w:type="dxa"/>
            <w:vAlign w:val="center"/>
          </w:tcPr>
          <w:p w14:paraId="3FEA7D67" w14:textId="77777777" w:rsidR="00BC5DEE" w:rsidRDefault="00000000">
            <w:r>
              <w:rPr>
                <w:sz w:val="15"/>
              </w:rPr>
              <w:t>R. Cattell, “Scalable SQL and NoSQL Data Stores” (2011), ACM SIGMOD Record, DOI:10.1145/1978915.1978919.</w:t>
            </w:r>
          </w:p>
        </w:tc>
        <w:tc>
          <w:tcPr>
            <w:tcW w:w="576" w:type="dxa"/>
            <w:vAlign w:val="center"/>
          </w:tcPr>
          <w:p w14:paraId="21D9A778" w14:textId="77777777" w:rsidR="00BC5DEE" w:rsidRDefault="00000000">
            <w:pPr>
              <w:jc w:val="center"/>
            </w:pPr>
            <w:r>
              <w:rPr>
                <w:sz w:val="15"/>
              </w:rPr>
              <w:t>2</w:t>
            </w:r>
          </w:p>
        </w:tc>
        <w:tc>
          <w:tcPr>
            <w:tcW w:w="576" w:type="dxa"/>
            <w:vAlign w:val="center"/>
          </w:tcPr>
          <w:p w14:paraId="35FA7246" w14:textId="77777777" w:rsidR="00BC5DEE" w:rsidRDefault="00000000">
            <w:pPr>
              <w:jc w:val="center"/>
            </w:pPr>
            <w:r>
              <w:rPr>
                <w:sz w:val="15"/>
              </w:rPr>
              <w:t>5</w:t>
            </w:r>
          </w:p>
        </w:tc>
        <w:tc>
          <w:tcPr>
            <w:tcW w:w="576" w:type="dxa"/>
            <w:vAlign w:val="center"/>
          </w:tcPr>
          <w:p w14:paraId="63FEAC70" w14:textId="77777777" w:rsidR="00BC5DEE" w:rsidRDefault="00000000">
            <w:pPr>
              <w:jc w:val="center"/>
            </w:pPr>
            <w:r>
              <w:rPr>
                <w:sz w:val="15"/>
              </w:rPr>
              <w:t>5</w:t>
            </w:r>
          </w:p>
        </w:tc>
        <w:tc>
          <w:tcPr>
            <w:tcW w:w="576" w:type="dxa"/>
            <w:vAlign w:val="center"/>
          </w:tcPr>
          <w:p w14:paraId="3C2A29B1" w14:textId="77777777" w:rsidR="00BC5DEE" w:rsidRDefault="00000000">
            <w:pPr>
              <w:jc w:val="center"/>
            </w:pPr>
            <w:r>
              <w:rPr>
                <w:sz w:val="15"/>
              </w:rPr>
              <w:t>5</w:t>
            </w:r>
          </w:p>
        </w:tc>
        <w:tc>
          <w:tcPr>
            <w:tcW w:w="576" w:type="dxa"/>
            <w:vAlign w:val="center"/>
          </w:tcPr>
          <w:p w14:paraId="388E3F72" w14:textId="77777777" w:rsidR="00BC5DEE" w:rsidRDefault="00000000">
            <w:pPr>
              <w:jc w:val="center"/>
            </w:pPr>
            <w:r>
              <w:rPr>
                <w:sz w:val="15"/>
              </w:rPr>
              <w:t>5</w:t>
            </w:r>
          </w:p>
        </w:tc>
        <w:tc>
          <w:tcPr>
            <w:tcW w:w="7343" w:type="dxa"/>
            <w:vAlign w:val="center"/>
          </w:tcPr>
          <w:p w14:paraId="4424D194" w14:textId="77777777" w:rsidR="00BC5DEE" w:rsidRDefault="00000000">
            <w:r>
              <w:rPr>
                <w:sz w:val="15"/>
              </w:rPr>
              <w:t>Bài nền tảng, so sánh data model, consistency, durability, availability, query support và khả năng mở rộng. Điểm Currency thấp do năm xuất bản cũ, nhưng giá trị khái niệm cao.</w:t>
            </w:r>
          </w:p>
        </w:tc>
      </w:tr>
      <w:tr w:rsidR="00BC5DEE" w14:paraId="1E61837C" w14:textId="77777777">
        <w:trPr>
          <w:jc w:val="center"/>
        </w:trPr>
        <w:tc>
          <w:tcPr>
            <w:tcW w:w="648" w:type="dxa"/>
            <w:vAlign w:val="center"/>
          </w:tcPr>
          <w:p w14:paraId="48FCE5E5" w14:textId="77777777" w:rsidR="00BC5DEE" w:rsidRDefault="00000000">
            <w:pPr>
              <w:jc w:val="center"/>
            </w:pPr>
            <w:r>
              <w:rPr>
                <w:sz w:val="15"/>
              </w:rPr>
              <w:t>3</w:t>
            </w:r>
          </w:p>
        </w:tc>
        <w:tc>
          <w:tcPr>
            <w:tcW w:w="4320" w:type="dxa"/>
            <w:vAlign w:val="center"/>
          </w:tcPr>
          <w:p w14:paraId="290C4D0C" w14:textId="77777777" w:rsidR="00BC5DEE" w:rsidRDefault="00000000">
            <w:r>
              <w:rPr>
                <w:sz w:val="15"/>
              </w:rPr>
              <w:t>MongoDB, Database Manual 8.3 / Release Notes 8.3 (2026).</w:t>
            </w:r>
          </w:p>
        </w:tc>
        <w:tc>
          <w:tcPr>
            <w:tcW w:w="576" w:type="dxa"/>
            <w:vAlign w:val="center"/>
          </w:tcPr>
          <w:p w14:paraId="57F48A71" w14:textId="77777777" w:rsidR="00BC5DEE" w:rsidRDefault="00000000">
            <w:pPr>
              <w:jc w:val="center"/>
            </w:pPr>
            <w:r>
              <w:rPr>
                <w:sz w:val="15"/>
              </w:rPr>
              <w:t>5</w:t>
            </w:r>
          </w:p>
        </w:tc>
        <w:tc>
          <w:tcPr>
            <w:tcW w:w="576" w:type="dxa"/>
            <w:vAlign w:val="center"/>
          </w:tcPr>
          <w:p w14:paraId="5B6FFD05" w14:textId="77777777" w:rsidR="00BC5DEE" w:rsidRDefault="00000000">
            <w:pPr>
              <w:jc w:val="center"/>
            </w:pPr>
            <w:r>
              <w:rPr>
                <w:sz w:val="15"/>
              </w:rPr>
              <w:t>5</w:t>
            </w:r>
          </w:p>
        </w:tc>
        <w:tc>
          <w:tcPr>
            <w:tcW w:w="576" w:type="dxa"/>
            <w:vAlign w:val="center"/>
          </w:tcPr>
          <w:p w14:paraId="724A9F33" w14:textId="77777777" w:rsidR="00BC5DEE" w:rsidRDefault="00000000">
            <w:pPr>
              <w:jc w:val="center"/>
            </w:pPr>
            <w:r>
              <w:rPr>
                <w:sz w:val="15"/>
              </w:rPr>
              <w:t>5</w:t>
            </w:r>
          </w:p>
        </w:tc>
        <w:tc>
          <w:tcPr>
            <w:tcW w:w="576" w:type="dxa"/>
            <w:vAlign w:val="center"/>
          </w:tcPr>
          <w:p w14:paraId="33CA676E" w14:textId="77777777" w:rsidR="00BC5DEE" w:rsidRDefault="00000000">
            <w:pPr>
              <w:jc w:val="center"/>
            </w:pPr>
            <w:r>
              <w:rPr>
                <w:sz w:val="15"/>
              </w:rPr>
              <w:t>5</w:t>
            </w:r>
          </w:p>
        </w:tc>
        <w:tc>
          <w:tcPr>
            <w:tcW w:w="576" w:type="dxa"/>
            <w:vAlign w:val="center"/>
          </w:tcPr>
          <w:p w14:paraId="76EEC332" w14:textId="77777777" w:rsidR="00BC5DEE" w:rsidRDefault="00000000">
            <w:pPr>
              <w:jc w:val="center"/>
            </w:pPr>
            <w:r>
              <w:rPr>
                <w:sz w:val="15"/>
              </w:rPr>
              <w:t>3</w:t>
            </w:r>
          </w:p>
        </w:tc>
        <w:tc>
          <w:tcPr>
            <w:tcW w:w="7343" w:type="dxa"/>
            <w:vAlign w:val="center"/>
          </w:tcPr>
          <w:p w14:paraId="40C34602" w14:textId="77777777" w:rsidR="00BC5DEE" w:rsidRDefault="00000000">
            <w:r>
              <w:rPr>
                <w:sz w:val="15"/>
              </w:rPr>
              <w:t>Rất tốt để kiểm chứng tính năng hiện hành như document model, ACID transactions, replication và sharding. Tuy nhiên đây là tài liệu của chính nhà cung cấp nên có thiên kiến tích cực với MongoDB.</w:t>
            </w:r>
          </w:p>
        </w:tc>
      </w:tr>
      <w:tr w:rsidR="00BC5DEE" w14:paraId="7F60863B" w14:textId="77777777">
        <w:trPr>
          <w:jc w:val="center"/>
        </w:trPr>
        <w:tc>
          <w:tcPr>
            <w:tcW w:w="648" w:type="dxa"/>
            <w:vAlign w:val="center"/>
          </w:tcPr>
          <w:p w14:paraId="1DFDEDD6" w14:textId="77777777" w:rsidR="00BC5DEE" w:rsidRDefault="00000000">
            <w:pPr>
              <w:jc w:val="center"/>
            </w:pPr>
            <w:r>
              <w:rPr>
                <w:sz w:val="15"/>
              </w:rPr>
              <w:t>4</w:t>
            </w:r>
          </w:p>
        </w:tc>
        <w:tc>
          <w:tcPr>
            <w:tcW w:w="4320" w:type="dxa"/>
            <w:vAlign w:val="center"/>
          </w:tcPr>
          <w:p w14:paraId="3199F0A7" w14:textId="77777777" w:rsidR="00BC5DEE" w:rsidRDefault="00000000">
            <w:r>
              <w:rPr>
                <w:sz w:val="15"/>
              </w:rPr>
              <w:t>PostgreSQL Global Development Group, PostgreSQL 18.6 Documentation (2026).</w:t>
            </w:r>
          </w:p>
        </w:tc>
        <w:tc>
          <w:tcPr>
            <w:tcW w:w="576" w:type="dxa"/>
            <w:vAlign w:val="center"/>
          </w:tcPr>
          <w:p w14:paraId="79B1FC33" w14:textId="77777777" w:rsidR="00BC5DEE" w:rsidRDefault="00000000">
            <w:pPr>
              <w:jc w:val="center"/>
            </w:pPr>
            <w:r>
              <w:rPr>
                <w:sz w:val="15"/>
              </w:rPr>
              <w:t>5</w:t>
            </w:r>
          </w:p>
        </w:tc>
        <w:tc>
          <w:tcPr>
            <w:tcW w:w="576" w:type="dxa"/>
            <w:vAlign w:val="center"/>
          </w:tcPr>
          <w:p w14:paraId="3C251FF2" w14:textId="77777777" w:rsidR="00BC5DEE" w:rsidRDefault="00000000">
            <w:pPr>
              <w:jc w:val="center"/>
            </w:pPr>
            <w:r>
              <w:rPr>
                <w:sz w:val="15"/>
              </w:rPr>
              <w:t>5</w:t>
            </w:r>
          </w:p>
        </w:tc>
        <w:tc>
          <w:tcPr>
            <w:tcW w:w="576" w:type="dxa"/>
            <w:vAlign w:val="center"/>
          </w:tcPr>
          <w:p w14:paraId="774764A5" w14:textId="77777777" w:rsidR="00BC5DEE" w:rsidRDefault="00000000">
            <w:pPr>
              <w:jc w:val="center"/>
            </w:pPr>
            <w:r>
              <w:rPr>
                <w:sz w:val="15"/>
              </w:rPr>
              <w:t>5</w:t>
            </w:r>
          </w:p>
        </w:tc>
        <w:tc>
          <w:tcPr>
            <w:tcW w:w="576" w:type="dxa"/>
            <w:vAlign w:val="center"/>
          </w:tcPr>
          <w:p w14:paraId="08ED1710" w14:textId="77777777" w:rsidR="00BC5DEE" w:rsidRDefault="00000000">
            <w:pPr>
              <w:jc w:val="center"/>
            </w:pPr>
            <w:r>
              <w:rPr>
                <w:sz w:val="15"/>
              </w:rPr>
              <w:t>5</w:t>
            </w:r>
          </w:p>
        </w:tc>
        <w:tc>
          <w:tcPr>
            <w:tcW w:w="576" w:type="dxa"/>
            <w:vAlign w:val="center"/>
          </w:tcPr>
          <w:p w14:paraId="0A9A83E0" w14:textId="77777777" w:rsidR="00BC5DEE" w:rsidRDefault="00000000">
            <w:pPr>
              <w:jc w:val="center"/>
            </w:pPr>
            <w:r>
              <w:rPr>
                <w:sz w:val="15"/>
              </w:rPr>
              <w:t>4</w:t>
            </w:r>
          </w:p>
        </w:tc>
        <w:tc>
          <w:tcPr>
            <w:tcW w:w="7343" w:type="dxa"/>
            <w:vAlign w:val="center"/>
          </w:tcPr>
          <w:p w14:paraId="64C1F1A7" w14:textId="77777777" w:rsidR="00BC5DEE" w:rsidRDefault="00000000">
            <w:r>
              <w:rPr>
                <w:sz w:val="15"/>
              </w:rPr>
              <w:t>Tài liệu chính thức, cập nhật theo phiên bản; mạnh về giao dịch, MVCC, SQL/JSON và partitioning. Mục đích kỹ thuật/tra cứu rõ ràng nhưng vẫn là nguồn của chính dự án.</w:t>
            </w:r>
          </w:p>
        </w:tc>
      </w:tr>
      <w:tr w:rsidR="00BC5DEE" w14:paraId="337117DA" w14:textId="77777777">
        <w:trPr>
          <w:jc w:val="center"/>
        </w:trPr>
        <w:tc>
          <w:tcPr>
            <w:tcW w:w="648" w:type="dxa"/>
            <w:vAlign w:val="center"/>
          </w:tcPr>
          <w:p w14:paraId="350A7B39" w14:textId="77777777" w:rsidR="00BC5DEE" w:rsidRDefault="00000000">
            <w:pPr>
              <w:jc w:val="center"/>
            </w:pPr>
            <w:r>
              <w:rPr>
                <w:sz w:val="15"/>
              </w:rPr>
              <w:t>5</w:t>
            </w:r>
          </w:p>
        </w:tc>
        <w:tc>
          <w:tcPr>
            <w:tcW w:w="4320" w:type="dxa"/>
            <w:vAlign w:val="center"/>
          </w:tcPr>
          <w:p w14:paraId="6E2601DC" w14:textId="77777777" w:rsidR="00BC5DEE" w:rsidRDefault="00000000">
            <w:r>
              <w:rPr>
                <w:sz w:val="15"/>
              </w:rPr>
              <w:t>G. DeCandia et al., “Dynamo: Amazon’s Highly Available Key-value Store” (2007), ACM SOSP.</w:t>
            </w:r>
          </w:p>
        </w:tc>
        <w:tc>
          <w:tcPr>
            <w:tcW w:w="576" w:type="dxa"/>
            <w:vAlign w:val="center"/>
          </w:tcPr>
          <w:p w14:paraId="4322520D" w14:textId="77777777" w:rsidR="00BC5DEE" w:rsidRDefault="00000000">
            <w:pPr>
              <w:jc w:val="center"/>
            </w:pPr>
            <w:r>
              <w:rPr>
                <w:sz w:val="15"/>
              </w:rPr>
              <w:t>2</w:t>
            </w:r>
          </w:p>
        </w:tc>
        <w:tc>
          <w:tcPr>
            <w:tcW w:w="576" w:type="dxa"/>
            <w:vAlign w:val="center"/>
          </w:tcPr>
          <w:p w14:paraId="16B2A3C0" w14:textId="77777777" w:rsidR="00BC5DEE" w:rsidRDefault="00000000">
            <w:pPr>
              <w:jc w:val="center"/>
            </w:pPr>
            <w:r>
              <w:rPr>
                <w:sz w:val="15"/>
              </w:rPr>
              <w:t>4</w:t>
            </w:r>
          </w:p>
        </w:tc>
        <w:tc>
          <w:tcPr>
            <w:tcW w:w="576" w:type="dxa"/>
            <w:vAlign w:val="center"/>
          </w:tcPr>
          <w:p w14:paraId="5E40CD39" w14:textId="77777777" w:rsidR="00BC5DEE" w:rsidRDefault="00000000">
            <w:pPr>
              <w:jc w:val="center"/>
            </w:pPr>
            <w:r>
              <w:rPr>
                <w:sz w:val="15"/>
              </w:rPr>
              <w:t>5</w:t>
            </w:r>
          </w:p>
        </w:tc>
        <w:tc>
          <w:tcPr>
            <w:tcW w:w="576" w:type="dxa"/>
            <w:vAlign w:val="center"/>
          </w:tcPr>
          <w:p w14:paraId="770DE0B1" w14:textId="77777777" w:rsidR="00BC5DEE" w:rsidRDefault="00000000">
            <w:pPr>
              <w:jc w:val="center"/>
            </w:pPr>
            <w:r>
              <w:rPr>
                <w:sz w:val="15"/>
              </w:rPr>
              <w:t>5</w:t>
            </w:r>
          </w:p>
        </w:tc>
        <w:tc>
          <w:tcPr>
            <w:tcW w:w="576" w:type="dxa"/>
            <w:vAlign w:val="center"/>
          </w:tcPr>
          <w:p w14:paraId="6A71D019" w14:textId="77777777" w:rsidR="00BC5DEE" w:rsidRDefault="00000000">
            <w:pPr>
              <w:jc w:val="center"/>
            </w:pPr>
            <w:r>
              <w:rPr>
                <w:sz w:val="15"/>
              </w:rPr>
              <w:t>4</w:t>
            </w:r>
          </w:p>
        </w:tc>
        <w:tc>
          <w:tcPr>
            <w:tcW w:w="7343" w:type="dxa"/>
            <w:vAlign w:val="center"/>
          </w:tcPr>
          <w:p w14:paraId="2B493B35" w14:textId="77777777" w:rsidR="00BC5DEE" w:rsidRDefault="00000000">
            <w:r>
              <w:rPr>
                <w:sz w:val="15"/>
              </w:rPr>
              <w:t>Case study học thuật/công nghiệp quan trọng cho NoSQL phân tán và availability. Cũ nhưng có bằng chứng thiết kế thực tế; không nên dùng làm mô tả tính năng NoSQL hiện đại nói chung.</w:t>
            </w:r>
          </w:p>
        </w:tc>
      </w:tr>
      <w:tr w:rsidR="00BC5DEE" w14:paraId="565C6FA6" w14:textId="77777777">
        <w:trPr>
          <w:jc w:val="center"/>
        </w:trPr>
        <w:tc>
          <w:tcPr>
            <w:tcW w:w="648" w:type="dxa"/>
            <w:vAlign w:val="center"/>
          </w:tcPr>
          <w:p w14:paraId="14ACD77F" w14:textId="77777777" w:rsidR="00BC5DEE" w:rsidRDefault="00000000">
            <w:pPr>
              <w:jc w:val="center"/>
            </w:pPr>
            <w:r>
              <w:rPr>
                <w:sz w:val="15"/>
              </w:rPr>
              <w:t>6</w:t>
            </w:r>
          </w:p>
        </w:tc>
        <w:tc>
          <w:tcPr>
            <w:tcW w:w="4320" w:type="dxa"/>
            <w:vAlign w:val="center"/>
          </w:tcPr>
          <w:p w14:paraId="45D3D9AF" w14:textId="77777777" w:rsidR="00BC5DEE" w:rsidRDefault="00000000">
            <w:r>
              <w:rPr>
                <w:sz w:val="15"/>
              </w:rPr>
              <w:t>F. Chang et al., “Bigtable: A Distributed Storage System for Structured Data” (2006), USENIX OSDI.</w:t>
            </w:r>
          </w:p>
        </w:tc>
        <w:tc>
          <w:tcPr>
            <w:tcW w:w="576" w:type="dxa"/>
            <w:vAlign w:val="center"/>
          </w:tcPr>
          <w:p w14:paraId="6B52F167" w14:textId="77777777" w:rsidR="00BC5DEE" w:rsidRDefault="00000000">
            <w:pPr>
              <w:jc w:val="center"/>
            </w:pPr>
            <w:r>
              <w:rPr>
                <w:sz w:val="15"/>
              </w:rPr>
              <w:t>2</w:t>
            </w:r>
          </w:p>
        </w:tc>
        <w:tc>
          <w:tcPr>
            <w:tcW w:w="576" w:type="dxa"/>
            <w:vAlign w:val="center"/>
          </w:tcPr>
          <w:p w14:paraId="6803ECA9" w14:textId="77777777" w:rsidR="00BC5DEE" w:rsidRDefault="00000000">
            <w:pPr>
              <w:jc w:val="center"/>
            </w:pPr>
            <w:r>
              <w:rPr>
                <w:sz w:val="15"/>
              </w:rPr>
              <w:t>4</w:t>
            </w:r>
          </w:p>
        </w:tc>
        <w:tc>
          <w:tcPr>
            <w:tcW w:w="576" w:type="dxa"/>
            <w:vAlign w:val="center"/>
          </w:tcPr>
          <w:p w14:paraId="799AED20" w14:textId="77777777" w:rsidR="00BC5DEE" w:rsidRDefault="00000000">
            <w:pPr>
              <w:jc w:val="center"/>
            </w:pPr>
            <w:r>
              <w:rPr>
                <w:sz w:val="15"/>
              </w:rPr>
              <w:t>5</w:t>
            </w:r>
          </w:p>
        </w:tc>
        <w:tc>
          <w:tcPr>
            <w:tcW w:w="576" w:type="dxa"/>
            <w:vAlign w:val="center"/>
          </w:tcPr>
          <w:p w14:paraId="4787EDBE" w14:textId="77777777" w:rsidR="00BC5DEE" w:rsidRDefault="00000000">
            <w:pPr>
              <w:jc w:val="center"/>
            </w:pPr>
            <w:r>
              <w:rPr>
                <w:sz w:val="15"/>
              </w:rPr>
              <w:t>5</w:t>
            </w:r>
          </w:p>
        </w:tc>
        <w:tc>
          <w:tcPr>
            <w:tcW w:w="576" w:type="dxa"/>
            <w:vAlign w:val="center"/>
          </w:tcPr>
          <w:p w14:paraId="44B87B73" w14:textId="77777777" w:rsidR="00BC5DEE" w:rsidRDefault="00000000">
            <w:pPr>
              <w:jc w:val="center"/>
            </w:pPr>
            <w:r>
              <w:rPr>
                <w:sz w:val="15"/>
              </w:rPr>
              <w:t>4</w:t>
            </w:r>
          </w:p>
        </w:tc>
        <w:tc>
          <w:tcPr>
            <w:tcW w:w="7343" w:type="dxa"/>
            <w:vAlign w:val="center"/>
          </w:tcPr>
          <w:p w14:paraId="7464B40E" w14:textId="77777777" w:rsidR="00BC5DEE" w:rsidRDefault="00000000">
            <w:r>
              <w:rPr>
                <w:sz w:val="15"/>
              </w:rPr>
              <w:t>Nghiên cứu hệ thống phân tán nổi tiếng với bằng chứng triển khai ở quy mô rất lớn. Cũ và không phải CSDL quan hệ, nhưng hữu ích để hiểu nguồn gốc của các mô hình lưu trữ phân tán.</w:t>
            </w:r>
          </w:p>
        </w:tc>
      </w:tr>
    </w:tbl>
    <w:p w14:paraId="3334292B" w14:textId="77777777" w:rsidR="00BC5DEE" w:rsidRDefault="00BC5DEE">
      <w:pPr>
        <w:spacing w:after="40"/>
      </w:pPr>
    </w:p>
    <w:p w14:paraId="731C25BE" w14:textId="77777777" w:rsidR="00BC5DEE" w:rsidRDefault="00BC5DEE">
      <w:pPr>
        <w:sectPr w:rsidR="00BC5DEE">
          <w:pgSz w:w="15840" w:h="12240" w:orient="landscape"/>
          <w:pgMar w:top="794" w:right="680" w:bottom="794" w:left="680" w:header="720" w:footer="720" w:gutter="0"/>
          <w:cols w:space="720"/>
          <w:docGrid w:linePitch="360"/>
        </w:sectPr>
      </w:pPr>
    </w:p>
    <w:p w14:paraId="19E0E309" w14:textId="77777777" w:rsidR="00BC5DEE" w:rsidRDefault="00000000">
      <w:pPr>
        <w:pStyle w:val="Heading1"/>
      </w:pPr>
      <w:r>
        <w:rPr>
          <w:rFonts w:ascii="Times New Roman" w:eastAsia="Times New Roman" w:hAnsi="Times New Roman"/>
        </w:rPr>
        <w:lastRenderedPageBreak/>
        <w:t>3. Tóm tắt hiểu biết về SQL vs NoSQL và suy ngẫm về thiên kiến</w:t>
      </w:r>
    </w:p>
    <w:p w14:paraId="6372913B" w14:textId="77777777" w:rsidR="00BC5DEE" w:rsidRDefault="00000000">
      <w:pPr>
        <w:pStyle w:val="Heading2"/>
      </w:pPr>
      <w:r>
        <w:rPr>
          <w:rFonts w:ascii="Times New Roman" w:eastAsia="Times New Roman" w:hAnsi="Times New Roman"/>
        </w:rPr>
        <w:t>3.1. Khác biệt chính</w:t>
      </w:r>
    </w:p>
    <w:p w14:paraId="3D3A70C8" w14:textId="77777777" w:rsidR="00BC5DEE" w:rsidRDefault="00000000">
      <w:pPr>
        <w:spacing w:after="80"/>
        <w:ind w:firstLine="425"/>
      </w:pPr>
      <w:r>
        <w:t>SQL thường chỉ nhóm các hệ quản trị cơ sở dữ liệu quan hệ, trong đó dữ liệu được tổ chức thành bảng với schema rõ ràng, quan hệ giữa các bảng, ràng buộc và ngôn ngữ truy vấn SQL. PostgreSQL 18 tiếp tục cung cấp giao dịch với các mức cô lập, MVCC để quản lý truy cập đồng thời, SQL/JSON và partitioning [4]. Vì vậy, SQL đặc biệt phù hợp khi nghiệp vụ cần quan hệ dữ liệu chặt, nhiều phép JOIN, ràng buộc toàn vẹn và giao dịch nhiều bước.</w:t>
      </w:r>
    </w:p>
    <w:p w14:paraId="06057529" w14:textId="77777777" w:rsidR="00BC5DEE" w:rsidRDefault="00000000">
      <w:pPr>
        <w:spacing w:after="80"/>
        <w:ind w:firstLine="425"/>
      </w:pPr>
      <w:r>
        <w:t>NoSQL là tên gọi chung cho nhiều họ hệ quản trị không thuần quan hệ như key-value, document, wide-column và graph. Do đó không thể nói “NoSQL” có đúng một mô hình consistency hay hiệu năng. Bài tổng quan [1] và bài Cattell [2] đều cho thấy việc so sánh nên dựa trên workload và trade-off cụ thể. MongoDB hiện hỗ trợ document model, multi-document ACID transactions, replication và sharding; tài liệu 8.3 mô tả sharding như cơ chế mở rộng ngang [3].</w:t>
      </w:r>
    </w:p>
    <w:tbl>
      <w:tblPr>
        <w:tblStyle w:val="TableGrid"/>
        <w:tblW w:w="0" w:type="auto"/>
        <w:jc w:val="center"/>
        <w:tblLook w:val="04A0" w:firstRow="1" w:lastRow="0" w:firstColumn="1" w:lastColumn="0" w:noHBand="0" w:noVBand="1"/>
      </w:tblPr>
      <w:tblGrid>
        <w:gridCol w:w="3282"/>
        <w:gridCol w:w="3283"/>
        <w:gridCol w:w="3284"/>
      </w:tblGrid>
      <w:tr w:rsidR="00BC5DEE" w14:paraId="1DDF31B4" w14:textId="77777777">
        <w:trPr>
          <w:jc w:val="center"/>
        </w:trPr>
        <w:tc>
          <w:tcPr>
            <w:tcW w:w="3286" w:type="dxa"/>
            <w:shd w:val="clear" w:color="auto" w:fill="E2F0D9"/>
            <w:vAlign w:val="center"/>
          </w:tcPr>
          <w:p w14:paraId="1A6C6AD5" w14:textId="77777777" w:rsidR="00BC5DEE" w:rsidRDefault="00000000">
            <w:pPr>
              <w:jc w:val="center"/>
            </w:pPr>
            <w:r>
              <w:rPr>
                <w:b/>
                <w:sz w:val="18"/>
              </w:rPr>
              <w:t>Tiêu chí</w:t>
            </w:r>
          </w:p>
        </w:tc>
        <w:tc>
          <w:tcPr>
            <w:tcW w:w="3286" w:type="dxa"/>
            <w:shd w:val="clear" w:color="auto" w:fill="E2F0D9"/>
            <w:vAlign w:val="center"/>
          </w:tcPr>
          <w:p w14:paraId="4C4B250D" w14:textId="77777777" w:rsidR="00BC5DEE" w:rsidRDefault="00000000">
            <w:pPr>
              <w:jc w:val="center"/>
            </w:pPr>
            <w:r>
              <w:rPr>
                <w:b/>
                <w:sz w:val="18"/>
              </w:rPr>
              <w:t>SQL / quan hệ</w:t>
            </w:r>
          </w:p>
        </w:tc>
        <w:tc>
          <w:tcPr>
            <w:tcW w:w="3286" w:type="dxa"/>
            <w:shd w:val="clear" w:color="auto" w:fill="E2F0D9"/>
            <w:vAlign w:val="center"/>
          </w:tcPr>
          <w:p w14:paraId="79D93BFC" w14:textId="77777777" w:rsidR="00BC5DEE" w:rsidRDefault="00000000">
            <w:pPr>
              <w:jc w:val="center"/>
            </w:pPr>
            <w:r>
              <w:rPr>
                <w:b/>
                <w:sz w:val="18"/>
              </w:rPr>
              <w:t>NoSQL / phi quan hệ</w:t>
            </w:r>
          </w:p>
        </w:tc>
      </w:tr>
      <w:tr w:rsidR="00BC5DEE" w14:paraId="2F78867C" w14:textId="77777777">
        <w:trPr>
          <w:jc w:val="center"/>
        </w:trPr>
        <w:tc>
          <w:tcPr>
            <w:tcW w:w="3286" w:type="dxa"/>
            <w:vAlign w:val="center"/>
          </w:tcPr>
          <w:p w14:paraId="1682834F" w14:textId="77777777" w:rsidR="00BC5DEE" w:rsidRDefault="00000000">
            <w:r>
              <w:rPr>
                <w:sz w:val="17"/>
              </w:rPr>
              <w:t>Mô hình dữ liệu</w:t>
            </w:r>
          </w:p>
        </w:tc>
        <w:tc>
          <w:tcPr>
            <w:tcW w:w="3286" w:type="dxa"/>
            <w:vAlign w:val="center"/>
          </w:tcPr>
          <w:p w14:paraId="27F43B07" w14:textId="77777777" w:rsidR="00BC5DEE" w:rsidRDefault="00000000">
            <w:r>
              <w:rPr>
                <w:sz w:val="17"/>
              </w:rPr>
              <w:t>Bảng, khóa, quan hệ và schema tương đối chặt.</w:t>
            </w:r>
          </w:p>
        </w:tc>
        <w:tc>
          <w:tcPr>
            <w:tcW w:w="3286" w:type="dxa"/>
            <w:vAlign w:val="center"/>
          </w:tcPr>
          <w:p w14:paraId="5F894067" w14:textId="77777777" w:rsidR="00BC5DEE" w:rsidRDefault="00000000">
            <w:r>
              <w:rPr>
                <w:sz w:val="17"/>
              </w:rPr>
              <w:t>Document, key-value, wide-column hoặc graph; schema thường linh hoạt hơn.</w:t>
            </w:r>
          </w:p>
        </w:tc>
      </w:tr>
      <w:tr w:rsidR="00BC5DEE" w14:paraId="64F6CAED" w14:textId="77777777">
        <w:trPr>
          <w:jc w:val="center"/>
        </w:trPr>
        <w:tc>
          <w:tcPr>
            <w:tcW w:w="3286" w:type="dxa"/>
            <w:vAlign w:val="center"/>
          </w:tcPr>
          <w:p w14:paraId="3DCC1F6F" w14:textId="77777777" w:rsidR="00BC5DEE" w:rsidRDefault="00000000">
            <w:r>
              <w:rPr>
                <w:sz w:val="17"/>
              </w:rPr>
              <w:t>Truy vấn</w:t>
            </w:r>
          </w:p>
        </w:tc>
        <w:tc>
          <w:tcPr>
            <w:tcW w:w="3286" w:type="dxa"/>
            <w:vAlign w:val="center"/>
          </w:tcPr>
          <w:p w14:paraId="5ADEBDBD" w14:textId="77777777" w:rsidR="00BC5DEE" w:rsidRDefault="00000000">
            <w:r>
              <w:rPr>
                <w:sz w:val="17"/>
              </w:rPr>
              <w:t>SQL mạnh với JOIN, aggregate và truy vấn ad-hoc phức tạp.</w:t>
            </w:r>
          </w:p>
        </w:tc>
        <w:tc>
          <w:tcPr>
            <w:tcW w:w="3286" w:type="dxa"/>
            <w:vAlign w:val="center"/>
          </w:tcPr>
          <w:p w14:paraId="2E21E263" w14:textId="77777777" w:rsidR="00BC5DEE" w:rsidRDefault="00000000">
            <w:r>
              <w:rPr>
                <w:sz w:val="17"/>
              </w:rPr>
              <w:t>Thường tối ưu theo API/kiểu dữ liệu của từng hệ; khả năng truy vấn phụ thuộc sản phẩm.</w:t>
            </w:r>
          </w:p>
        </w:tc>
      </w:tr>
      <w:tr w:rsidR="00BC5DEE" w14:paraId="2D2D906A" w14:textId="77777777">
        <w:trPr>
          <w:jc w:val="center"/>
        </w:trPr>
        <w:tc>
          <w:tcPr>
            <w:tcW w:w="3286" w:type="dxa"/>
            <w:vAlign w:val="center"/>
          </w:tcPr>
          <w:p w14:paraId="6AD3D391" w14:textId="77777777" w:rsidR="00BC5DEE" w:rsidRDefault="00000000">
            <w:r>
              <w:rPr>
                <w:sz w:val="17"/>
              </w:rPr>
              <w:t>Giao dịch/nhất quán</w:t>
            </w:r>
          </w:p>
        </w:tc>
        <w:tc>
          <w:tcPr>
            <w:tcW w:w="3286" w:type="dxa"/>
            <w:vAlign w:val="center"/>
          </w:tcPr>
          <w:p w14:paraId="5B6849FA" w14:textId="77777777" w:rsidR="00BC5DEE" w:rsidRDefault="00000000">
            <w:r>
              <w:rPr>
                <w:sz w:val="17"/>
              </w:rPr>
              <w:t>Thế mạnh truyền thống là ACID và kiểm soát toàn vẹn. PostgreSQL có MVCC và các mức transaction isolation.</w:t>
            </w:r>
          </w:p>
        </w:tc>
        <w:tc>
          <w:tcPr>
            <w:tcW w:w="3286" w:type="dxa"/>
            <w:vAlign w:val="center"/>
          </w:tcPr>
          <w:p w14:paraId="4AEACFAA" w14:textId="77777777" w:rsidR="00BC5DEE" w:rsidRDefault="00000000">
            <w:r>
              <w:rPr>
                <w:sz w:val="17"/>
              </w:rPr>
              <w:t>Từng hệ có thiết kế khác nhau; MongoDB hiện hỗ trợ ACID nhiều tài liệu nhưng distributed transaction vẫn có chi phí và không thay thế schema tốt [3].</w:t>
            </w:r>
          </w:p>
        </w:tc>
      </w:tr>
      <w:tr w:rsidR="00BC5DEE" w14:paraId="2F94F5F3" w14:textId="77777777">
        <w:trPr>
          <w:jc w:val="center"/>
        </w:trPr>
        <w:tc>
          <w:tcPr>
            <w:tcW w:w="3286" w:type="dxa"/>
            <w:vAlign w:val="center"/>
          </w:tcPr>
          <w:p w14:paraId="4809FC50" w14:textId="77777777" w:rsidR="00BC5DEE" w:rsidRDefault="00000000">
            <w:r>
              <w:rPr>
                <w:sz w:val="17"/>
              </w:rPr>
              <w:t>Mở rộng</w:t>
            </w:r>
          </w:p>
        </w:tc>
        <w:tc>
          <w:tcPr>
            <w:tcW w:w="3286" w:type="dxa"/>
            <w:vAlign w:val="center"/>
          </w:tcPr>
          <w:p w14:paraId="42215FAE" w14:textId="77777777" w:rsidR="00BC5DEE" w:rsidRDefault="00000000">
            <w:r>
              <w:rPr>
                <w:sz w:val="17"/>
              </w:rPr>
              <w:t>Có thể scale theo chiều dọc và cũng có partitioning/replication; scale ngang có thể phức tạp hơn tùy kiến trúc.</w:t>
            </w:r>
          </w:p>
        </w:tc>
        <w:tc>
          <w:tcPr>
            <w:tcW w:w="3286" w:type="dxa"/>
            <w:vAlign w:val="center"/>
          </w:tcPr>
          <w:p w14:paraId="15606F27" w14:textId="77777777" w:rsidR="00BC5DEE" w:rsidRDefault="00000000">
            <w:r>
              <w:rPr>
                <w:sz w:val="17"/>
              </w:rPr>
              <w:t>Nhiều hệ được thiết kế mạnh cho scale ngang, sharding và workload phân tán; đổi lại là độ phức tạp vận hành và trade-off consistency tùy hệ [1], [2].</w:t>
            </w:r>
          </w:p>
        </w:tc>
      </w:tr>
      <w:tr w:rsidR="00BC5DEE" w14:paraId="0AF825A1" w14:textId="77777777">
        <w:trPr>
          <w:jc w:val="center"/>
        </w:trPr>
        <w:tc>
          <w:tcPr>
            <w:tcW w:w="3286" w:type="dxa"/>
            <w:vAlign w:val="center"/>
          </w:tcPr>
          <w:p w14:paraId="00AC2966" w14:textId="77777777" w:rsidR="00BC5DEE" w:rsidRDefault="00000000">
            <w:r>
              <w:rPr>
                <w:sz w:val="17"/>
              </w:rPr>
              <w:t>Dữ liệu lớn</w:t>
            </w:r>
          </w:p>
        </w:tc>
        <w:tc>
          <w:tcPr>
            <w:tcW w:w="3286" w:type="dxa"/>
            <w:vAlign w:val="center"/>
          </w:tcPr>
          <w:p w14:paraId="67BCD16B" w14:textId="77777777" w:rsidR="00BC5DEE" w:rsidRDefault="00000000">
            <w:r>
              <w:rPr>
                <w:sz w:val="17"/>
              </w:rPr>
              <w:t>Tốt khi dữ liệu có cấu trúc, quan hệ và nhu cầu giao dịch/OLTP cao.</w:t>
            </w:r>
          </w:p>
        </w:tc>
        <w:tc>
          <w:tcPr>
            <w:tcW w:w="3286" w:type="dxa"/>
            <w:vAlign w:val="center"/>
          </w:tcPr>
          <w:p w14:paraId="51BAEBE2" w14:textId="77777777" w:rsidR="00BC5DEE" w:rsidRDefault="00000000">
            <w:r>
              <w:rPr>
                <w:sz w:val="17"/>
              </w:rPr>
              <w:t>Hữu ích khi volume/velocity/variability lớn hoặc schema thay đổi nhanh; không phải mọi workload đều cần NoSQL [1].</w:t>
            </w:r>
          </w:p>
        </w:tc>
      </w:tr>
    </w:tbl>
    <w:p w14:paraId="6CC853DF" w14:textId="77777777" w:rsidR="00BC5DEE" w:rsidRDefault="00000000">
      <w:pPr>
        <w:spacing w:after="80"/>
        <w:ind w:firstLine="425"/>
      </w:pPr>
      <w:r>
        <w:t>Kết luận tổng hợp từ ba nguồn ưu tiên [1], [2], [3]/[4]: không có lựa chọn thắng tuyệt đối. SQL có ưu thế khi tính đúng đắn nghiệp vụ, quan hệ dữ liệu và giao dịch là trọng tâm; NoSQL có ưu thế trong những workload cần mô hình linh hoạt, phân tán và mở rộng ngang mạnh. Tuy nhiên, ranh giới ngày nay ít tuyệt đối hơn trước: PostgreSQL hỗ trợ JSON/SQL-JSON, còn MongoDB hỗ trợ ACID transactions. Vì vậy, quyết định kiến trúc nên xuất phát từ workload, SLO, mô hình dữ liệu, yêu cầu consistency và năng lực vận hành.</w:t>
      </w:r>
    </w:p>
    <w:p w14:paraId="5C468FAA" w14:textId="77777777" w:rsidR="00BC5DEE" w:rsidRDefault="00000000">
      <w:pPr>
        <w:pStyle w:val="Heading2"/>
      </w:pPr>
      <w:r>
        <w:rPr>
          <w:rFonts w:ascii="Times New Roman" w:eastAsia="Times New Roman" w:hAnsi="Times New Roman"/>
        </w:rPr>
        <w:t>3.2. Suy ngẫm về thiên kiến (bias) của nhà cung cấp</w:t>
      </w:r>
    </w:p>
    <w:p w14:paraId="1A025E21" w14:textId="77777777" w:rsidR="00BC5DEE" w:rsidRDefault="00000000">
      <w:pPr>
        <w:spacing w:after="80"/>
        <w:ind w:firstLine="425"/>
      </w:pPr>
      <w:r>
        <w:t>Tài liệu chính thức của MongoDB có Authority và Accuracy cao khi trả lời câu hỏi “MongoDB hiện hỗ trợ gì?”, nhưng Purpose không hoàn toàn trung lập vì tài liệu đồng thời có chức năng giới thiệu sản phẩm và kiến trúc của chính MongoDB [3]. Tương tự, tài liệu PostgreSQL rất đáng tin cho hành vi và cú pháp của PostgreSQL, nhưng không phải một nghiên cứu độc lập dùng để kết luận rằng PostgreSQL tốt hơn mọi hệ SQL khác [4].</w:t>
      </w:r>
    </w:p>
    <w:p w14:paraId="67E1C4A5" w14:textId="77777777" w:rsidR="00BC5DEE" w:rsidRDefault="00000000">
      <w:pPr>
        <w:spacing w:after="80"/>
        <w:ind w:firstLine="425"/>
      </w:pPr>
      <w:r>
        <w:t xml:space="preserve">Thiên kiến còn xuất hiện ở case study doanh nghiệp. Bài Dynamo do các tác giả Amazon viết và mô tả một hệ thống nhằm duy trì availability ở quy mô rất lớn; chính bài báo nêu trade-off rằng Dynamo hy sinh một phần consistency trong một số tình huống lỗi [5]. Đây là bằng chứng mạnh cho một thiết kế cụ thể, nhưng không nên khái quát thành mệnh đề “mọi NoSQL đều hy sinh </w:t>
      </w:r>
      <w:r>
        <w:lastRenderedPageBreak/>
        <w:t>consistency”. Tương tự, Bigtable cho thấy Google có thể mở rộng hệ thống lên petabyte và hàng nghìn máy, nhưng đó là bằng chứng cho một hệ phân tán cụ thể, không phải benchmark chung cho toàn bộ NoSQL [6].</w:t>
      </w:r>
    </w:p>
    <w:p w14:paraId="5B41D1AB" w14:textId="77777777" w:rsidR="00BC5DEE" w:rsidRDefault="00000000">
      <w:pPr>
        <w:spacing w:after="80"/>
        <w:ind w:firstLine="425"/>
      </w:pPr>
      <w:r>
        <w:t>Vì vậy, chiến lược giảm bias là tam giác hóa nguồn: dùng nghiên cứu học thuật để hình thành kết luận tổng quát, dùng tài liệu nhà cung cấp để xác minh tính năng hiện hành, và dùng case study để hiểu lý do kiến trúc. Khi hai nguồn có lợi ích khác nhau đưa ra tuyên bố giống nhau, mức tin cậy tăng; khi chỉ nhà cung cấp đưa ra một tuyên bố về hiệu năng hoặc “tốt nhất”, cần yêu cầu thêm benchmark độc lập hoặc dữ liệu tái lập.</w:t>
      </w:r>
    </w:p>
    <w:p w14:paraId="07158443" w14:textId="77777777" w:rsidR="00BC5DEE" w:rsidRDefault="00000000">
      <w:pPr>
        <w:pStyle w:val="Heading1"/>
      </w:pPr>
      <w:r>
        <w:rPr>
          <w:rFonts w:ascii="Times New Roman" w:eastAsia="Times New Roman" w:hAnsi="Times New Roman"/>
        </w:rPr>
        <w:t>4. Danh sách tài liệu tham khảo theo chuẩn IEEE</w:t>
      </w:r>
    </w:p>
    <w:p w14:paraId="5F7FAA79" w14:textId="77777777" w:rsidR="00BC5DEE" w:rsidRDefault="00000000">
      <w:pPr>
        <w:spacing w:after="80" w:line="252" w:lineRule="auto"/>
        <w:ind w:left="283" w:hanging="283"/>
      </w:pPr>
      <w:r>
        <w:rPr>
          <w:b/>
        </w:rPr>
        <w:t xml:space="preserve">[1] </w:t>
      </w:r>
      <w:r>
        <w:t>W. Khan, T. Kumar, C. Zhang, K. Raj, A. M. Roy, and B. Luo, “SQL and NoSQL Database Software Architecture Performance Analysis and Assessments—A Systematic Literature Review,” Big Data and Cognitive Computing, vol. 7, no. 2, p. 97, 2023, doi: 10.3390/bdcc7020097. [Online]. Available: https://www.mdpi.com/2504-2289/7/2/97</w:t>
      </w:r>
    </w:p>
    <w:p w14:paraId="3FBBBD46" w14:textId="77777777" w:rsidR="00BC5DEE" w:rsidRDefault="00000000">
      <w:pPr>
        <w:spacing w:after="80" w:line="252" w:lineRule="auto"/>
        <w:ind w:left="283" w:hanging="283"/>
      </w:pPr>
      <w:r>
        <w:rPr>
          <w:b/>
        </w:rPr>
        <w:t xml:space="preserve">[2] </w:t>
      </w:r>
      <w:r>
        <w:t>R. Cattell, “Scalable SQL and NoSQL Data Stores,” ACM SIGMOD Record, vol. 39, no. 4, pp. 12–27, 2011, doi: 10.1145/1978915.1978919. [Online]. Available: https://doi.org/10.1145/1978915.1978919</w:t>
      </w:r>
    </w:p>
    <w:p w14:paraId="2058EDB0" w14:textId="77777777" w:rsidR="00BC5DEE" w:rsidRDefault="00000000">
      <w:pPr>
        <w:spacing w:after="80" w:line="252" w:lineRule="auto"/>
        <w:ind w:left="283" w:hanging="283"/>
      </w:pPr>
      <w:r>
        <w:rPr>
          <w:b/>
        </w:rPr>
        <w:t xml:space="preserve">[3] </w:t>
      </w:r>
      <w:r>
        <w:t>MongoDB Inc., “Database Manual 8.3” and “Release Notes for MongoDB 8.3,” 2026. [Online]. Available: https://www.mongodb.com/docs/v8.3/ and https://www.mongodb.com/docs/manual/release-notes/8.3/</w:t>
      </w:r>
    </w:p>
    <w:p w14:paraId="0EA348D0" w14:textId="77777777" w:rsidR="00BC5DEE" w:rsidRDefault="00000000">
      <w:pPr>
        <w:spacing w:after="80" w:line="252" w:lineRule="auto"/>
        <w:ind w:left="283" w:hanging="283"/>
      </w:pPr>
      <w:r>
        <w:rPr>
          <w:b/>
        </w:rPr>
        <w:t xml:space="preserve">[4] </w:t>
      </w:r>
      <w:r>
        <w:t>PostgreSQL Global Development Group, “PostgreSQL 18.6 Documentation,” 2026. [Online]. Available: https://www.postgresql.org/docs/current/ and “Chapter 13. Concurrency Control,” https://www.postgresql.org/docs/18/mvcc.html</w:t>
      </w:r>
    </w:p>
    <w:p w14:paraId="292D1F2B" w14:textId="77777777" w:rsidR="00BC5DEE" w:rsidRDefault="00000000">
      <w:pPr>
        <w:spacing w:after="80" w:line="252" w:lineRule="auto"/>
        <w:ind w:left="283" w:hanging="283"/>
      </w:pPr>
      <w:r>
        <w:rPr>
          <w:b/>
        </w:rPr>
        <w:t xml:space="preserve">[5] </w:t>
      </w:r>
      <w:r>
        <w:t>G. DeCandia, D. Hastorun, M. Jampani, G. Kakulapati, A. Lakshman, A. Pilchin, S. Sivasubramanian, P. Vosshall, and W. Vogels, “Dynamo: Amazon’s Highly Available Key-value Store,” in Proc. 21st ACM SIGOPS Symp. Operating Systems Principles, 2007, pp. 205–220, doi: 10.1145/1294261.1294281. [Online]. Available: https://doi.org/10.1145/1294261.1294281</w:t>
      </w:r>
    </w:p>
    <w:p w14:paraId="431172A9" w14:textId="77777777" w:rsidR="00BC5DEE" w:rsidRDefault="00000000">
      <w:pPr>
        <w:spacing w:after="80" w:line="252" w:lineRule="auto"/>
        <w:ind w:left="283" w:hanging="283"/>
      </w:pPr>
      <w:r>
        <w:rPr>
          <w:b/>
        </w:rPr>
        <w:t xml:space="preserve">[6] </w:t>
      </w:r>
      <w:r>
        <w:t>F. Chang, J. Dean, S. Ghemawat, W. C. Hsieh, D. A. Wallach, M. Burrows, T. Chandra, A. Fikes, and R. E. Gruber, “Bigtable: A Distributed Storage System for Structured Data,” in Proc. 7th USENIX Symp. Operating Systems Design and Implementation (OSDI), 2006, pp. 205–218. [Online]. Available: https://www.usenix.org/conference/osdi-06/bigtable-distributed-storage-system-structured-data</w:t>
      </w:r>
    </w:p>
    <w:p w14:paraId="0F68A686" w14:textId="77777777" w:rsidR="00BC5DEE" w:rsidRDefault="00000000">
      <w:pPr>
        <w:pStyle w:val="Heading2"/>
      </w:pPr>
      <w:r>
        <w:rPr>
          <w:rFonts w:ascii="Times New Roman" w:eastAsia="Times New Roman" w:hAnsi="Times New Roman"/>
        </w:rPr>
        <w:t>Nguồn tham khảo đã loại khỏi nhóm bằng chứng chính</w:t>
      </w:r>
    </w:p>
    <w:p w14:paraId="3CC91016" w14:textId="77777777" w:rsidR="00BC5DEE" w:rsidRDefault="00000000">
      <w:pPr>
        <w:spacing w:after="80"/>
        <w:ind w:firstLine="425"/>
      </w:pPr>
      <w:r>
        <w:t>Các bài blog/diễn đàn như Stack Overflow, Towards Data Science hoặc các bài “SQL vs NoSQL - cái nào tốt hơn?” không được chọn làm bằng chứng chính khi bài viết không nêu phương pháp đo, dữ liệu thử nghiệm, tác giả/chuyên môn rõ ràng hoặc đã quá cũ. Các nguồn này vẫn có thể dùng để lấy từ khóa hoặc nhận diện tranh luận thực tế, nhưng kết luận cuối cùng được neo vào nguồn học thuật và tài liệu kỹ thuật chính thức.</w:t>
      </w:r>
    </w:p>
    <w:sectPr w:rsidR="00BC5DEE" w:rsidSect="00034616">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A55E" w14:textId="77777777" w:rsidR="00C95E37" w:rsidRDefault="00C95E37">
      <w:pPr>
        <w:spacing w:after="0" w:line="240" w:lineRule="auto"/>
      </w:pPr>
      <w:r>
        <w:separator/>
      </w:r>
    </w:p>
  </w:endnote>
  <w:endnote w:type="continuationSeparator" w:id="0">
    <w:p w14:paraId="5C0CD211" w14:textId="77777777" w:rsidR="00C95E37" w:rsidRDefault="00C95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AEFE5" w14:textId="77777777" w:rsidR="00BC5DEE" w:rsidRDefault="00000000">
    <w:pPr>
      <w:pStyle w:val="Footer"/>
      <w:jc w:val="center"/>
    </w:pPr>
    <w:proofErr w:type="spellStart"/>
    <w:r>
      <w:rPr>
        <w:sz w:val="18"/>
      </w:rPr>
      <w:t>Bài</w:t>
    </w:r>
    <w:proofErr w:type="spellEnd"/>
    <w:r>
      <w:rPr>
        <w:sz w:val="18"/>
      </w:rPr>
      <w:t xml:space="preserve"> 4 - </w:t>
    </w:r>
    <w:proofErr w:type="spellStart"/>
    <w:r>
      <w:rPr>
        <w:sz w:val="18"/>
      </w:rPr>
      <w:t>Đánh</w:t>
    </w:r>
    <w:proofErr w:type="spellEnd"/>
    <w:r>
      <w:rPr>
        <w:sz w:val="18"/>
      </w:rPr>
      <w:t xml:space="preserve"> </w:t>
    </w:r>
    <w:proofErr w:type="spellStart"/>
    <w:r>
      <w:rPr>
        <w:sz w:val="18"/>
      </w:rPr>
      <w:t>giá</w:t>
    </w:r>
    <w:proofErr w:type="spellEnd"/>
    <w:r>
      <w:rPr>
        <w:sz w:val="18"/>
      </w:rPr>
      <w:t xml:space="preserve"> </w:t>
    </w:r>
    <w:proofErr w:type="spellStart"/>
    <w:r>
      <w:rPr>
        <w:sz w:val="18"/>
      </w:rPr>
      <w:t>nguồn</w:t>
    </w:r>
    <w:proofErr w:type="spellEnd"/>
    <w:r>
      <w:rPr>
        <w:sz w:val="18"/>
      </w:rPr>
      <w:t xml:space="preserve"> </w:t>
    </w:r>
    <w:proofErr w:type="spellStart"/>
    <w:r>
      <w:rPr>
        <w:sz w:val="18"/>
      </w:rPr>
      <w:t>thông</w:t>
    </w:r>
    <w:proofErr w:type="spellEnd"/>
    <w:r>
      <w:rPr>
        <w:sz w:val="18"/>
      </w:rPr>
      <w:t xml:space="preserve"> tin SQL vs NoSQL (CRAAP test)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3F8F8" w14:textId="77777777" w:rsidR="00C95E37" w:rsidRDefault="00C95E37">
      <w:pPr>
        <w:spacing w:after="0" w:line="240" w:lineRule="auto"/>
      </w:pPr>
      <w:r>
        <w:separator/>
      </w:r>
    </w:p>
  </w:footnote>
  <w:footnote w:type="continuationSeparator" w:id="0">
    <w:p w14:paraId="66DCC366" w14:textId="77777777" w:rsidR="00C95E37" w:rsidRDefault="00C95E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653402">
    <w:abstractNumId w:val="8"/>
  </w:num>
  <w:num w:numId="2" w16cid:durableId="16546360">
    <w:abstractNumId w:val="6"/>
  </w:num>
  <w:num w:numId="3" w16cid:durableId="1748838120">
    <w:abstractNumId w:val="5"/>
  </w:num>
  <w:num w:numId="4" w16cid:durableId="208802722">
    <w:abstractNumId w:val="4"/>
  </w:num>
  <w:num w:numId="5" w16cid:durableId="1082141899">
    <w:abstractNumId w:val="7"/>
  </w:num>
  <w:num w:numId="6" w16cid:durableId="1122767097">
    <w:abstractNumId w:val="3"/>
  </w:num>
  <w:num w:numId="7" w16cid:durableId="1361738158">
    <w:abstractNumId w:val="2"/>
  </w:num>
  <w:num w:numId="8" w16cid:durableId="1577205043">
    <w:abstractNumId w:val="1"/>
  </w:num>
  <w:num w:numId="9" w16cid:durableId="58141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923"/>
    <w:rsid w:val="0015074B"/>
    <w:rsid w:val="0029639D"/>
    <w:rsid w:val="00326F90"/>
    <w:rsid w:val="00503430"/>
    <w:rsid w:val="005648A4"/>
    <w:rsid w:val="0070455E"/>
    <w:rsid w:val="00AA1D8D"/>
    <w:rsid w:val="00B47730"/>
    <w:rsid w:val="00BC5DEE"/>
    <w:rsid w:val="00C95E37"/>
    <w:rsid w:val="00CB0664"/>
    <w:rsid w:val="00F536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30953"/>
  <w14:defaultImageDpi w14:val="300"/>
  <w15:docId w15:val="{BAEF9B76-F5C8-4974-A934-6D4CBF03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Bài 4 - Đánh giá nguồn thông tin SQL vs NoSQL bằng CRAAP test</vt:lpstr>
    </vt:vector>
  </TitlesOfParts>
  <Manager/>
  <Company/>
  <LinksUpToDate>false</LinksUpToDate>
  <CharactersWithSpaces>10495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 Đánh giá nguồn thông tin SQL vs NoSQL bằng CRAAP test</dc:title>
  <dc:subject>Báo cáo CRAAP SQL vs NoSQL</dc:subject>
  <dc:creator>Huynh Dinh Hoang Linh - B2604654</dc:creator>
  <cp:keywords>CRAAP, SQL, NoSQL, database, IT</cp:keywords>
  <dc:description>generated by python-docx</dc:description>
  <cp:lastModifiedBy>Huynh Dinh Hoang Linh - B2604654</cp:lastModifiedBy>
  <cp:revision>3</cp:revision>
  <dcterms:created xsi:type="dcterms:W3CDTF">2026-10-06T03:53:00Z</dcterms:created>
  <dcterms:modified xsi:type="dcterms:W3CDTF">2026-10-06T04:11:00Z</dcterms:modified>
  <cp:category/>
</cp:coreProperties>
</file>