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Subtitle"/>
        <w:spacing w:after="260" w:before="1400"/>
        <w:jc w:val="center"/>
      </w:pPr>
      <w:r>
        <w:t xml:space="preserve">BIZFLOW AI</w:t>
      </w:r>
    </w:p>
    <w:p>
      <w:pPr>
        <w:pStyle w:val="Title"/>
        <w:spacing w:after="260"/>
        <w:jc w:val="center"/>
      </w:pPr>
      <w:r>
        <w:t xml:space="preserve">Báo cáo tổng quan sản phẩm và định hướng phát triển</w:t>
      </w:r>
    </w:p>
    <w:p>
      <w:pPr>
        <w:spacing w:after="900" w:before="0" w:line="310"/>
        <w:jc w:val="center"/>
      </w:pPr>
      <w:r>
        <w:t xml:space="preserve">Phạm vi đánh giá từ Phase 1 đến Phase 5</w:t>
      </w:r>
    </w:p>
    <w:p>
      <w:pPr>
        <w:pStyle w:val="Heading2"/>
        <w:keepNext/>
        <w:spacing w:after="100" w:before="160"/>
      </w:pPr>
      <w:r>
        <w:t xml:space="preserve">Kết luận chính</w:t>
      </w:r>
    </w:p>
    <w:p>
      <w:pPr>
        <w:spacing w:after="150" w:before="0" w:line="310"/>
      </w:pPr>
      <w:r>
        <w:t xml:space="preserve">BizFlow AI là ứng dụng quản lý khách hàng, dự án, tài liệu kinh doanh và quá trình triển khai dành cho doanh nghiệp dịch vụ. Sản phẩm đã có chuỗi nghiệp vụ liên kết từ tiếp nhận yêu cầu đến theo dõi công việc, thanh toán và lịch sử hoạt động. Nền tảng xác thực, phân quyền và cơ sở dữ liệu PostgreSQL trên Supabase đã sẵn sàng ở môi trường staging.</w:t>
      </w:r>
    </w:p>
    <w:p>
      <w:pPr>
        <w:spacing w:after="150" w:before="0" w:line="310"/>
      </w:pPr>
      <w:r>
        <w:t xml:space="preserve">Việc ưu tiên tiếp theo là hoàn tất kiểm thử có đăng nhập theo từng vai trò, chạy một luồng Gemini thật và bổ sung các năng lực vận hành production trước khi mở rộng thêm tính năng lớn.</w:t>
      </w:r>
    </w:p>
    <w:p>
      <w:pPr>
        <w:spacing w:after="150" w:before="700" w:line="310"/>
        <w:jc w:val="center"/>
      </w:pPr>
      <w:r>
        <w:rPr>
          <w:rFonts w:ascii="Arial" w:cs="Arial" w:eastAsia="Arial" w:hAnsi="Arial"/>
          <w:b/>
          <w:bCs/>
          <w:color w:val="1F2937"/>
          <w:sz w:val="22"/>
          <w:szCs w:val="22"/>
        </w:rPr>
        <w:t xml:space="preserve">Ngày báo cáo  </w:t>
      </w:r>
      <w:r>
        <w:rPr>
          <w:rFonts w:ascii="Arial" w:cs="Arial" w:eastAsia="Arial" w:hAnsi="Arial"/>
          <w:color w:val="64748B"/>
          <w:sz w:val="22"/>
          <w:szCs w:val="22"/>
        </w:rPr>
        <w:t xml:space="preserve">01 tháng 10 năm 2026</w:t>
      </w:r>
    </w:p>
    <w:p>
      <w:r>
        <w:br w:type="page"/>
      </w:r>
    </w:p>
    <w:p>
      <w:pPr>
        <w:pStyle w:val="Heading1"/>
        <w:keepNext/>
        <w:spacing w:after="100" w:before="80"/>
      </w:pPr>
      <w:r>
        <w:t xml:space="preserve">BizFlow AI là gì</w:t>
      </w:r>
    </w:p>
    <w:p>
      <w:pPr>
        <w:spacing w:after="150" w:before="0" w:line="310"/>
      </w:pPr>
      <w:r>
        <w:t xml:space="preserve">BizFlow AI là trợ lý tài liệu và quy trình kinh doanh có AI. Ứng dụng phù hợp với agency, công ty tư vấn, freelancer, doanh nghiệp vừa và nhỏ và các đội cung cấp dịch vụ theo dự án.</w:t>
      </w:r>
    </w:p>
    <w:p>
      <w:pPr>
        <w:spacing w:after="150" w:before="0" w:line="310"/>
      </w:pPr>
      <w:r>
        <w:t xml:space="preserve">Khác với cách lưu tài liệu rời rạc theo thư mục, hệ thống đặt khách hàng và dự án ở trung tâm. Mọi tài liệu, kế hoạch, công việc, khoản thanh toán, lời nhắc và hoạt động đều gắn với đúng ngữ cảnh kinh doanh.</w:t>
      </w:r>
    </w:p>
    <w:p>
      <w:pPr>
        <w:pStyle w:val="Heading2"/>
        <w:keepNext/>
        <w:spacing w:after="100" w:before="160"/>
      </w:pPr>
      <w:r>
        <w:t xml:space="preserve">Mô hình dữ liệu sản phẩm</w:t>
      </w:r>
    </w:p>
    <w:tbl>
      <w:tblPr>
        <w:tblW w:type="pct" w:w="5000"/>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879"/>
        <w:gridCol w:w="3132"/>
        <w:gridCol w:w="5429"/>
      </w:tblGrid>
      <w:tr>
        <w:trPr>
          <w:cantSplit/>
          <w:tblHeader/>
        </w:trPr>
        <w:tc>
          <w:tcPr>
            <w:tcW w:type="pct" w:w="900"/>
            <w:tcBorders>
              <w:top w:val="single" w:color="D9D9D9" w:sz="4"/>
              <w:left w:val="single" w:color="D9D9D9" w:sz="4"/>
              <w:bottom w:val="single" w:color="D9D9D9" w:sz="4"/>
              <w:right w:val="single" w:color="D9D9D9" w:sz="4"/>
            </w:tcBorders>
            <w:shd w:fill="192A56" w:val="clear"/>
            <w:tcMar>
              <w:top w:type="dxa" w:w="120"/>
              <w:left w:type="dxa" w:w="140"/>
              <w:bottom w:type="dxa" w:w="120"/>
              <w:right w:type="dxa" w:w="140"/>
            </w:tcMar>
            <w:vAlign w:val="center"/>
          </w:tcPr>
          <w:p>
            <w:pPr>
              <w:spacing w:after="0" w:before="0" w:line="270"/>
              <w:jc w:val="left"/>
            </w:pPr>
            <w:r>
              <w:rPr>
                <w:rFonts w:ascii="Arial" w:cs="Arial" w:eastAsia="Arial" w:hAnsi="Arial"/>
                <w:b/>
                <w:bCs/>
                <w:color w:val="FFFFFF"/>
                <w:sz w:val="20"/>
                <w:szCs w:val="20"/>
              </w:rPr>
              <w:t xml:space="preserve">Cấp</w:t>
            </w:r>
          </w:p>
        </w:tc>
        <w:tc>
          <w:tcPr>
            <w:tcW w:type="pct" w:w="1500"/>
            <w:tcBorders>
              <w:top w:val="single" w:color="D9D9D9" w:sz="4"/>
              <w:left w:val="single" w:color="D9D9D9" w:sz="4"/>
              <w:bottom w:val="single" w:color="D9D9D9" w:sz="4"/>
              <w:right w:val="single" w:color="D9D9D9" w:sz="4"/>
            </w:tcBorders>
            <w:shd w:fill="192A56" w:val="clear"/>
            <w:tcMar>
              <w:top w:type="dxa" w:w="120"/>
              <w:left w:type="dxa" w:w="140"/>
              <w:bottom w:type="dxa" w:w="120"/>
              <w:right w:type="dxa" w:w="140"/>
            </w:tcMar>
            <w:vAlign w:val="center"/>
          </w:tcPr>
          <w:p>
            <w:pPr>
              <w:spacing w:after="0" w:before="0" w:line="270"/>
              <w:jc w:val="left"/>
            </w:pPr>
            <w:r>
              <w:rPr>
                <w:rFonts w:ascii="Arial" w:cs="Arial" w:eastAsia="Arial" w:hAnsi="Arial"/>
                <w:b/>
                <w:bCs/>
                <w:color w:val="FFFFFF"/>
                <w:sz w:val="20"/>
                <w:szCs w:val="20"/>
              </w:rPr>
              <w:t xml:space="preserve">Đối tượng</w:t>
            </w:r>
          </w:p>
        </w:tc>
        <w:tc>
          <w:tcPr>
            <w:tcW w:type="pct" w:w="2600"/>
            <w:tcBorders>
              <w:top w:val="single" w:color="D9D9D9" w:sz="4"/>
              <w:left w:val="single" w:color="D9D9D9" w:sz="4"/>
              <w:bottom w:val="single" w:color="D9D9D9" w:sz="4"/>
              <w:right w:val="single" w:color="D9D9D9" w:sz="4"/>
            </w:tcBorders>
            <w:shd w:fill="192A56" w:val="clear"/>
            <w:tcMar>
              <w:top w:type="dxa" w:w="120"/>
              <w:left w:type="dxa" w:w="140"/>
              <w:bottom w:type="dxa" w:w="120"/>
              <w:right w:type="dxa" w:w="140"/>
            </w:tcMar>
            <w:vAlign w:val="center"/>
          </w:tcPr>
          <w:p>
            <w:pPr>
              <w:spacing w:after="0" w:before="0" w:line="270"/>
              <w:jc w:val="left"/>
            </w:pPr>
            <w:r>
              <w:rPr>
                <w:rFonts w:ascii="Arial" w:cs="Arial" w:eastAsia="Arial" w:hAnsi="Arial"/>
                <w:b/>
                <w:bCs/>
                <w:color w:val="FFFFFF"/>
                <w:sz w:val="20"/>
                <w:szCs w:val="20"/>
              </w:rPr>
              <w:t xml:space="preserve">Vai trò</w:t>
            </w:r>
          </w:p>
        </w:tc>
      </w:tr>
      <w:tr>
        <w:trPr>
          <w:cantSplit/>
        </w:trPr>
        <w:tc>
          <w:tcPr>
            <w:tcW w:type="pct" w:w="90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Tổ chức</w:t>
            </w:r>
          </w:p>
        </w:tc>
        <w:tc>
          <w:tcPr>
            <w:tcW w:type="pct" w:w="150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Hồ sơ công ty và thành viên</w:t>
            </w:r>
          </w:p>
        </w:tc>
        <w:tc>
          <w:tcPr>
            <w:tcW w:type="pct" w:w="260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Xác định workspace, thông tin doanh nghiệp và quyền truy cập.</w:t>
            </w:r>
          </w:p>
        </w:tc>
      </w:tr>
      <w:tr>
        <w:trPr>
          <w:cantSplit/>
        </w:trPr>
        <w:tc>
          <w:tcPr>
            <w:tcW w:type="pct" w:w="90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Khách hàng</w:t>
            </w:r>
          </w:p>
        </w:tc>
        <w:tc>
          <w:tcPr>
            <w:tcW w:type="pct" w:w="150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Client</w:t>
            </w:r>
          </w:p>
        </w:tc>
        <w:tc>
          <w:tcPr>
            <w:tcW w:type="pct" w:w="260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Lưu thông tin công ty, liên hệ và các dự án liên quan.</w:t>
            </w:r>
          </w:p>
        </w:tc>
      </w:tr>
      <w:tr>
        <w:trPr>
          <w:cantSplit/>
        </w:trPr>
        <w:tc>
          <w:tcPr>
            <w:tcW w:type="pct" w:w="90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Dự án</w:t>
            </w:r>
          </w:p>
        </w:tc>
        <w:tc>
          <w:tcPr>
            <w:tcW w:type="pct" w:w="150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Project</w:t>
            </w:r>
          </w:p>
        </w:tc>
        <w:tc>
          <w:tcPr>
            <w:tcW w:type="pct" w:w="260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Là trung tâm liên kết tài liệu, kế hoạch, tài chính và tiến độ.</w:t>
            </w:r>
          </w:p>
        </w:tc>
      </w:tr>
      <w:tr>
        <w:trPr>
          <w:cantSplit/>
        </w:trPr>
        <w:tc>
          <w:tcPr>
            <w:tcW w:type="pct" w:w="90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Tài liệu</w:t>
            </w:r>
          </w:p>
        </w:tc>
        <w:tc>
          <w:tcPr>
            <w:tcW w:type="pct" w:w="150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Template, Document, Version</w:t>
            </w:r>
          </w:p>
        </w:tc>
        <w:tc>
          <w:tcPr>
            <w:tcW w:type="pct" w:w="260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Tạo nội dung có cấu trúc, kiểm soát phiên bản và phê duyệt.</w:t>
            </w:r>
          </w:p>
        </w:tc>
      </w:tr>
      <w:tr>
        <w:trPr>
          <w:cantSplit/>
        </w:trPr>
        <w:tc>
          <w:tcPr>
            <w:tcW w:type="pct" w:w="90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Thực thi</w:t>
            </w:r>
          </w:p>
        </w:tc>
        <w:tc>
          <w:tcPr>
            <w:tcW w:type="pct" w:w="150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Plan, Task, Payment, Reminder</w:t>
            </w:r>
          </w:p>
        </w:tc>
        <w:tc>
          <w:tcPr>
            <w:tcW w:type="pct" w:w="260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Chuyển cam kết thành công việc, lịch thu tiền và việc cần theo dõi.</w:t>
            </w:r>
          </w:p>
        </w:tc>
      </w:tr>
      <w:tr>
        <w:trPr>
          <w:cantSplit/>
        </w:trPr>
        <w:tc>
          <w:tcPr>
            <w:tcW w:type="pct" w:w="90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Kiểm toán</w:t>
            </w:r>
          </w:p>
        </w:tc>
        <w:tc>
          <w:tcPr>
            <w:tcW w:type="pct" w:w="150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Activity</w:t>
            </w:r>
          </w:p>
        </w:tc>
        <w:tc>
          <w:tcPr>
            <w:tcW w:type="pct" w:w="260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Lưu dấu các thay đổi nghiệp vụ quan trọng.</w:t>
            </w:r>
          </w:p>
        </w:tc>
      </w:tr>
    </w:tbl>
    <w:p>
      <w:pPr>
        <w:pStyle w:val="Heading2"/>
        <w:keepNext/>
        <w:spacing w:after="100" w:before="160"/>
      </w:pPr>
      <w:r>
        <w:t xml:space="preserve">Người dùng mục tiêu</w:t>
      </w:r>
    </w:p>
    <w:p>
      <w:pPr>
        <w:spacing w:after="150" w:before="0" w:line="310"/>
      </w:pPr>
      <w:r>
        <w:t xml:space="preserve">Các tổ chức thường xuyên nhận brief, báo giá, ký hợp đồng và triển khai công việc cho khách hàng sẽ khai thác sản phẩm hiệu quả nhất. Một workspace có thể phục vụ chủ doanh nghiệp, quản lý dự án, nhân viên tài chính, người duyệt tài liệu và thành viên thực thi.</w:t>
      </w:r>
    </w:p>
    <w:p>
      <w:r>
        <w:br w:type="page"/>
      </w:r>
    </w:p>
    <w:p>
      <w:pPr>
        <w:pStyle w:val="Heading1"/>
        <w:keepNext/>
        <w:spacing w:after="100" w:before="80"/>
      </w:pPr>
      <w:r>
        <w:t xml:space="preserve">Ứng dụng làm được những gì</w:t>
      </w:r>
    </w:p>
    <w:p>
      <w:pPr>
        <w:spacing w:after="150" w:before="0" w:line="310"/>
      </w:pPr>
      <w:r>
        <w:t xml:space="preserve">Các chức năng hiện tại đã tạo thành một luồng làm việc hoàn chỉnh. Người dùng vẫn có thể nhập dữ liệu thủ công khi chưa cấu hình Gemini.</w:t>
      </w:r>
    </w:p>
    <w:tbl>
      <w:tblPr>
        <w:tblW w:type="pct" w:w="5000"/>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819"/>
        <w:gridCol w:w="7621"/>
      </w:tblGrid>
      <w:tr>
        <w:trPr>
          <w:cantSplit/>
          <w:tblHeader/>
        </w:trPr>
        <w:tc>
          <w:tcPr>
            <w:tcW w:type="pct" w:w="1350"/>
            <w:tcBorders>
              <w:top w:val="single" w:color="D9D9D9" w:sz="4"/>
              <w:left w:val="single" w:color="D9D9D9" w:sz="4"/>
              <w:bottom w:val="single" w:color="D9D9D9" w:sz="4"/>
              <w:right w:val="single" w:color="D9D9D9" w:sz="4"/>
            </w:tcBorders>
            <w:shd w:fill="192A56" w:val="clear"/>
            <w:tcMar>
              <w:top w:type="dxa" w:w="120"/>
              <w:left w:type="dxa" w:w="140"/>
              <w:bottom w:type="dxa" w:w="120"/>
              <w:right w:type="dxa" w:w="140"/>
            </w:tcMar>
            <w:vAlign w:val="center"/>
          </w:tcPr>
          <w:p>
            <w:pPr>
              <w:spacing w:after="0" w:before="0" w:line="270"/>
              <w:jc w:val="left"/>
            </w:pPr>
            <w:r>
              <w:rPr>
                <w:rFonts w:ascii="Arial" w:cs="Arial" w:eastAsia="Arial" w:hAnsi="Arial"/>
                <w:b/>
                <w:bCs/>
                <w:color w:val="FFFFFF"/>
                <w:sz w:val="20"/>
                <w:szCs w:val="20"/>
              </w:rPr>
              <w:t xml:space="preserve">Nhóm chức năng</w:t>
            </w:r>
          </w:p>
        </w:tc>
        <w:tc>
          <w:tcPr>
            <w:tcW w:type="pct" w:w="3650"/>
            <w:tcBorders>
              <w:top w:val="single" w:color="D9D9D9" w:sz="4"/>
              <w:left w:val="single" w:color="D9D9D9" w:sz="4"/>
              <w:bottom w:val="single" w:color="D9D9D9" w:sz="4"/>
              <w:right w:val="single" w:color="D9D9D9" w:sz="4"/>
            </w:tcBorders>
            <w:shd w:fill="192A56" w:val="clear"/>
            <w:tcMar>
              <w:top w:type="dxa" w:w="120"/>
              <w:left w:type="dxa" w:w="140"/>
              <w:bottom w:type="dxa" w:w="120"/>
              <w:right w:type="dxa" w:w="140"/>
            </w:tcMar>
            <w:vAlign w:val="center"/>
          </w:tcPr>
          <w:p>
            <w:pPr>
              <w:spacing w:after="0" w:before="0" w:line="270"/>
              <w:jc w:val="left"/>
            </w:pPr>
            <w:r>
              <w:rPr>
                <w:rFonts w:ascii="Arial" w:cs="Arial" w:eastAsia="Arial" w:hAnsi="Arial"/>
                <w:b/>
                <w:bCs/>
                <w:color w:val="FFFFFF"/>
                <w:sz w:val="20"/>
                <w:szCs w:val="20"/>
              </w:rPr>
              <w:t xml:space="preserve">Khả năng hiện tại</w:t>
            </w:r>
          </w:p>
        </w:tc>
      </w:tr>
      <w:tr>
        <w:trPr>
          <w:cantSplit/>
        </w:trPr>
        <w:tc>
          <w:tcPr>
            <w:tcW w:type="pct" w:w="135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Trang tổng quan</w:t>
            </w:r>
          </w:p>
        </w:tc>
        <w:tc>
          <w:tcPr>
            <w:tcW w:type="pct" w:w="365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Hiển thị số liệu danh mục, dự án gần đây, công việc quá hạn, khoản cần thu, lời nhắc và hoạt động mới.</w:t>
            </w:r>
          </w:p>
        </w:tc>
      </w:tr>
      <w:tr>
        <w:trPr>
          <w:cantSplit/>
        </w:trPr>
        <w:tc>
          <w:tcPr>
            <w:tcW w:type="pct" w:w="135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Khách hàng và dự án</w:t>
            </w:r>
          </w:p>
        </w:tc>
        <w:tc>
          <w:tcPr>
            <w:tcW w:type="pct" w:w="365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Tìm kiếm, lọc, tạo, chỉnh sửa, xem chi tiết và quản lý các quan hệ liên quan.</w:t>
            </w:r>
          </w:p>
        </w:tc>
      </w:tr>
      <w:tr>
        <w:trPr>
          <w:cantSplit/>
        </w:trPr>
        <w:tc>
          <w:tcPr>
            <w:tcW w:type="pct" w:w="135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Không gian AI</w:t>
            </w:r>
          </w:p>
        </w:tc>
        <w:tc>
          <w:tcPr>
            <w:tcW w:type="pct" w:w="365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Đọc yêu cầu tiếng Việt hoặc tiếng Anh, trích xuất dữ liệu, cảnh báo thiếu hoặc trùng, cho phép sửa rồi mới xác nhận tạo.</w:t>
            </w:r>
          </w:p>
        </w:tc>
      </w:tr>
      <w:tr>
        <w:trPr>
          <w:cantSplit/>
        </w:trPr>
        <w:tc>
          <w:tcPr>
            <w:tcW w:type="pct" w:w="135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Tài liệu và mẫu</w:t>
            </w:r>
          </w:p>
        </w:tc>
        <w:tc>
          <w:tcPr>
            <w:tcW w:type="pct" w:w="365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Tạo đề xuất, báo giá, hợp đồng hoặc tài liệu tùy chỉnh; lưu phiên bản; gửi duyệt; phê duyệt; xuất DOCX và PDF.</w:t>
            </w:r>
          </w:p>
        </w:tc>
      </w:tr>
      <w:tr>
        <w:trPr>
          <w:cantSplit/>
        </w:trPr>
        <w:tc>
          <w:tcPr>
            <w:tcW w:type="pct" w:w="135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Kế hoạch và công việc</w:t>
            </w:r>
          </w:p>
        </w:tc>
        <w:tc>
          <w:tcPr>
            <w:tcW w:type="pct" w:w="365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Tạo bản xem trước kế hoạch, chỉnh cột mốc rồi kích hoạt để sinh công việc và tự tính tiến độ dự án.</w:t>
            </w:r>
          </w:p>
        </w:tc>
      </w:tr>
      <w:tr>
        <w:trPr>
          <w:cantSplit/>
        </w:trPr>
        <w:tc>
          <w:tcPr>
            <w:tcW w:type="pct" w:w="135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Thanh toán và lời nhắc</w:t>
            </w:r>
          </w:p>
        </w:tc>
        <w:tc>
          <w:tcPr>
            <w:tcW w:type="pct" w:w="365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Theo dõi lịch thanh toán, hóa đơn, trạng thái đã thu hoặc quá hạn và các lời nhắc trong ứng dụng.</w:t>
            </w:r>
          </w:p>
        </w:tc>
      </w:tr>
      <w:tr>
        <w:trPr>
          <w:cantSplit/>
        </w:trPr>
        <w:tc>
          <w:tcPr>
            <w:tcW w:type="pct" w:w="135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Thành viên và quyền</w:t>
            </w:r>
          </w:p>
        </w:tc>
        <w:tc>
          <w:tcPr>
            <w:tcW w:type="pct" w:w="365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Mời người dùng, kích hoạt bằng Supabase Auth, phân vai trò và hạn chế thao tác theo năng lực.</w:t>
            </w:r>
          </w:p>
        </w:tc>
      </w:tr>
      <w:tr>
        <w:trPr>
          <w:cantSplit/>
        </w:trPr>
        <w:tc>
          <w:tcPr>
            <w:tcW w:type="pct" w:w="135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Lịch sử hoạt động</w:t>
            </w:r>
          </w:p>
        </w:tc>
        <w:tc>
          <w:tcPr>
            <w:tcW w:type="pct" w:w="365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Theo dõi các thay đổi chính ở cấp tổ chức, khách hàng và dự án.</w:t>
            </w:r>
          </w:p>
        </w:tc>
      </w:tr>
    </w:tbl>
    <w:p>
      <w:pPr>
        <w:pStyle w:val="Heading2"/>
        <w:keepNext/>
        <w:spacing w:after="100" w:before="160"/>
      </w:pPr>
      <w:r>
        <w:t xml:space="preserve">Giá trị sử dụng</w:t>
      </w:r>
    </w:p>
    <w:p>
      <w:pPr>
        <w:spacing w:after="150" w:before="0" w:line="310"/>
      </w:pPr>
      <w:r>
        <w:t xml:space="preserve">BizFlow AI giảm việc nhập lại dữ liệu giữa brief, báo giá, hợp đồng và kế hoạch triển khai. Dữ liệu có cấu trúc giúp dashboard, công việc và tài chính dùng chung một nguồn thông tin thay vì phụ thuộc vào nhiều file riêng lẻ.</w:t>
      </w:r>
    </w:p>
    <w:p>
      <w:r>
        <w:br w:type="page"/>
      </w:r>
    </w:p>
    <w:p>
      <w:pPr>
        <w:pStyle w:val="Heading1"/>
        <w:keepNext/>
        <w:spacing w:after="100" w:before="80"/>
      </w:pPr>
      <w:r>
        <w:t xml:space="preserve">Mô hình vận hành của ứng dụng</w:t>
      </w:r>
    </w:p>
    <w:p>
      <w:pPr>
        <w:spacing w:after="150" w:before="0" w:line="310"/>
      </w:pPr>
      <w:r>
        <w:t xml:space="preserve">Một quy trình tiêu chuẩn gồm tám bước. Tùy tình huống, người dùng có thể bắt đầu bằng nhập thủ công hoặc từ Không gian AI.</w:t>
      </w:r>
    </w:p>
    <w:tbl>
      <w:tblPr>
        <w:tblW w:type="pct" w:w="5000"/>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148"/>
        <w:gridCol w:w="9292"/>
      </w:tblGrid>
      <w:tr>
        <w:trPr>
          <w:cantSplit/>
        </w:trPr>
        <w:tc>
          <w:tcPr>
            <w:tcW w:type="pct" w:w="550"/>
            <w:tcBorders>
              <w:top w:val="single" w:color="D9D9D9" w:sz="4"/>
              <w:left w:val="single" w:color="D9D9D9" w:sz="4"/>
              <w:bottom w:val="single" w:color="D9D9D9" w:sz="4"/>
              <w:right w:val="single" w:color="D9D9D9" w:sz="4"/>
            </w:tcBorders>
            <w:shd w:fill="3656D4" w:val="clear"/>
            <w:tcMar>
              <w:top w:type="dxa" w:w="120"/>
              <w:left w:type="dxa" w:w="140"/>
              <w:bottom w:type="dxa" w:w="120"/>
              <w:right w:type="dxa" w:w="140"/>
            </w:tcMar>
            <w:vAlign w:val="center"/>
          </w:tcPr>
          <w:p>
            <w:pPr>
              <w:spacing w:after="0" w:before="0" w:line="270"/>
              <w:jc w:val="center"/>
            </w:pPr>
            <w:r>
              <w:rPr>
                <w:rFonts w:ascii="Arial" w:cs="Arial" w:eastAsia="Arial" w:hAnsi="Arial"/>
                <w:b/>
                <w:bCs/>
                <w:color w:val="FFFFFF"/>
                <w:sz w:val="22"/>
                <w:szCs w:val="22"/>
              </w:rPr>
              <w:t xml:space="preserve">01</w:t>
            </w:r>
          </w:p>
        </w:tc>
        <w:tc>
          <w:tcPr>
            <w:tcW w:type="pct" w:w="4450"/>
            <w:tcBorders>
              <w:top w:val="single" w:color="D9D9D9" w:sz="4"/>
              <w:left w:val="single" w:color="D9D9D9" w:sz="4"/>
              <w:bottom w:val="single" w:color="D9D9D9" w:sz="4"/>
              <w:right w:val="single" w:color="D9D9D9" w:sz="4"/>
            </w:tcBorders>
            <w:tcMar>
              <w:top w:type="dxa" w:w="120"/>
              <w:left w:type="dxa" w:w="140"/>
              <w:bottom w:type="dxa" w:w="120"/>
              <w:right w:type="dxa" w:w="140"/>
            </w:tcMar>
            <w:vAlign w:val="center"/>
          </w:tcPr>
          <w:p>
            <w:pPr>
              <w:spacing w:after="50" w:before="0" w:line="310"/>
            </w:pPr>
            <w:r>
              <w:rPr>
                <w:rFonts w:ascii="Arial" w:cs="Arial" w:eastAsia="Arial" w:hAnsi="Arial"/>
                <w:b/>
                <w:bCs/>
                <w:color w:val="1F2937"/>
                <w:sz w:val="21"/>
                <w:szCs w:val="21"/>
              </w:rPr>
              <w:t xml:space="preserve">Kích hoạt workspace</w:t>
            </w:r>
          </w:p>
          <w:p>
            <w:pPr>
              <w:spacing w:after="0" w:before="0" w:line="280"/>
            </w:pPr>
            <w:r>
              <w:t xml:space="preserve">Chủ sở hữu đăng ký bằng email đã được mời. Supabase xác thực tài khoản và hệ thống liên kết người dùng với membership đang hoạt động.</w:t>
            </w:r>
          </w:p>
        </w:tc>
      </w:tr>
    </w:tbl>
    <w:p>
      <w:pPr>
        <w:spacing w:after="70" w:before="0" w:line="310"/>
      </w:pPr>
    </w:p>
    <w:tbl>
      <w:tblPr>
        <w:tblW w:type="pct" w:w="5000"/>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148"/>
        <w:gridCol w:w="9292"/>
      </w:tblGrid>
      <w:tr>
        <w:trPr>
          <w:cantSplit/>
        </w:trPr>
        <w:tc>
          <w:tcPr>
            <w:tcW w:type="pct" w:w="550"/>
            <w:tcBorders>
              <w:top w:val="single" w:color="D9D9D9" w:sz="4"/>
              <w:left w:val="single" w:color="D9D9D9" w:sz="4"/>
              <w:bottom w:val="single" w:color="D9D9D9" w:sz="4"/>
              <w:right w:val="single" w:color="D9D9D9" w:sz="4"/>
            </w:tcBorders>
            <w:shd w:fill="3656D4" w:val="clear"/>
            <w:tcMar>
              <w:top w:type="dxa" w:w="120"/>
              <w:left w:type="dxa" w:w="140"/>
              <w:bottom w:type="dxa" w:w="120"/>
              <w:right w:type="dxa" w:w="140"/>
            </w:tcMar>
            <w:vAlign w:val="center"/>
          </w:tcPr>
          <w:p>
            <w:pPr>
              <w:spacing w:after="0" w:before="0" w:line="270"/>
              <w:jc w:val="center"/>
            </w:pPr>
            <w:r>
              <w:rPr>
                <w:rFonts w:ascii="Arial" w:cs="Arial" w:eastAsia="Arial" w:hAnsi="Arial"/>
                <w:b/>
                <w:bCs/>
                <w:color w:val="FFFFFF"/>
                <w:sz w:val="22"/>
                <w:szCs w:val="22"/>
              </w:rPr>
              <w:t xml:space="preserve">02</w:t>
            </w:r>
          </w:p>
        </w:tc>
        <w:tc>
          <w:tcPr>
            <w:tcW w:type="pct" w:w="4450"/>
            <w:tcBorders>
              <w:top w:val="single" w:color="D9D9D9" w:sz="4"/>
              <w:left w:val="single" w:color="D9D9D9" w:sz="4"/>
              <w:bottom w:val="single" w:color="D9D9D9" w:sz="4"/>
              <w:right w:val="single" w:color="D9D9D9" w:sz="4"/>
            </w:tcBorders>
            <w:tcMar>
              <w:top w:type="dxa" w:w="120"/>
              <w:left w:type="dxa" w:w="140"/>
              <w:bottom w:type="dxa" w:w="120"/>
              <w:right w:type="dxa" w:w="140"/>
            </w:tcMar>
            <w:vAlign w:val="center"/>
          </w:tcPr>
          <w:p>
            <w:pPr>
              <w:spacing w:after="50" w:before="0" w:line="310"/>
            </w:pPr>
            <w:r>
              <w:rPr>
                <w:rFonts w:ascii="Arial" w:cs="Arial" w:eastAsia="Arial" w:hAnsi="Arial"/>
                <w:b/>
                <w:bCs/>
                <w:color w:val="1F2937"/>
                <w:sz w:val="21"/>
                <w:szCs w:val="21"/>
              </w:rPr>
              <w:t xml:space="preserve">Thiết lập hồ sơ doanh nghiệp</w:t>
            </w:r>
          </w:p>
          <w:p>
            <w:pPr>
              <w:spacing w:after="0" w:before="0" w:line="280"/>
            </w:pPr>
            <w:r>
              <w:t xml:space="preserve">Người dùng nhập thông tin pháp lý, liên hệ và ngân hàng để tái sử dụng trong tài liệu.</w:t>
            </w:r>
          </w:p>
        </w:tc>
      </w:tr>
    </w:tbl>
    <w:p>
      <w:pPr>
        <w:spacing w:after="70" w:before="0" w:line="310"/>
      </w:pPr>
    </w:p>
    <w:tbl>
      <w:tblPr>
        <w:tblW w:type="pct" w:w="5000"/>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148"/>
        <w:gridCol w:w="9292"/>
      </w:tblGrid>
      <w:tr>
        <w:trPr>
          <w:cantSplit/>
        </w:trPr>
        <w:tc>
          <w:tcPr>
            <w:tcW w:type="pct" w:w="550"/>
            <w:tcBorders>
              <w:top w:val="single" w:color="D9D9D9" w:sz="4"/>
              <w:left w:val="single" w:color="D9D9D9" w:sz="4"/>
              <w:bottom w:val="single" w:color="D9D9D9" w:sz="4"/>
              <w:right w:val="single" w:color="D9D9D9" w:sz="4"/>
            </w:tcBorders>
            <w:shd w:fill="3656D4" w:val="clear"/>
            <w:tcMar>
              <w:top w:type="dxa" w:w="120"/>
              <w:left w:type="dxa" w:w="140"/>
              <w:bottom w:type="dxa" w:w="120"/>
              <w:right w:type="dxa" w:w="140"/>
            </w:tcMar>
            <w:vAlign w:val="center"/>
          </w:tcPr>
          <w:p>
            <w:pPr>
              <w:spacing w:after="0" w:before="0" w:line="270"/>
              <w:jc w:val="center"/>
            </w:pPr>
            <w:r>
              <w:rPr>
                <w:rFonts w:ascii="Arial" w:cs="Arial" w:eastAsia="Arial" w:hAnsi="Arial"/>
                <w:b/>
                <w:bCs/>
                <w:color w:val="FFFFFF"/>
                <w:sz w:val="22"/>
                <w:szCs w:val="22"/>
              </w:rPr>
              <w:t xml:space="preserve">03</w:t>
            </w:r>
          </w:p>
        </w:tc>
        <w:tc>
          <w:tcPr>
            <w:tcW w:type="pct" w:w="4450"/>
            <w:tcBorders>
              <w:top w:val="single" w:color="D9D9D9" w:sz="4"/>
              <w:left w:val="single" w:color="D9D9D9" w:sz="4"/>
              <w:bottom w:val="single" w:color="D9D9D9" w:sz="4"/>
              <w:right w:val="single" w:color="D9D9D9" w:sz="4"/>
            </w:tcBorders>
            <w:tcMar>
              <w:top w:type="dxa" w:w="120"/>
              <w:left w:type="dxa" w:w="140"/>
              <w:bottom w:type="dxa" w:w="120"/>
              <w:right w:type="dxa" w:w="140"/>
            </w:tcMar>
            <w:vAlign w:val="center"/>
          </w:tcPr>
          <w:p>
            <w:pPr>
              <w:spacing w:after="50" w:before="0" w:line="310"/>
            </w:pPr>
            <w:r>
              <w:rPr>
                <w:rFonts w:ascii="Arial" w:cs="Arial" w:eastAsia="Arial" w:hAnsi="Arial"/>
                <w:b/>
                <w:bCs/>
                <w:color w:val="1F2937"/>
                <w:sz w:val="21"/>
                <w:szCs w:val="21"/>
              </w:rPr>
              <w:t xml:space="preserve">Tạo khách hàng và dự án</w:t>
            </w:r>
          </w:p>
          <w:p>
            <w:pPr>
              <w:spacing w:after="0" w:before="0" w:line="280"/>
            </w:pPr>
            <w:r>
              <w:t xml:space="preserve">Dữ liệu được nhập trực tiếp hoặc lấy từ kết quả AI đã được rà soát và xác nhận.</w:t>
            </w:r>
          </w:p>
        </w:tc>
      </w:tr>
    </w:tbl>
    <w:p>
      <w:pPr>
        <w:spacing w:after="70" w:before="0" w:line="310"/>
      </w:pPr>
    </w:p>
    <w:tbl>
      <w:tblPr>
        <w:tblW w:type="pct" w:w="5000"/>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148"/>
        <w:gridCol w:w="9292"/>
      </w:tblGrid>
      <w:tr>
        <w:trPr>
          <w:cantSplit/>
        </w:trPr>
        <w:tc>
          <w:tcPr>
            <w:tcW w:type="pct" w:w="550"/>
            <w:tcBorders>
              <w:top w:val="single" w:color="D9D9D9" w:sz="4"/>
              <w:left w:val="single" w:color="D9D9D9" w:sz="4"/>
              <w:bottom w:val="single" w:color="D9D9D9" w:sz="4"/>
              <w:right w:val="single" w:color="D9D9D9" w:sz="4"/>
            </w:tcBorders>
            <w:shd w:fill="3656D4" w:val="clear"/>
            <w:tcMar>
              <w:top w:type="dxa" w:w="120"/>
              <w:left w:type="dxa" w:w="140"/>
              <w:bottom w:type="dxa" w:w="120"/>
              <w:right w:type="dxa" w:w="140"/>
            </w:tcMar>
            <w:vAlign w:val="center"/>
          </w:tcPr>
          <w:p>
            <w:pPr>
              <w:spacing w:after="0" w:before="0" w:line="270"/>
              <w:jc w:val="center"/>
            </w:pPr>
            <w:r>
              <w:rPr>
                <w:rFonts w:ascii="Arial" w:cs="Arial" w:eastAsia="Arial" w:hAnsi="Arial"/>
                <w:b/>
                <w:bCs/>
                <w:color w:val="FFFFFF"/>
                <w:sz w:val="22"/>
                <w:szCs w:val="22"/>
              </w:rPr>
              <w:t xml:space="preserve">04</w:t>
            </w:r>
          </w:p>
        </w:tc>
        <w:tc>
          <w:tcPr>
            <w:tcW w:type="pct" w:w="4450"/>
            <w:tcBorders>
              <w:top w:val="single" w:color="D9D9D9" w:sz="4"/>
              <w:left w:val="single" w:color="D9D9D9" w:sz="4"/>
              <w:bottom w:val="single" w:color="D9D9D9" w:sz="4"/>
              <w:right w:val="single" w:color="D9D9D9" w:sz="4"/>
            </w:tcBorders>
            <w:tcMar>
              <w:top w:type="dxa" w:w="120"/>
              <w:left w:type="dxa" w:w="140"/>
              <w:bottom w:type="dxa" w:w="120"/>
              <w:right w:type="dxa" w:w="140"/>
            </w:tcMar>
            <w:vAlign w:val="center"/>
          </w:tcPr>
          <w:p>
            <w:pPr>
              <w:spacing w:after="50" w:before="0" w:line="310"/>
            </w:pPr>
            <w:r>
              <w:rPr>
                <w:rFonts w:ascii="Arial" w:cs="Arial" w:eastAsia="Arial" w:hAnsi="Arial"/>
                <w:b/>
                <w:bCs/>
                <w:color w:val="1F2937"/>
                <w:sz w:val="21"/>
                <w:szCs w:val="21"/>
              </w:rPr>
              <w:t xml:space="preserve">Tạo và phê duyệt tài liệu</w:t>
            </w:r>
          </w:p>
          <w:p>
            <w:pPr>
              <w:spacing w:after="0" w:before="0" w:line="280"/>
            </w:pPr>
            <w:r>
              <w:t xml:space="preserve">Người dùng chọn mẫu, chỉnh bản nháp, gửi duyệt và chỉ xuất DOCX hoặc PDF sau khi tài liệu được phê duyệt.</w:t>
            </w:r>
          </w:p>
        </w:tc>
      </w:tr>
    </w:tbl>
    <w:p>
      <w:pPr>
        <w:spacing w:after="70" w:before="0" w:line="310"/>
      </w:pPr>
    </w:p>
    <w:tbl>
      <w:tblPr>
        <w:tblW w:type="pct" w:w="5000"/>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148"/>
        <w:gridCol w:w="9292"/>
      </w:tblGrid>
      <w:tr>
        <w:trPr>
          <w:cantSplit/>
        </w:trPr>
        <w:tc>
          <w:tcPr>
            <w:tcW w:type="pct" w:w="550"/>
            <w:tcBorders>
              <w:top w:val="single" w:color="D9D9D9" w:sz="4"/>
              <w:left w:val="single" w:color="D9D9D9" w:sz="4"/>
              <w:bottom w:val="single" w:color="D9D9D9" w:sz="4"/>
              <w:right w:val="single" w:color="D9D9D9" w:sz="4"/>
            </w:tcBorders>
            <w:shd w:fill="3656D4" w:val="clear"/>
            <w:tcMar>
              <w:top w:type="dxa" w:w="120"/>
              <w:left w:type="dxa" w:w="140"/>
              <w:bottom w:type="dxa" w:w="120"/>
              <w:right w:type="dxa" w:w="140"/>
            </w:tcMar>
            <w:vAlign w:val="center"/>
          </w:tcPr>
          <w:p>
            <w:pPr>
              <w:spacing w:after="0" w:before="0" w:line="270"/>
              <w:jc w:val="center"/>
            </w:pPr>
            <w:r>
              <w:rPr>
                <w:rFonts w:ascii="Arial" w:cs="Arial" w:eastAsia="Arial" w:hAnsi="Arial"/>
                <w:b/>
                <w:bCs/>
                <w:color w:val="FFFFFF"/>
                <w:sz w:val="22"/>
                <w:szCs w:val="22"/>
              </w:rPr>
              <w:t xml:space="preserve">05</w:t>
            </w:r>
          </w:p>
        </w:tc>
        <w:tc>
          <w:tcPr>
            <w:tcW w:type="pct" w:w="4450"/>
            <w:tcBorders>
              <w:top w:val="single" w:color="D9D9D9" w:sz="4"/>
              <w:left w:val="single" w:color="D9D9D9" w:sz="4"/>
              <w:bottom w:val="single" w:color="D9D9D9" w:sz="4"/>
              <w:right w:val="single" w:color="D9D9D9" w:sz="4"/>
            </w:tcBorders>
            <w:tcMar>
              <w:top w:type="dxa" w:w="120"/>
              <w:left w:type="dxa" w:w="140"/>
              <w:bottom w:type="dxa" w:w="120"/>
              <w:right w:type="dxa" w:w="140"/>
            </w:tcMar>
            <w:vAlign w:val="center"/>
          </w:tcPr>
          <w:p>
            <w:pPr>
              <w:spacing w:after="50" w:before="0" w:line="310"/>
            </w:pPr>
            <w:r>
              <w:rPr>
                <w:rFonts w:ascii="Arial" w:cs="Arial" w:eastAsia="Arial" w:hAnsi="Arial"/>
                <w:b/>
                <w:bCs/>
                <w:color w:val="1F2937"/>
                <w:sz w:val="21"/>
                <w:szCs w:val="21"/>
              </w:rPr>
              <w:t xml:space="preserve">Lập kế hoạch triển khai</w:t>
            </w:r>
          </w:p>
          <w:p>
            <w:pPr>
              <w:spacing w:after="0" w:before="0" w:line="280"/>
            </w:pPr>
            <w:r>
              <w:t xml:space="preserve">Hệ thống tạo bản xem trước từ tài liệu đã duyệt hoặc dữ liệu dự án. Người dùng chỉnh các cột mốc, ngày, người phụ trách và tỷ lệ thanh toán.</w:t>
            </w:r>
          </w:p>
        </w:tc>
      </w:tr>
    </w:tbl>
    <w:p>
      <w:pPr>
        <w:spacing w:after="70" w:before="0" w:line="310"/>
      </w:pPr>
    </w:p>
    <w:tbl>
      <w:tblPr>
        <w:tblW w:type="pct" w:w="5000"/>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148"/>
        <w:gridCol w:w="9292"/>
      </w:tblGrid>
      <w:tr>
        <w:trPr>
          <w:cantSplit/>
        </w:trPr>
        <w:tc>
          <w:tcPr>
            <w:tcW w:type="pct" w:w="550"/>
            <w:tcBorders>
              <w:top w:val="single" w:color="D9D9D9" w:sz="4"/>
              <w:left w:val="single" w:color="D9D9D9" w:sz="4"/>
              <w:bottom w:val="single" w:color="D9D9D9" w:sz="4"/>
              <w:right w:val="single" w:color="D9D9D9" w:sz="4"/>
            </w:tcBorders>
            <w:shd w:fill="3656D4" w:val="clear"/>
            <w:tcMar>
              <w:top w:type="dxa" w:w="120"/>
              <w:left w:type="dxa" w:w="140"/>
              <w:bottom w:type="dxa" w:w="120"/>
              <w:right w:type="dxa" w:w="140"/>
            </w:tcMar>
            <w:vAlign w:val="center"/>
          </w:tcPr>
          <w:p>
            <w:pPr>
              <w:spacing w:after="0" w:before="0" w:line="270"/>
              <w:jc w:val="center"/>
            </w:pPr>
            <w:r>
              <w:rPr>
                <w:rFonts w:ascii="Arial" w:cs="Arial" w:eastAsia="Arial" w:hAnsi="Arial"/>
                <w:b/>
                <w:bCs/>
                <w:color w:val="FFFFFF"/>
                <w:sz w:val="22"/>
                <w:szCs w:val="22"/>
              </w:rPr>
              <w:t xml:space="preserve">06</w:t>
            </w:r>
          </w:p>
        </w:tc>
        <w:tc>
          <w:tcPr>
            <w:tcW w:type="pct" w:w="4450"/>
            <w:tcBorders>
              <w:top w:val="single" w:color="D9D9D9" w:sz="4"/>
              <w:left w:val="single" w:color="D9D9D9" w:sz="4"/>
              <w:bottom w:val="single" w:color="D9D9D9" w:sz="4"/>
              <w:right w:val="single" w:color="D9D9D9" w:sz="4"/>
            </w:tcBorders>
            <w:tcMar>
              <w:top w:type="dxa" w:w="120"/>
              <w:left w:type="dxa" w:w="140"/>
              <w:bottom w:type="dxa" w:w="120"/>
              <w:right w:type="dxa" w:w="140"/>
            </w:tcMar>
            <w:vAlign w:val="center"/>
          </w:tcPr>
          <w:p>
            <w:pPr>
              <w:spacing w:after="50" w:before="0" w:line="310"/>
            </w:pPr>
            <w:r>
              <w:rPr>
                <w:rFonts w:ascii="Arial" w:cs="Arial" w:eastAsia="Arial" w:hAnsi="Arial"/>
                <w:b/>
                <w:bCs/>
                <w:color w:val="1F2937"/>
                <w:sz w:val="21"/>
                <w:szCs w:val="21"/>
              </w:rPr>
              <w:t xml:space="preserve">Kích hoạt kế hoạch</w:t>
            </w:r>
          </w:p>
          <w:p>
            <w:pPr>
              <w:spacing w:after="0" w:before="0" w:line="280"/>
            </w:pPr>
            <w:r>
              <w:t xml:space="preserve">Một transaction tạo công việc, cột mốc thanh toán và lời nhắc đồng bộ.</w:t>
            </w:r>
          </w:p>
        </w:tc>
      </w:tr>
    </w:tbl>
    <w:p>
      <w:pPr>
        <w:spacing w:after="70" w:before="0" w:line="310"/>
      </w:pPr>
    </w:p>
    <w:tbl>
      <w:tblPr>
        <w:tblW w:type="pct" w:w="5000"/>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148"/>
        <w:gridCol w:w="9292"/>
      </w:tblGrid>
      <w:tr>
        <w:trPr>
          <w:cantSplit/>
        </w:trPr>
        <w:tc>
          <w:tcPr>
            <w:tcW w:type="pct" w:w="550"/>
            <w:tcBorders>
              <w:top w:val="single" w:color="D9D9D9" w:sz="4"/>
              <w:left w:val="single" w:color="D9D9D9" w:sz="4"/>
              <w:bottom w:val="single" w:color="D9D9D9" w:sz="4"/>
              <w:right w:val="single" w:color="D9D9D9" w:sz="4"/>
            </w:tcBorders>
            <w:shd w:fill="3656D4" w:val="clear"/>
            <w:tcMar>
              <w:top w:type="dxa" w:w="120"/>
              <w:left w:type="dxa" w:w="140"/>
              <w:bottom w:type="dxa" w:w="120"/>
              <w:right w:type="dxa" w:w="140"/>
            </w:tcMar>
            <w:vAlign w:val="center"/>
          </w:tcPr>
          <w:p>
            <w:pPr>
              <w:spacing w:after="0" w:before="0" w:line="270"/>
              <w:jc w:val="center"/>
            </w:pPr>
            <w:r>
              <w:rPr>
                <w:rFonts w:ascii="Arial" w:cs="Arial" w:eastAsia="Arial" w:hAnsi="Arial"/>
                <w:b/>
                <w:bCs/>
                <w:color w:val="FFFFFF"/>
                <w:sz w:val="22"/>
                <w:szCs w:val="22"/>
              </w:rPr>
              <w:t xml:space="preserve">07</w:t>
            </w:r>
          </w:p>
        </w:tc>
        <w:tc>
          <w:tcPr>
            <w:tcW w:type="pct" w:w="4450"/>
            <w:tcBorders>
              <w:top w:val="single" w:color="D9D9D9" w:sz="4"/>
              <w:left w:val="single" w:color="D9D9D9" w:sz="4"/>
              <w:bottom w:val="single" w:color="D9D9D9" w:sz="4"/>
              <w:right w:val="single" w:color="D9D9D9" w:sz="4"/>
            </w:tcBorders>
            <w:tcMar>
              <w:top w:type="dxa" w:w="120"/>
              <w:left w:type="dxa" w:w="140"/>
              <w:bottom w:type="dxa" w:w="120"/>
              <w:right w:type="dxa" w:w="140"/>
            </w:tcMar>
            <w:vAlign w:val="center"/>
          </w:tcPr>
          <w:p>
            <w:pPr>
              <w:spacing w:after="50" w:before="0" w:line="310"/>
            </w:pPr>
            <w:r>
              <w:rPr>
                <w:rFonts w:ascii="Arial" w:cs="Arial" w:eastAsia="Arial" w:hAnsi="Arial"/>
                <w:b/>
                <w:bCs/>
                <w:color w:val="1F2937"/>
                <w:sz w:val="21"/>
                <w:szCs w:val="21"/>
              </w:rPr>
              <w:t xml:space="preserve">Theo dõi thực hiện</w:t>
            </w:r>
          </w:p>
          <w:p>
            <w:pPr>
              <w:spacing w:after="0" w:before="0" w:line="280"/>
            </w:pPr>
            <w:r>
              <w:t xml:space="preserve">Trạng thái công việc cập nhật tiến độ dự án. Trang danh mục tổng hợp việc quá hạn, khoản cần thu và lời nhắc mở.</w:t>
            </w:r>
          </w:p>
        </w:tc>
      </w:tr>
    </w:tbl>
    <w:p>
      <w:pPr>
        <w:spacing w:after="70" w:before="0" w:line="310"/>
      </w:pPr>
    </w:p>
    <w:tbl>
      <w:tblPr>
        <w:tblW w:type="pct" w:w="5000"/>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148"/>
        <w:gridCol w:w="9292"/>
      </w:tblGrid>
      <w:tr>
        <w:trPr>
          <w:cantSplit/>
        </w:trPr>
        <w:tc>
          <w:tcPr>
            <w:tcW w:type="pct" w:w="550"/>
            <w:tcBorders>
              <w:top w:val="single" w:color="D9D9D9" w:sz="4"/>
              <w:left w:val="single" w:color="D9D9D9" w:sz="4"/>
              <w:bottom w:val="single" w:color="D9D9D9" w:sz="4"/>
              <w:right w:val="single" w:color="D9D9D9" w:sz="4"/>
            </w:tcBorders>
            <w:shd w:fill="3656D4" w:val="clear"/>
            <w:tcMar>
              <w:top w:type="dxa" w:w="120"/>
              <w:left w:type="dxa" w:w="140"/>
              <w:bottom w:type="dxa" w:w="120"/>
              <w:right w:type="dxa" w:w="140"/>
            </w:tcMar>
            <w:vAlign w:val="center"/>
          </w:tcPr>
          <w:p>
            <w:pPr>
              <w:spacing w:after="0" w:before="0" w:line="270"/>
              <w:jc w:val="center"/>
            </w:pPr>
            <w:r>
              <w:rPr>
                <w:rFonts w:ascii="Arial" w:cs="Arial" w:eastAsia="Arial" w:hAnsi="Arial"/>
                <w:b/>
                <w:bCs/>
                <w:color w:val="FFFFFF"/>
                <w:sz w:val="22"/>
                <w:szCs w:val="22"/>
              </w:rPr>
              <w:t xml:space="preserve">08</w:t>
            </w:r>
          </w:p>
        </w:tc>
        <w:tc>
          <w:tcPr>
            <w:tcW w:type="pct" w:w="4450"/>
            <w:tcBorders>
              <w:top w:val="single" w:color="D9D9D9" w:sz="4"/>
              <w:left w:val="single" w:color="D9D9D9" w:sz="4"/>
              <w:bottom w:val="single" w:color="D9D9D9" w:sz="4"/>
              <w:right w:val="single" w:color="D9D9D9" w:sz="4"/>
            </w:tcBorders>
            <w:tcMar>
              <w:top w:type="dxa" w:w="120"/>
              <w:left w:type="dxa" w:w="140"/>
              <w:bottom w:type="dxa" w:w="120"/>
              <w:right w:type="dxa" w:w="140"/>
            </w:tcMar>
            <w:vAlign w:val="center"/>
          </w:tcPr>
          <w:p>
            <w:pPr>
              <w:spacing w:after="50" w:before="0" w:line="310"/>
            </w:pPr>
            <w:r>
              <w:rPr>
                <w:rFonts w:ascii="Arial" w:cs="Arial" w:eastAsia="Arial" w:hAnsi="Arial"/>
                <w:b/>
                <w:bCs/>
                <w:color w:val="1F2937"/>
                <w:sz w:val="21"/>
                <w:szCs w:val="21"/>
              </w:rPr>
              <w:t xml:space="preserve">Kiểm tra lịch sử</w:t>
            </w:r>
          </w:p>
          <w:p>
            <w:pPr>
              <w:spacing w:after="0" w:before="0" w:line="280"/>
            </w:pPr>
            <w:r>
              <w:t xml:space="preserve">Activity ghi lại các thay đổi quan trọng để người quản lý có thể truy vết.</w:t>
            </w:r>
          </w:p>
        </w:tc>
      </w:tr>
    </w:tbl>
    <w:p>
      <w:r>
        <w:br w:type="page"/>
      </w:r>
    </w:p>
    <w:p>
      <w:pPr>
        <w:pStyle w:val="Heading1"/>
        <w:keepNext/>
        <w:spacing w:after="100" w:before="80"/>
      </w:pPr>
      <w:r>
        <w:t xml:space="preserve">Mô hình AI và cơ chế kiểm soát</w:t>
      </w:r>
    </w:p>
    <w:p>
      <w:pPr>
        <w:spacing w:after="150" w:before="0" w:line="310"/>
      </w:pPr>
      <w:r>
        <w:t xml:space="preserve">Gemini hỗ trợ biến yêu cầu kinh doanh tự nhiên thành dữ liệu có cấu trúc. AI không được phép ghi trực tiếp vào cơ sở dữ liệu.</w:t>
      </w:r>
    </w:p>
    <w:tbl>
      <w:tblPr>
        <w:tblW w:type="pct" w:w="5000"/>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044"/>
        <w:gridCol w:w="5011"/>
        <w:gridCol w:w="4385"/>
      </w:tblGrid>
      <w:tr>
        <w:trPr>
          <w:cantSplit/>
          <w:tblHeader/>
        </w:trPr>
        <w:tc>
          <w:tcPr>
            <w:tcW w:type="pct" w:w="500"/>
            <w:tcBorders>
              <w:top w:val="single" w:color="D9D9D9" w:sz="4"/>
              <w:left w:val="single" w:color="D9D9D9" w:sz="4"/>
              <w:bottom w:val="single" w:color="D9D9D9" w:sz="4"/>
              <w:right w:val="single" w:color="D9D9D9" w:sz="4"/>
            </w:tcBorders>
            <w:shd w:fill="192A56" w:val="clear"/>
            <w:tcMar>
              <w:top w:type="dxa" w:w="120"/>
              <w:left w:type="dxa" w:w="140"/>
              <w:bottom w:type="dxa" w:w="120"/>
              <w:right w:type="dxa" w:w="140"/>
            </w:tcMar>
            <w:vAlign w:val="center"/>
          </w:tcPr>
          <w:p>
            <w:pPr>
              <w:spacing w:after="0" w:before="0" w:line="270"/>
              <w:jc w:val="left"/>
            </w:pPr>
            <w:r>
              <w:rPr>
                <w:rFonts w:ascii="Arial" w:cs="Arial" w:eastAsia="Arial" w:hAnsi="Arial"/>
                <w:b/>
                <w:bCs/>
                <w:color w:val="FFFFFF"/>
                <w:sz w:val="20"/>
                <w:szCs w:val="20"/>
              </w:rPr>
              <w:t xml:space="preserve">Bước</w:t>
            </w:r>
          </w:p>
        </w:tc>
        <w:tc>
          <w:tcPr>
            <w:tcW w:type="pct" w:w="2400"/>
            <w:tcBorders>
              <w:top w:val="single" w:color="D9D9D9" w:sz="4"/>
              <w:left w:val="single" w:color="D9D9D9" w:sz="4"/>
              <w:bottom w:val="single" w:color="D9D9D9" w:sz="4"/>
              <w:right w:val="single" w:color="D9D9D9" w:sz="4"/>
            </w:tcBorders>
            <w:shd w:fill="192A56" w:val="clear"/>
            <w:tcMar>
              <w:top w:type="dxa" w:w="120"/>
              <w:left w:type="dxa" w:w="140"/>
              <w:bottom w:type="dxa" w:w="120"/>
              <w:right w:type="dxa" w:w="140"/>
            </w:tcMar>
            <w:vAlign w:val="center"/>
          </w:tcPr>
          <w:p>
            <w:pPr>
              <w:spacing w:after="0" w:before="0" w:line="270"/>
              <w:jc w:val="left"/>
            </w:pPr>
            <w:r>
              <w:rPr>
                <w:rFonts w:ascii="Arial" w:cs="Arial" w:eastAsia="Arial" w:hAnsi="Arial"/>
                <w:b/>
                <w:bCs/>
                <w:color w:val="FFFFFF"/>
                <w:sz w:val="20"/>
                <w:szCs w:val="20"/>
              </w:rPr>
              <w:t xml:space="preserve">Xử lý</w:t>
            </w:r>
          </w:p>
        </w:tc>
        <w:tc>
          <w:tcPr>
            <w:tcW w:type="pct" w:w="2100"/>
            <w:tcBorders>
              <w:top w:val="single" w:color="D9D9D9" w:sz="4"/>
              <w:left w:val="single" w:color="D9D9D9" w:sz="4"/>
              <w:bottom w:val="single" w:color="D9D9D9" w:sz="4"/>
              <w:right w:val="single" w:color="D9D9D9" w:sz="4"/>
            </w:tcBorders>
            <w:shd w:fill="192A56" w:val="clear"/>
            <w:tcMar>
              <w:top w:type="dxa" w:w="120"/>
              <w:left w:type="dxa" w:w="140"/>
              <w:bottom w:type="dxa" w:w="120"/>
              <w:right w:type="dxa" w:w="140"/>
            </w:tcMar>
            <w:vAlign w:val="center"/>
          </w:tcPr>
          <w:p>
            <w:pPr>
              <w:spacing w:after="0" w:before="0" w:line="270"/>
              <w:jc w:val="left"/>
            </w:pPr>
            <w:r>
              <w:rPr>
                <w:rFonts w:ascii="Arial" w:cs="Arial" w:eastAsia="Arial" w:hAnsi="Arial"/>
                <w:b/>
                <w:bCs/>
                <w:color w:val="FFFFFF"/>
                <w:sz w:val="20"/>
                <w:szCs w:val="20"/>
              </w:rPr>
              <w:t xml:space="preserve">Kiểm soát</w:t>
            </w:r>
          </w:p>
        </w:tc>
      </w:tr>
      <w:tr>
        <w:trPr>
          <w:cantSplit/>
        </w:trPr>
        <w:tc>
          <w:tcPr>
            <w:tcW w:type="pct" w:w="50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1</w:t>
            </w:r>
          </w:p>
        </w:tc>
        <w:tc>
          <w:tcPr>
            <w:tcW w:type="pct" w:w="240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Người dùng nhập yêu cầu</w:t>
            </w:r>
          </w:p>
        </w:tc>
        <w:tc>
          <w:tcPr>
            <w:tcW w:type="pct" w:w="210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Kiểm tra quyền trước khi gọi nhà cung cấp.</w:t>
            </w:r>
          </w:p>
        </w:tc>
      </w:tr>
      <w:tr>
        <w:trPr>
          <w:cantSplit/>
        </w:trPr>
        <w:tc>
          <w:tcPr>
            <w:tcW w:type="pct" w:w="50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2</w:t>
            </w:r>
          </w:p>
        </w:tc>
        <w:tc>
          <w:tcPr>
            <w:tcW w:type="pct" w:w="240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Gemini trả JSON theo schema</w:t>
            </w:r>
          </w:p>
        </w:tc>
        <w:tc>
          <w:tcPr>
            <w:tcW w:type="pct" w:w="210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Khóa API chỉ tồn tại phía máy chủ.</w:t>
            </w:r>
          </w:p>
        </w:tc>
      </w:tr>
      <w:tr>
        <w:trPr>
          <w:cantSplit/>
        </w:trPr>
        <w:tc>
          <w:tcPr>
            <w:tcW w:type="pct" w:w="50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3</w:t>
            </w:r>
          </w:p>
        </w:tc>
        <w:tc>
          <w:tcPr>
            <w:tcW w:type="pct" w:w="240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Hệ thống parse và kiểm tra Zod</w:t>
            </w:r>
          </w:p>
        </w:tc>
        <w:tc>
          <w:tcPr>
            <w:tcW w:type="pct" w:w="210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Kết quả sai được sửa tự động tối đa một lần.</w:t>
            </w:r>
          </w:p>
        </w:tc>
      </w:tr>
      <w:tr>
        <w:trPr>
          <w:cantSplit/>
        </w:trPr>
        <w:tc>
          <w:tcPr>
            <w:tcW w:type="pct" w:w="50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4</w:t>
            </w:r>
          </w:p>
        </w:tc>
        <w:tc>
          <w:tcPr>
            <w:tcW w:type="pct" w:w="240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Chuẩn hóa và tính dữ liệu dẫn xuất</w:t>
            </w:r>
          </w:p>
        </w:tc>
        <w:tc>
          <w:tcPr>
            <w:tcW w:type="pct" w:w="210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Chưa có thao tác ghi dữ liệu.</w:t>
            </w:r>
          </w:p>
        </w:tc>
      </w:tr>
      <w:tr>
        <w:trPr>
          <w:cantSplit/>
        </w:trPr>
        <w:tc>
          <w:tcPr>
            <w:tcW w:type="pct" w:w="50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5</w:t>
            </w:r>
          </w:p>
        </w:tc>
        <w:tc>
          <w:tcPr>
            <w:tcW w:type="pct" w:w="240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Người dùng xem và chỉnh sửa</w:t>
            </w:r>
          </w:p>
        </w:tc>
        <w:tc>
          <w:tcPr>
            <w:tcW w:type="pct" w:w="210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Hiển thị thông tin thiếu và khách hàng có thể trùng.</w:t>
            </w:r>
          </w:p>
        </w:tc>
      </w:tr>
      <w:tr>
        <w:trPr>
          <w:cantSplit/>
        </w:trPr>
        <w:tc>
          <w:tcPr>
            <w:tcW w:type="pct" w:w="50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6</w:t>
            </w:r>
          </w:p>
        </w:tc>
        <w:tc>
          <w:tcPr>
            <w:tcW w:type="pct" w:w="240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Người dùng xác nhận</w:t>
            </w:r>
          </w:p>
        </w:tc>
        <w:tc>
          <w:tcPr>
            <w:tcW w:type="pct" w:w="210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Máy chủ kiểm tra lại trường dữ liệu, quyền và tổ chức.</w:t>
            </w:r>
          </w:p>
        </w:tc>
      </w:tr>
      <w:tr>
        <w:trPr>
          <w:cantSplit/>
        </w:trPr>
        <w:tc>
          <w:tcPr>
            <w:tcW w:type="pct" w:w="50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7</w:t>
            </w:r>
          </w:p>
        </w:tc>
        <w:tc>
          <w:tcPr>
            <w:tcW w:type="pct" w:w="240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Prisma transaction tạo bản ghi</w:t>
            </w:r>
          </w:p>
        </w:tc>
        <w:tc>
          <w:tcPr>
            <w:tcW w:type="pct" w:w="210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Nếu một bước lỗi, toàn bộ thay đổi bị hủy.</w:t>
            </w:r>
          </w:p>
        </w:tc>
      </w:tr>
    </w:tbl>
    <w:p>
      <w:pPr>
        <w:pStyle w:val="Heading2"/>
        <w:keepNext/>
        <w:spacing w:after="100" w:before="160"/>
      </w:pPr>
      <w:r>
        <w:t xml:space="preserve">Nguyên tắc an toàn</w:t>
      </w:r>
    </w:p>
    <w:p>
      <w:pPr>
        <w:spacing w:after="150" w:before="0" w:line="310"/>
      </w:pPr>
      <w:r>
        <w:t xml:space="preserve">Đầu ra AI chỉ là bản đề xuất. Quy trình bắt buộc phải đi qua kiểm tra schema, chuẩn hóa, màn hình rà soát và xác nhận rõ ràng. Thiết kế này giảm nguy cơ tạo sai khách hàng, dự án hoặc dữ liệu tài chính do phản hồi không chính xác từ nhà cung cấp AI.</w:t>
      </w:r>
    </w:p>
    <w:p>
      <w:pPr>
        <w:pStyle w:val="Heading2"/>
        <w:keepNext/>
        <w:spacing w:after="100" w:before="160"/>
      </w:pPr>
      <w:r>
        <w:t xml:space="preserve">Trạng thái tích hợp</w:t>
      </w:r>
    </w:p>
    <w:p>
      <w:pPr>
        <w:spacing w:after="150" w:before="0" w:line="310"/>
      </w:pPr>
      <w:r>
        <w:t xml:space="preserve">Kiến trúc AI dùng giao diện AIProvider nên phần nghiệp vụ không phụ thuộc trực tiếp vào SDK Gemini. Chức năng AI cần biến GEMINI_API_KEY ở máy chủ. Khóa thật chưa được cấu hình trong môi trường kiểm thử hiện tại, vì vậy luồng Gemini trực tiếp vẫn cần được chạy xác nhận.</w:t>
      </w:r>
    </w:p>
    <w:p>
      <w:r>
        <w:br w:type="page"/>
      </w:r>
    </w:p>
    <w:p>
      <w:pPr>
        <w:pStyle w:val="Heading1"/>
        <w:keepNext/>
        <w:spacing w:after="100" w:before="80"/>
      </w:pPr>
      <w:r>
        <w:t xml:space="preserve">Mô hình kỹ thuật và bảo mật</w:t>
      </w:r>
    </w:p>
    <w:p>
      <w:pPr>
        <w:spacing w:after="150" w:before="0" w:line="310"/>
      </w:pPr>
      <w:r>
        <w:t xml:space="preserve">Ứng dụng dùng Next.js 16 App Router, React 19, TypeScript nghiêm ngặt, Tailwind CSS 4, Prisma 6 và Zod. SQLite phục vụ phát triển cục bộ; PostgreSQL trên Supabase phục vụ staging và hướng tới production.</w:t>
      </w:r>
    </w:p>
    <w:tbl>
      <w:tblPr>
        <w:tblW w:type="pct" w:w="5000"/>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088"/>
        <w:gridCol w:w="3445"/>
        <w:gridCol w:w="4907"/>
      </w:tblGrid>
      <w:tr>
        <w:trPr>
          <w:cantSplit/>
          <w:tblHeader/>
        </w:trPr>
        <w:tc>
          <w:tcPr>
            <w:tcW w:type="pct" w:w="1000"/>
            <w:tcBorders>
              <w:top w:val="single" w:color="D9D9D9" w:sz="4"/>
              <w:left w:val="single" w:color="D9D9D9" w:sz="4"/>
              <w:bottom w:val="single" w:color="D9D9D9" w:sz="4"/>
              <w:right w:val="single" w:color="D9D9D9" w:sz="4"/>
            </w:tcBorders>
            <w:shd w:fill="192A56" w:val="clear"/>
            <w:tcMar>
              <w:top w:type="dxa" w:w="120"/>
              <w:left w:type="dxa" w:w="140"/>
              <w:bottom w:type="dxa" w:w="120"/>
              <w:right w:type="dxa" w:w="140"/>
            </w:tcMar>
            <w:vAlign w:val="center"/>
          </w:tcPr>
          <w:p>
            <w:pPr>
              <w:spacing w:after="0" w:before="0" w:line="270"/>
              <w:jc w:val="left"/>
            </w:pPr>
            <w:r>
              <w:rPr>
                <w:rFonts w:ascii="Arial" w:cs="Arial" w:eastAsia="Arial" w:hAnsi="Arial"/>
                <w:b/>
                <w:bCs/>
                <w:color w:val="FFFFFF"/>
                <w:sz w:val="20"/>
                <w:szCs w:val="20"/>
              </w:rPr>
              <w:t xml:space="preserve">Lớp</w:t>
            </w:r>
          </w:p>
        </w:tc>
        <w:tc>
          <w:tcPr>
            <w:tcW w:type="pct" w:w="1650"/>
            <w:tcBorders>
              <w:top w:val="single" w:color="D9D9D9" w:sz="4"/>
              <w:left w:val="single" w:color="D9D9D9" w:sz="4"/>
              <w:bottom w:val="single" w:color="D9D9D9" w:sz="4"/>
              <w:right w:val="single" w:color="D9D9D9" w:sz="4"/>
            </w:tcBorders>
            <w:shd w:fill="192A56" w:val="clear"/>
            <w:tcMar>
              <w:top w:type="dxa" w:w="120"/>
              <w:left w:type="dxa" w:w="140"/>
              <w:bottom w:type="dxa" w:w="120"/>
              <w:right w:type="dxa" w:w="140"/>
            </w:tcMar>
            <w:vAlign w:val="center"/>
          </w:tcPr>
          <w:p>
            <w:pPr>
              <w:spacing w:after="0" w:before="0" w:line="270"/>
              <w:jc w:val="left"/>
            </w:pPr>
            <w:r>
              <w:rPr>
                <w:rFonts w:ascii="Arial" w:cs="Arial" w:eastAsia="Arial" w:hAnsi="Arial"/>
                <w:b/>
                <w:bCs/>
                <w:color w:val="FFFFFF"/>
                <w:sz w:val="20"/>
                <w:szCs w:val="20"/>
              </w:rPr>
              <w:t xml:space="preserve">Công nghệ</w:t>
            </w:r>
          </w:p>
        </w:tc>
        <w:tc>
          <w:tcPr>
            <w:tcW w:type="pct" w:w="2350"/>
            <w:tcBorders>
              <w:top w:val="single" w:color="D9D9D9" w:sz="4"/>
              <w:left w:val="single" w:color="D9D9D9" w:sz="4"/>
              <w:bottom w:val="single" w:color="D9D9D9" w:sz="4"/>
              <w:right w:val="single" w:color="D9D9D9" w:sz="4"/>
            </w:tcBorders>
            <w:shd w:fill="192A56" w:val="clear"/>
            <w:tcMar>
              <w:top w:type="dxa" w:w="120"/>
              <w:left w:type="dxa" w:w="140"/>
              <w:bottom w:type="dxa" w:w="120"/>
              <w:right w:type="dxa" w:w="140"/>
            </w:tcMar>
            <w:vAlign w:val="center"/>
          </w:tcPr>
          <w:p>
            <w:pPr>
              <w:spacing w:after="0" w:before="0" w:line="270"/>
              <w:jc w:val="left"/>
            </w:pPr>
            <w:r>
              <w:rPr>
                <w:rFonts w:ascii="Arial" w:cs="Arial" w:eastAsia="Arial" w:hAnsi="Arial"/>
                <w:b/>
                <w:bCs/>
                <w:color w:val="FFFFFF"/>
                <w:sz w:val="20"/>
                <w:szCs w:val="20"/>
              </w:rPr>
              <w:t xml:space="preserve">Trách nhiệm</w:t>
            </w:r>
          </w:p>
        </w:tc>
      </w:tr>
      <w:tr>
        <w:trPr>
          <w:cantSplit/>
        </w:trPr>
        <w:tc>
          <w:tcPr>
            <w:tcW w:type="pct" w:w="100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Giao diện</w:t>
            </w:r>
          </w:p>
        </w:tc>
        <w:tc>
          <w:tcPr>
            <w:tcW w:type="pct" w:w="165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Next.js, React, Tailwind</w:t>
            </w:r>
          </w:p>
        </w:tc>
        <w:tc>
          <w:tcPr>
            <w:tcW w:type="pct" w:w="235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Trang, biểu mẫu, điều hướng và trải nghiệm responsive.</w:t>
            </w:r>
          </w:p>
        </w:tc>
      </w:tr>
      <w:tr>
        <w:trPr>
          <w:cantSplit/>
        </w:trPr>
        <w:tc>
          <w:tcPr>
            <w:tcW w:type="pct" w:w="100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Ứng dụng máy chủ</w:t>
            </w:r>
          </w:p>
        </w:tc>
        <w:tc>
          <w:tcPr>
            <w:tcW w:type="pct" w:w="165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Server Components và Server Actions</w:t>
            </w:r>
          </w:p>
        </w:tc>
        <w:tc>
          <w:tcPr>
            <w:tcW w:type="pct" w:w="235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Đọc dữ liệu, thực hiện thay đổi, kiểm tra quyền và cập nhật route.</w:t>
            </w:r>
          </w:p>
        </w:tc>
      </w:tr>
      <w:tr>
        <w:trPr>
          <w:cantSplit/>
        </w:trPr>
        <w:tc>
          <w:tcPr>
            <w:tcW w:type="pct" w:w="100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Dữ liệu</w:t>
            </w:r>
          </w:p>
        </w:tc>
        <w:tc>
          <w:tcPr>
            <w:tcW w:type="pct" w:w="165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Prisma, SQLite, PostgreSQL</w:t>
            </w:r>
          </w:p>
        </w:tc>
        <w:tc>
          <w:tcPr>
            <w:tcW w:type="pct" w:w="235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Mô hình quan hệ, transaction, migration và truy vấn theo tổ chức.</w:t>
            </w:r>
          </w:p>
        </w:tc>
      </w:tr>
      <w:tr>
        <w:trPr>
          <w:cantSplit/>
        </w:trPr>
        <w:tc>
          <w:tcPr>
            <w:tcW w:type="pct" w:w="100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Xác thực</w:t>
            </w:r>
          </w:p>
        </w:tc>
        <w:tc>
          <w:tcPr>
            <w:tcW w:type="pct" w:w="165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Supabase SSR Auth</w:t>
            </w:r>
          </w:p>
        </w:tc>
        <w:tc>
          <w:tcPr>
            <w:tcW w:type="pct" w:w="235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Đăng ký theo lời mời, đăng nhập, callback, cookie và claims.</w:t>
            </w:r>
          </w:p>
        </w:tc>
      </w:tr>
      <w:tr>
        <w:trPr>
          <w:cantSplit/>
        </w:trPr>
        <w:tc>
          <w:tcPr>
            <w:tcW w:type="pct" w:w="100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AI</w:t>
            </w:r>
          </w:p>
        </w:tc>
        <w:tc>
          <w:tcPr>
            <w:tcW w:type="pct" w:w="165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Google Gemini qua AIProvider</w:t>
            </w:r>
          </w:p>
        </w:tc>
        <w:tc>
          <w:tcPr>
            <w:tcW w:type="pct" w:w="235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Trích xuất dữ liệu có cấu trúc phía máy chủ.</w:t>
            </w:r>
          </w:p>
        </w:tc>
      </w:tr>
      <w:tr>
        <w:trPr>
          <w:cantSplit/>
        </w:trPr>
        <w:tc>
          <w:tcPr>
            <w:tcW w:type="pct" w:w="100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Tài liệu</w:t>
            </w:r>
          </w:p>
        </w:tc>
        <w:tc>
          <w:tcPr>
            <w:tcW w:type="pct" w:w="165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DOCX và PDF renderer</w:t>
            </w:r>
          </w:p>
        </w:tc>
        <w:tc>
          <w:tcPr>
            <w:tcW w:type="pct" w:w="235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Xuất phiên bản đã phê duyệt từ dữ liệu có cấu trúc.</w:t>
            </w:r>
          </w:p>
        </w:tc>
      </w:tr>
    </w:tbl>
    <w:p>
      <w:pPr>
        <w:pStyle w:val="Heading2"/>
        <w:keepNext/>
        <w:spacing w:after="100" w:before="160"/>
      </w:pPr>
      <w:r>
        <w:t xml:space="preserve">Phân quyền và đa tenant</w:t>
      </w:r>
    </w:p>
    <w:p>
      <w:pPr>
        <w:spacing w:after="150" w:before="0" w:line="310"/>
      </w:pPr>
      <w:r>
        <w:t xml:space="preserve">Mọi truy vấn nghiệp vụ được giới hạn theo organizationId. Mỗi thay đổi còn kiểm tra nhóm vai trò phù hợp như owner, admin, manager, finance, reviewer hoặc member. Môi trường production thiếu cấu hình xác thực sẽ từ chối truy cập thay vì tự động quay về demo.</w:t>
      </w:r>
    </w:p>
    <w:p>
      <w:pPr>
        <w:spacing w:after="150" w:before="0" w:line="310"/>
      </w:pPr>
      <w:r>
        <w:t xml:space="preserve">Trên Supabase, toàn bộ 15 bảng do Prisma quản lý đã bật RLS theo hướng chặn mặc định. Trình duyệt chỉ dùng Supabase cho xác thực; dữ liệu nghiệp vụ được truy cập từ máy chủ qua Prisma.</w:t>
      </w:r>
    </w:p>
    <w:p>
      <w:r>
        <w:br w:type="page"/>
      </w:r>
    </w:p>
    <w:p>
      <w:pPr>
        <w:pStyle w:val="Heading1"/>
        <w:keepNext/>
        <w:spacing w:after="100" w:before="80"/>
      </w:pPr>
      <w:r>
        <w:t xml:space="preserve">Trạng thái hiện tại và giới hạn</w:t>
      </w:r>
    </w:p>
    <w:p>
      <w:pPr>
        <w:pStyle w:val="Heading2"/>
        <w:keepNext/>
        <w:spacing w:after="100" w:before="160"/>
      </w:pPr>
      <w:r>
        <w:t xml:space="preserve">Nội dung đã hoàn thành</w:t>
      </w:r>
    </w:p>
    <w:p>
      <w:pPr>
        <w:spacing w:after="150" w:before="0" w:line="310"/>
      </w:pPr>
      <w:r>
        <w:t xml:space="preserve">Phase 1 đến Phase 5 đã hoàn thành trong mã nguồn. Prisma schema và migration cho SQLite và PostgreSQL đã được xác nhận. Seed demo, kiểm thử bảo mật, cô lập tenant, ESLint, TypeScript và production build đều đã đạt. Supabase staging đã có một owner hoạt động và liên kết với Supabase Auth.</w:t>
      </w:r>
    </w:p>
    <w:p>
      <w:pPr>
        <w:pStyle w:val="Heading2"/>
        <w:keepNext/>
        <w:spacing w:after="100" w:before="160"/>
      </w:pPr>
      <w:r>
        <w:t xml:space="preserve">Nội dung còn cần xác nhận</w:t>
      </w:r>
    </w:p>
    <w:p>
      <w:pPr>
        <w:spacing w:after="150" w:before="0" w:line="310"/>
      </w:pPr>
      <w:r>
        <w:t xml:space="preserve">Cần chạy đầy đủ các route bằng phiên đăng nhập thật, kiểm tra thao tác bị từ chối với vai trò thấp hơn và tải một tài liệu đã duyệt. Luồng Gemini thật cũng chưa được chạy vì môi trường hiện tại chưa có GEMINI_API_KEY.</w:t>
      </w:r>
    </w:p>
    <w:p>
      <w:pPr>
        <w:pStyle w:val="Heading2"/>
        <w:keepNext/>
        <w:spacing w:after="100" w:before="160"/>
      </w:pPr>
      <w:r>
        <w:t xml:space="preserve">Giới hạn chức năng</w:t>
      </w:r>
    </w:p>
    <w:tbl>
      <w:tblPr>
        <w:tblW w:type="pct" w:w="5000"/>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2297"/>
        <w:gridCol w:w="8143"/>
      </w:tblGrid>
      <w:tr>
        <w:trPr>
          <w:cantSplit/>
          <w:tblHeader/>
        </w:trPr>
        <w:tc>
          <w:tcPr>
            <w:tcW w:type="pct" w:w="1100"/>
            <w:tcBorders>
              <w:top w:val="single" w:color="D9D9D9" w:sz="4"/>
              <w:left w:val="single" w:color="D9D9D9" w:sz="4"/>
              <w:bottom w:val="single" w:color="D9D9D9" w:sz="4"/>
              <w:right w:val="single" w:color="D9D9D9" w:sz="4"/>
            </w:tcBorders>
            <w:shd w:fill="192A56" w:val="clear"/>
            <w:tcMar>
              <w:top w:type="dxa" w:w="120"/>
              <w:left w:type="dxa" w:w="140"/>
              <w:bottom w:type="dxa" w:w="120"/>
              <w:right w:type="dxa" w:w="140"/>
            </w:tcMar>
            <w:vAlign w:val="center"/>
          </w:tcPr>
          <w:p>
            <w:pPr>
              <w:spacing w:after="0" w:before="0" w:line="270"/>
              <w:jc w:val="left"/>
            </w:pPr>
            <w:r>
              <w:rPr>
                <w:rFonts w:ascii="Arial" w:cs="Arial" w:eastAsia="Arial" w:hAnsi="Arial"/>
                <w:b/>
                <w:bCs/>
                <w:color w:val="FFFFFF"/>
                <w:sz w:val="20"/>
                <w:szCs w:val="20"/>
              </w:rPr>
              <w:t xml:space="preserve">Nhóm</w:t>
            </w:r>
          </w:p>
        </w:tc>
        <w:tc>
          <w:tcPr>
            <w:tcW w:type="pct" w:w="3900"/>
            <w:tcBorders>
              <w:top w:val="single" w:color="D9D9D9" w:sz="4"/>
              <w:left w:val="single" w:color="D9D9D9" w:sz="4"/>
              <w:bottom w:val="single" w:color="D9D9D9" w:sz="4"/>
              <w:right w:val="single" w:color="D9D9D9" w:sz="4"/>
            </w:tcBorders>
            <w:shd w:fill="192A56" w:val="clear"/>
            <w:tcMar>
              <w:top w:type="dxa" w:w="120"/>
              <w:left w:type="dxa" w:w="140"/>
              <w:bottom w:type="dxa" w:w="120"/>
              <w:right w:type="dxa" w:w="140"/>
            </w:tcMar>
            <w:vAlign w:val="center"/>
          </w:tcPr>
          <w:p>
            <w:pPr>
              <w:spacing w:after="0" w:before="0" w:line="270"/>
              <w:jc w:val="left"/>
            </w:pPr>
            <w:r>
              <w:rPr>
                <w:rFonts w:ascii="Arial" w:cs="Arial" w:eastAsia="Arial" w:hAnsi="Arial"/>
                <w:b/>
                <w:bCs/>
                <w:color w:val="FFFFFF"/>
                <w:sz w:val="20"/>
                <w:szCs w:val="20"/>
              </w:rPr>
              <w:t xml:space="preserve">Giới hạn hiện tại</w:t>
            </w:r>
          </w:p>
        </w:tc>
      </w:tr>
      <w:tr>
        <w:trPr>
          <w:cantSplit/>
        </w:trPr>
        <w:tc>
          <w:tcPr>
            <w:tcW w:type="pct" w:w="110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Xác thực</w:t>
            </w:r>
          </w:p>
        </w:tc>
        <w:tc>
          <w:tcPr>
            <w:tcW w:type="pct" w:w="390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Lời mời còn gửi thủ công; chưa có email giao dịch hoặc luồng reset mật khẩu tích hợp trong app.</w:t>
            </w:r>
          </w:p>
        </w:tc>
      </w:tr>
      <w:tr>
        <w:trPr>
          <w:cantSplit/>
        </w:trPr>
        <w:tc>
          <w:tcPr>
            <w:tcW w:type="pct" w:w="110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Đa tổ chức</w:t>
            </w:r>
          </w:p>
        </w:tc>
        <w:tc>
          <w:tcPr>
            <w:tcW w:type="pct" w:w="390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Ứng dụng lấy membership hoạt động đầu tiên; chưa có giao diện chuyển workspace.</w:t>
            </w:r>
          </w:p>
        </w:tc>
      </w:tr>
      <w:tr>
        <w:trPr>
          <w:cantSplit/>
        </w:trPr>
        <w:tc>
          <w:tcPr>
            <w:tcW w:type="pct" w:w="110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Tài liệu</w:t>
            </w:r>
          </w:p>
        </w:tc>
        <w:tc>
          <w:tcPr>
            <w:tcW w:type="pct" w:w="390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Chưa có ký điện tử, cổng phê duyệt ngoài, gửi email hoặc tùy biến logo và nhận diện đầy đủ.</w:t>
            </w:r>
          </w:p>
        </w:tc>
      </w:tr>
      <w:tr>
        <w:trPr>
          <w:cantSplit/>
        </w:trPr>
        <w:tc>
          <w:tcPr>
            <w:tcW w:type="pct" w:w="110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Kế hoạch</w:t>
            </w:r>
          </w:p>
        </w:tc>
        <w:tc>
          <w:tcPr>
            <w:tcW w:type="pct" w:w="390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Kế hoạch không chỉnh sửa sau khi kích hoạt; chưa có revision, đổi owner hoặc đổi ngày có lịch sử.</w:t>
            </w:r>
          </w:p>
        </w:tc>
      </w:tr>
      <w:tr>
        <w:trPr>
          <w:cantSplit/>
        </w:trPr>
        <w:tc>
          <w:tcPr>
            <w:tcW w:type="pct" w:w="110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Nhắc việc</w:t>
            </w:r>
          </w:p>
        </w:tc>
        <w:tc>
          <w:tcPr>
            <w:tcW w:type="pct" w:w="390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Chỉ hiển thị trong ứng dụng; chưa có email, lịch, push hoặc tác vụ nền.</w:t>
            </w:r>
          </w:p>
        </w:tc>
      </w:tr>
      <w:tr>
        <w:trPr>
          <w:cantSplit/>
        </w:trPr>
        <w:tc>
          <w:tcPr>
            <w:tcW w:type="pct" w:w="110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Vận hành</w:t>
            </w:r>
          </w:p>
        </w:tc>
        <w:tc>
          <w:tcPr>
            <w:tcW w:type="pct" w:w="390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Chưa có monitoring tập trung, health check tự động và runbook backup hoặc khôi phục hoàn chỉnh.</w:t>
            </w:r>
          </w:p>
        </w:tc>
      </w:tr>
    </w:tbl>
    <w:p>
      <w:r>
        <w:br w:type="page"/>
      </w:r>
    </w:p>
    <w:p>
      <w:pPr>
        <w:pStyle w:val="Heading1"/>
        <w:keepNext/>
        <w:spacing w:after="100" w:before="80"/>
      </w:pPr>
      <w:r>
        <w:t xml:space="preserve">Định hướng phát triển trong tương lai</w:t>
      </w:r>
    </w:p>
    <w:p>
      <w:pPr>
        <w:spacing w:after="150" w:before="0" w:line="310"/>
      </w:pPr>
      <w:r>
        <w:t xml:space="preserve">Giai đoạn tiếp theo nên ưu tiên độ tin cậy vận hành trước khi mở rộng thêm module nghiệp vụ. Lộ trình dưới đây giữ nguyên nền tảng hiện tại và giảm rủi ro khi đưa khách hàng thật vào hệ thống.</w:t>
      </w:r>
    </w:p>
    <w:tbl>
      <w:tblPr>
        <w:tblW w:type="pct" w:w="5000"/>
        <w:tblBorders>
          <w:top w:val="single" w:color="D9D9D9" w:sz="4"/>
          <w:left w:val="single" w:color="D9D9D9" w:sz="4"/>
          <w:bottom w:val="single" w:color="D9D9D9" w:sz="4"/>
          <w:right w:val="single" w:color="D9D9D9" w:sz="4"/>
          <w:insideH w:val="single" w:color="D9D9D9" w:sz="4"/>
          <w:insideV w:val="single" w:color="D9D9D9" w:sz="4"/>
        </w:tblBorders>
        <w:tblLayout w:type="fixed"/>
      </w:tblPr>
      <w:tblGrid>
        <w:gridCol w:w="1253"/>
        <w:gridCol w:w="2923"/>
        <w:gridCol w:w="6264"/>
      </w:tblGrid>
      <w:tr>
        <w:trPr>
          <w:cantSplit/>
          <w:tblHeader/>
        </w:trPr>
        <w:tc>
          <w:tcPr>
            <w:tcW w:type="pct" w:w="600"/>
            <w:tcBorders>
              <w:top w:val="single" w:color="D9D9D9" w:sz="4"/>
              <w:left w:val="single" w:color="D9D9D9" w:sz="4"/>
              <w:bottom w:val="single" w:color="D9D9D9" w:sz="4"/>
              <w:right w:val="single" w:color="D9D9D9" w:sz="4"/>
            </w:tcBorders>
            <w:shd w:fill="192A56" w:val="clear"/>
            <w:tcMar>
              <w:top w:type="dxa" w:w="120"/>
              <w:left w:type="dxa" w:w="140"/>
              <w:bottom w:type="dxa" w:w="120"/>
              <w:right w:type="dxa" w:w="140"/>
            </w:tcMar>
            <w:vAlign w:val="center"/>
          </w:tcPr>
          <w:p>
            <w:pPr>
              <w:spacing w:after="0" w:before="0" w:line="270"/>
              <w:jc w:val="left"/>
            </w:pPr>
            <w:r>
              <w:rPr>
                <w:rFonts w:ascii="Arial" w:cs="Arial" w:eastAsia="Arial" w:hAnsi="Arial"/>
                <w:b/>
                <w:bCs/>
                <w:color w:val="FFFFFF"/>
                <w:sz w:val="20"/>
                <w:szCs w:val="20"/>
              </w:rPr>
              <w:t xml:space="preserve">Ưu tiên</w:t>
            </w:r>
          </w:p>
        </w:tc>
        <w:tc>
          <w:tcPr>
            <w:tcW w:type="pct" w:w="1400"/>
            <w:tcBorders>
              <w:top w:val="single" w:color="D9D9D9" w:sz="4"/>
              <w:left w:val="single" w:color="D9D9D9" w:sz="4"/>
              <w:bottom w:val="single" w:color="D9D9D9" w:sz="4"/>
              <w:right w:val="single" w:color="D9D9D9" w:sz="4"/>
            </w:tcBorders>
            <w:shd w:fill="192A56" w:val="clear"/>
            <w:tcMar>
              <w:top w:type="dxa" w:w="120"/>
              <w:left w:type="dxa" w:w="140"/>
              <w:bottom w:type="dxa" w:w="120"/>
              <w:right w:type="dxa" w:w="140"/>
            </w:tcMar>
            <w:vAlign w:val="center"/>
          </w:tcPr>
          <w:p>
            <w:pPr>
              <w:spacing w:after="0" w:before="0" w:line="270"/>
              <w:jc w:val="left"/>
            </w:pPr>
            <w:r>
              <w:rPr>
                <w:rFonts w:ascii="Arial" w:cs="Arial" w:eastAsia="Arial" w:hAnsi="Arial"/>
                <w:b/>
                <w:bCs/>
                <w:color w:val="FFFFFF"/>
                <w:sz w:val="20"/>
                <w:szCs w:val="20"/>
              </w:rPr>
              <w:t xml:space="preserve">Mục tiêu</w:t>
            </w:r>
          </w:p>
        </w:tc>
        <w:tc>
          <w:tcPr>
            <w:tcW w:type="pct" w:w="3000"/>
            <w:tcBorders>
              <w:top w:val="single" w:color="D9D9D9" w:sz="4"/>
              <w:left w:val="single" w:color="D9D9D9" w:sz="4"/>
              <w:bottom w:val="single" w:color="D9D9D9" w:sz="4"/>
              <w:right w:val="single" w:color="D9D9D9" w:sz="4"/>
            </w:tcBorders>
            <w:shd w:fill="192A56" w:val="clear"/>
            <w:tcMar>
              <w:top w:type="dxa" w:w="120"/>
              <w:left w:type="dxa" w:w="140"/>
              <w:bottom w:type="dxa" w:w="120"/>
              <w:right w:type="dxa" w:w="140"/>
            </w:tcMar>
            <w:vAlign w:val="center"/>
          </w:tcPr>
          <w:p>
            <w:pPr>
              <w:spacing w:after="0" w:before="0" w:line="270"/>
              <w:jc w:val="left"/>
            </w:pPr>
            <w:r>
              <w:rPr>
                <w:rFonts w:ascii="Arial" w:cs="Arial" w:eastAsia="Arial" w:hAnsi="Arial"/>
                <w:b/>
                <w:bCs/>
                <w:color w:val="FFFFFF"/>
                <w:sz w:val="20"/>
                <w:szCs w:val="20"/>
              </w:rPr>
              <w:t xml:space="preserve">Hạng mục đề xuất</w:t>
            </w:r>
          </w:p>
        </w:tc>
      </w:tr>
      <w:tr>
        <w:trPr>
          <w:cantSplit/>
        </w:trPr>
        <w:tc>
          <w:tcPr>
            <w:tcW w:type="pct" w:w="60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P0</w:t>
            </w:r>
          </w:p>
        </w:tc>
        <w:tc>
          <w:tcPr>
            <w:tcW w:type="pct" w:w="140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Đóng kiểm thử Phase 5</w:t>
            </w:r>
          </w:p>
        </w:tc>
        <w:tc>
          <w:tcPr>
            <w:tcW w:type="pct" w:w="300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Kiểm thử browser theo vai trò, xác nhận xuất DOCX và PDF, chạy một luồng Gemini thật.</w:t>
            </w:r>
          </w:p>
        </w:tc>
      </w:tr>
      <w:tr>
        <w:trPr>
          <w:cantSplit/>
        </w:trPr>
        <w:tc>
          <w:tcPr>
            <w:tcW w:type="pct" w:w="60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P1</w:t>
            </w:r>
          </w:p>
        </w:tc>
        <w:tc>
          <w:tcPr>
            <w:tcW w:type="pct" w:w="140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Sẵn sàng production</w:t>
            </w:r>
          </w:p>
        </w:tc>
        <w:tc>
          <w:tcPr>
            <w:tcW w:type="pct" w:w="300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Email lời mời, reset mật khẩu, rate limit, logging, monitoring, health check, backup và restore.</w:t>
            </w:r>
          </w:p>
        </w:tc>
      </w:tr>
      <w:tr>
        <w:trPr>
          <w:cantSplit/>
        </w:trPr>
        <w:tc>
          <w:tcPr>
            <w:tcW w:type="pct" w:w="60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P1</w:t>
            </w:r>
          </w:p>
        </w:tc>
        <w:tc>
          <w:tcPr>
            <w:tcW w:type="pct" w:w="140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Hoàn thiện đa tenant</w:t>
            </w:r>
          </w:p>
        </w:tc>
        <w:tc>
          <w:tcPr>
            <w:tcW w:type="pct" w:w="300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Giao diện chuyển workspace và luồng tạo tổ chức có kiểm soát.</w:t>
            </w:r>
          </w:p>
        </w:tc>
      </w:tr>
      <w:tr>
        <w:trPr>
          <w:cantSplit/>
        </w:trPr>
        <w:tc>
          <w:tcPr>
            <w:tcW w:type="pct" w:w="60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P2</w:t>
            </w:r>
          </w:p>
        </w:tc>
        <w:tc>
          <w:tcPr>
            <w:tcW w:type="pct" w:w="140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Tự động hóa nhắc việc</w:t>
            </w:r>
          </w:p>
        </w:tc>
        <w:tc>
          <w:tcPr>
            <w:tcW w:type="pct" w:w="300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Scheduler, email, calendar và cảnh báo quá hạn.</w:t>
            </w:r>
          </w:p>
        </w:tc>
      </w:tr>
      <w:tr>
        <w:trPr>
          <w:cantSplit/>
        </w:trPr>
        <w:tc>
          <w:tcPr>
            <w:tcW w:type="pct" w:w="60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P2</w:t>
            </w:r>
          </w:p>
        </w:tc>
        <w:tc>
          <w:tcPr>
            <w:tcW w:type="pct" w:w="140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Khép kín quy trình tài liệu</w:t>
            </w:r>
          </w:p>
        </w:tc>
        <w:tc>
          <w:tcPr>
            <w:tcW w:type="pct" w:w="300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Branding, gửi email, cổng phê duyệt khách hàng và chữ ký điện tử.</w:t>
            </w:r>
          </w:p>
        </w:tc>
      </w:tr>
      <w:tr>
        <w:trPr>
          <w:cantSplit/>
        </w:trPr>
        <w:tc>
          <w:tcPr>
            <w:tcW w:type="pct" w:w="60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P2</w:t>
            </w:r>
          </w:p>
        </w:tc>
        <w:tc>
          <w:tcPr>
            <w:tcW w:type="pct" w:w="140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Linh hoạt triển khai</w:t>
            </w:r>
          </w:p>
        </w:tc>
        <w:tc>
          <w:tcPr>
            <w:tcW w:type="pct" w:w="3000"/>
            <w:tcBorders>
              <w:top w:val="single" w:color="D9D9D9" w:sz="4"/>
              <w:left w:val="single" w:color="D9D9D9" w:sz="4"/>
              <w:bottom w:val="single" w:color="D9D9D9" w:sz="4"/>
              <w:right w:val="single" w:color="D9D9D9" w:sz="4"/>
            </w:tcBorders>
            <w:shd w:fill="F3F6FC"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Revision kế hoạch, đổi người phụ trách, đổi ngày và lưu lịch sử thay đổi.</w:t>
            </w:r>
          </w:p>
        </w:tc>
      </w:tr>
      <w:tr>
        <w:trPr>
          <w:cantSplit/>
        </w:trPr>
        <w:tc>
          <w:tcPr>
            <w:tcW w:type="pct" w:w="60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P3</w:t>
            </w:r>
          </w:p>
        </w:tc>
        <w:tc>
          <w:tcPr>
            <w:tcW w:type="pct" w:w="140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Mở rộng AI</w:t>
            </w:r>
          </w:p>
        </w:tc>
        <w:tc>
          <w:tcPr>
            <w:tcW w:type="pct" w:w="3000"/>
            <w:tcBorders>
              <w:top w:val="single" w:color="D9D9D9" w:sz="4"/>
              <w:left w:val="single" w:color="D9D9D9" w:sz="4"/>
              <w:bottom w:val="single" w:color="D9D9D9" w:sz="4"/>
              <w:right w:val="single" w:color="D9D9D9" w:sz="4"/>
            </w:tcBorders>
            <w:shd w:fill="FFFFFF" w:val="clear"/>
            <w:tcMar>
              <w:top w:type="dxa" w:w="120"/>
              <w:left w:type="dxa" w:w="140"/>
              <w:bottom w:type="dxa" w:w="120"/>
              <w:right w:type="dxa" w:w="140"/>
            </w:tcMar>
            <w:vAlign w:val="center"/>
          </w:tcPr>
          <w:p>
            <w:pPr>
              <w:spacing w:after="0" w:before="0" w:line="270"/>
              <w:jc w:val="left"/>
            </w:pPr>
            <w:r>
              <w:rPr>
                <w:rFonts w:ascii="Arial" w:cs="Arial" w:eastAsia="Arial" w:hAnsi="Arial"/>
                <w:color w:val="1F2937"/>
                <w:sz w:val="20"/>
                <w:szCs w:val="20"/>
              </w:rPr>
              <w:t xml:space="preserve">Provider dự phòng, phân tích danh mục, dự báo công nợ và gợi ý rủi ro.</w:t>
            </w:r>
          </w:p>
        </w:tc>
      </w:tr>
    </w:tbl>
    <w:p>
      <w:pPr>
        <w:pStyle w:val="Heading2"/>
        <w:keepNext/>
        <w:spacing w:after="100" w:before="160"/>
      </w:pPr>
      <w:r>
        <w:t xml:space="preserve">Khuyến nghị thực hiện ngay</w:t>
      </w:r>
    </w:p>
    <w:p>
      <w:pPr>
        <w:spacing w:after="150" w:before="0" w:line="310"/>
      </w:pPr>
      <w:r>
        <w:t xml:space="preserve">Không nên bắt đầu một phase sản phẩm lớn trước khi hoàn tất kiểm thử có xác thực và một lần chạy Gemini thật, hoặc có quyết định hoãn rõ ràng. Sau đó, Phase 6 nên tập trung vào production hardening, tự động hóa vận hành và khả năng phục hồi.</w:t>
      </w:r>
    </w:p>
    <w:p>
      <w:pPr>
        <w:pStyle w:val="Heading2"/>
        <w:keepNext/>
        <w:spacing w:after="100" w:before="160"/>
      </w:pPr>
      <w:r>
        <w:t xml:space="preserve">Kết luận</w:t>
      </w:r>
    </w:p>
    <w:p>
      <w:pPr>
        <w:spacing w:after="150" w:before="0" w:line="310"/>
      </w:pPr>
      <w:r>
        <w:t xml:space="preserve">BizFlow AI đã có nền tảng nghiệp vụ rõ ràng và liên kết tốt giữa khách hàng, dự án, tài liệu và thực thi. Sản phẩm hiện phù hợp để tiếp tục kiểm thử staging có kiểm soát. Khi hoàn thành các hạng mục vận hành và kiểm thử còn lại, hệ thống có thể tiến tới giai đoạn thử nghiệm với người dùng thật.</w:t>
      </w:r>
    </w:p>
    <w:sectPr>
      <w:headerReference w:type="default" r:id="rId6"/>
      <w:footerReference w:type="default" r:id="rId7"/>
      <w:pgSz w:w="12240" w:h="15840" w:orient="portrait"/>
      <w:pgMar w:top="900" w:right="900" w:bottom="850" w:left="900" w:header="400" w:footer="4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Báo cáo tổng quan  •  Trang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10"/>
      <w:jc w:val="right"/>
    </w:pPr>
    <w:r>
      <w:rPr>
        <w:rFonts w:ascii="Arial" w:cs="Arial" w:eastAsia="Arial" w:hAnsi="Arial"/>
        <w:b/>
        <w:bCs/>
        <w:color w:val="64748B"/>
        <w:sz w:val="16"/>
        <w:szCs w:val="16"/>
      </w:rPr>
      <w:t xml:space="preserve">BIZFLOW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pPr>
        <w:spacing w:after="150" w:line="310"/>
      </w:pPr>
    </w:pPrDefault>
  </w:docDefaults>
  <w:style w:type="paragraph" w:styleId="Normal" w:default="1">
    <w:name w:val="Normal"/>
    <w:qFormat/>
  </w:style>
  <w:style w:type="paragraph" w:styleId="Title">
    <w:name w:val="Title"/>
    <w:basedOn w:val="Normal"/>
    <w:next w:val="Normal"/>
    <w:qFormat/>
    <w:pPr>
      <w:spacing w:after="240"/>
      <w:jc w:val="center"/>
    </w:pPr>
    <w:rPr>
      <w:rFonts w:ascii="Arial" w:cs="Arial" w:eastAsia="Arial" w:hAnsi="Arial"/>
      <w:b/>
      <w:bCs/>
      <w:color w:val="000000"/>
      <w:sz w:val="42"/>
      <w:szCs w:val="42"/>
    </w:rPr>
  </w:style>
  <w:style w:type="paragraph" w:styleId="Heading1">
    <w:name w:val="Heading 1"/>
    <w:basedOn w:val="Normal"/>
    <w:next w:val="Normal"/>
    <w:qFormat/>
    <w:pPr>
      <w:keepNext/>
      <w:spacing w:after="130" w:before="80"/>
    </w:pPr>
    <w:rPr>
      <w:rFonts w:ascii="Arial" w:cs="Arial" w:eastAsia="Arial" w:hAnsi="Arial"/>
      <w:b/>
      <w:bCs/>
      <w:color w:val="000000"/>
      <w:sz w:val="32"/>
      <w:szCs w:val="32"/>
    </w:rPr>
  </w:style>
  <w:style w:type="paragraph" w:styleId="Heading2">
    <w:name w:val="Heading 2"/>
    <w:basedOn w:val="Normal"/>
    <w:next w:val="Normal"/>
    <w:qFormat/>
    <w:pPr>
      <w:keepNext/>
      <w:spacing w:after="90" w:before="180"/>
    </w:pPr>
    <w:rPr>
      <w:rFonts w:ascii="Arial" w:cs="Arial" w:eastAsia="Arial" w:hAnsi="Arial"/>
      <w:b/>
      <w:bCs/>
      <w:color w:val="000000"/>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2026-10-01T09:10:31.315Z</dcterms:created>
  <dcterms:modified xsi:type="dcterms:W3CDTF">2026-10-01T09:10:31.316Z</dcterms:modified>
</cp:coreProperties>
</file>

<file path=docProps/custom.xml><?xml version="1.0" encoding="utf-8"?>
<Properties xmlns="http://schemas.openxmlformats.org/officeDocument/2006/custom-properties" xmlns:vt="http://schemas.openxmlformats.org/officeDocument/2006/docPropsVTypes"/>
</file>