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0974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n-GB"/>
        </w:rPr>
        <w:fldChar w:fldCharType="begin"/>
      </w:r>
      <w:r>
        <w:rPr>
          <w:sz w:val="16"/>
          <w:lang w:val="en-GB"/>
        </w:rPr>
        <w:instrText xml:space="preserve"> ADDIN ZOTERO_BIBL {"uncited":[],"omitted":[],"custom":[]} CSL_BIBLIOGRAPHY </w:instrText>
      </w:r>
      <w:r>
        <w:rPr>
          <w:sz w:val="16"/>
          <w:lang w:val="en-GB"/>
        </w:rPr>
        <w:fldChar w:fldCharType="separate"/>
      </w:r>
    </w:p>
    <w:p w14:paraId="60BF60FC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[1]</w:t>
      </w:r>
      <w:r>
        <w:rPr>
          <w:sz w:val="16"/>
          <w:lang w:val="es-ES_tradnl"/>
        </w:rPr>
        <w:tab/>
        <w:t xml:space="preserve">E. González-Blanco and L. Seláf, “Megarep: A comprehensive research tool in medieval and renaissance poetic and metrical repertoires,” </w:t>
      </w:r>
      <w:r>
        <w:rPr>
          <w:i/>
          <w:iCs/>
          <w:sz w:val="16"/>
          <w:lang w:val="es-ES_tradnl"/>
        </w:rPr>
        <w:t>Humanitats a la xarxa: món medieval/Humanities on the Web: The Medieval World</w:t>
      </w:r>
      <w:r>
        <w:rPr>
          <w:sz w:val="16"/>
          <w:lang w:val="es-ES_tradnl"/>
        </w:rPr>
        <w:t>, pp. 321–332, 2014.</w:t>
      </w:r>
    </w:p>
    <w:p w14:paraId="28F88615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[2]</w:t>
      </w:r>
      <w:r>
        <w:rPr>
          <w:sz w:val="16"/>
          <w:lang w:val="es-ES_tradnl"/>
        </w:rPr>
        <w:tab/>
        <w:t>E. González-Blanco García, M. Manailescu, and S. Ros, “From syllables, lines and stanzas to linked open data: standardization, interoperability and multilingual challenges for digital humanities,” 2016, Accessed: Dec. 05, 2018. [Online]. Available: http://e-spacio.uned.es/fez/view/bibliuned:363-Egonzalez11</w:t>
      </w:r>
    </w:p>
    <w:p w14:paraId="613C8D19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[3]</w:t>
      </w:r>
      <w:r>
        <w:rPr>
          <w:sz w:val="16"/>
          <w:lang w:val="es-ES_tradnl"/>
        </w:rPr>
        <w:tab/>
        <w:t>E. González-Blanco García and J. L. Rodríguez, “ReMetCa: a TEI based digital repertory on Medieval Spanish poetry,” Jan. 2013, Accessed: Sep. 15, 2019. [Online]. Available: http://e-spacio.uned.es/fez/view/bibliuned:365-Egonzalez6</w:t>
      </w:r>
    </w:p>
    <w:p w14:paraId="6AFDDE22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[4]</w:t>
      </w:r>
      <w:r>
        <w:rPr>
          <w:sz w:val="16"/>
          <w:lang w:val="es-ES_tradnl"/>
        </w:rPr>
        <w:tab/>
        <w:t xml:space="preserve">H. Bermúdez-Sabel, M. Curado Malta, and E. Gonzalez-Blanco, “Towards Interoperability in the European Poetry Community: The Standardization of Philological Concepts,” in </w:t>
      </w:r>
      <w:r>
        <w:rPr>
          <w:i/>
          <w:iCs/>
          <w:sz w:val="16"/>
          <w:lang w:val="es-ES_tradnl"/>
        </w:rPr>
        <w:t>Language, Data, and Knowledge</w:t>
      </w:r>
      <w:r>
        <w:rPr>
          <w:sz w:val="16"/>
          <w:lang w:val="es-ES_tradnl"/>
        </w:rPr>
        <w:t>, 2017, pp. 156–165.</w:t>
      </w:r>
    </w:p>
    <w:p w14:paraId="283FA754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[5]</w:t>
      </w:r>
      <w:r>
        <w:rPr>
          <w:sz w:val="16"/>
          <w:lang w:val="es-ES_tradnl"/>
        </w:rPr>
        <w:tab/>
        <w:t xml:space="preserve">H. Bermúdez-Sabel, M. L. Díez Platas, S. Ros, and E. González-Blanco, “Towards a common model for European Poetry: Challenges and solutions,” </w:t>
      </w:r>
      <w:r>
        <w:rPr>
          <w:i/>
          <w:iCs/>
          <w:sz w:val="16"/>
          <w:lang w:val="es-ES_tradnl"/>
        </w:rPr>
        <w:t>Digital Scholarship in the Humanities</w:t>
      </w:r>
      <w:r>
        <w:rPr>
          <w:sz w:val="16"/>
          <w:lang w:val="es-ES_tradnl"/>
        </w:rPr>
        <w:t>, Dec. 2021, doi: 10.1093/llc/fqab106.</w:t>
      </w:r>
    </w:p>
    <w:p w14:paraId="2D03076D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[6]</w:t>
      </w:r>
      <w:r>
        <w:rPr>
          <w:sz w:val="16"/>
          <w:lang w:val="es-ES_tradnl"/>
        </w:rPr>
        <w:tab/>
        <w:t xml:space="preserve">E. Gonzalez-Blanco and S. Ros, “POSTDATA – Poetry Standardization and Linked Open Data,” </w:t>
      </w:r>
      <w:r>
        <w:rPr>
          <w:i/>
          <w:iCs/>
          <w:sz w:val="16"/>
          <w:lang w:val="es-ES_tradnl"/>
        </w:rPr>
        <w:t>Postdata</w:t>
      </w:r>
      <w:r>
        <w:rPr>
          <w:sz w:val="16"/>
          <w:lang w:val="es-ES_tradnl"/>
        </w:rPr>
        <w:t>, 2016. http://postdata.linhd.es/ (accessed Aug. 01, 2018).</w:t>
      </w:r>
    </w:p>
    <w:p w14:paraId="6840A621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[7]</w:t>
      </w:r>
      <w:r>
        <w:rPr>
          <w:sz w:val="16"/>
          <w:lang w:val="es-ES_tradnl"/>
        </w:rPr>
        <w:tab/>
        <w:t xml:space="preserve">M. Curado Malta, E. Gonzalez-Blanco, C. Martinez Cantón, and G. del Rio Riande, “A  Common Conceptual  Model for the Study of  Poetry in the Digital  Humanities,” in </w:t>
      </w:r>
      <w:r>
        <w:rPr>
          <w:i/>
          <w:iCs/>
          <w:sz w:val="16"/>
          <w:lang w:val="es-ES_tradnl"/>
        </w:rPr>
        <w:t>Digital Humanities 2017. Conference Abstracts</w:t>
      </w:r>
      <w:r>
        <w:rPr>
          <w:sz w:val="16"/>
          <w:lang w:val="es-ES_tradnl"/>
        </w:rPr>
        <w:t>, Montréal, Canada: McGill University  / Université de Montréal, 2017, pp. 210–212. [Online]. Available: https://dh2017.adho.org/abstracts/148/148.pdf</w:t>
      </w:r>
    </w:p>
    <w:p w14:paraId="13322F69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[8]</w:t>
      </w:r>
      <w:r>
        <w:rPr>
          <w:sz w:val="16"/>
          <w:lang w:val="es-ES_tradnl"/>
        </w:rPr>
        <w:tab/>
        <w:t xml:space="preserve">M. Curado Malta, E. González-Blanco, C. I. Martínez Cantón, and G. del Rio Riande, “Digital repertoires of poetry metrics: towards a linked open data ecosystem,” in </w:t>
      </w:r>
      <w:r>
        <w:rPr>
          <w:i/>
          <w:iCs/>
          <w:sz w:val="16"/>
          <w:lang w:val="es-ES_tradnl"/>
        </w:rPr>
        <w:t>Digital Humanities and Digital Curation. Proceedings of the First Workshop on Digital Humanities and Digital Curation co-located with the 10th Conference on Metadata and Semantics Research (MTSR 2016).</w:t>
      </w:r>
      <w:r>
        <w:rPr>
          <w:sz w:val="16"/>
          <w:lang w:val="es-ES_tradnl"/>
        </w:rPr>
        <w:t>, 2016. [Online]. Available: http://ceur-ws.org/Vol-1764/1.pdf</w:t>
      </w:r>
    </w:p>
    <w:p w14:paraId="07518672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[9]</w:t>
      </w:r>
      <w:r>
        <w:rPr>
          <w:sz w:val="16"/>
          <w:lang w:val="es-ES_tradnl"/>
        </w:rPr>
        <w:tab/>
        <w:t>Postdata ERC project, “TOWARDS A NETWORK OF ONTOLOGIES FOR THE EUROPEAN POETRY - POSTDATA.” http://postdata-prototype.linhd.uned.es/methodology.php (accessed Sep. 17, 2019).</w:t>
      </w:r>
    </w:p>
    <w:p w14:paraId="5D9F78D6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[10]</w:t>
      </w:r>
      <w:r>
        <w:rPr>
          <w:sz w:val="16"/>
          <w:lang w:val="es-ES_tradnl"/>
        </w:rPr>
        <w:tab/>
        <w:t xml:space="preserve">Postdata ERC project, “POSTDATA Repertories,” </w:t>
      </w:r>
      <w:r>
        <w:rPr>
          <w:i/>
          <w:iCs/>
          <w:sz w:val="16"/>
          <w:lang w:val="es-ES_tradnl"/>
        </w:rPr>
        <w:t>Google My Maps</w:t>
      </w:r>
      <w:r>
        <w:rPr>
          <w:sz w:val="16"/>
          <w:lang w:val="es-ES_tradnl"/>
        </w:rPr>
        <w:t>. https://www.google.com/maps/d/viewer?mid=15MAs3lVHlOk-eWUfBWXBP_prHbE (accessed Sep. 21, 2019).</w:t>
      </w:r>
    </w:p>
    <w:p w14:paraId="49EB9723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[11]</w:t>
      </w:r>
      <w:r>
        <w:rPr>
          <w:sz w:val="16"/>
          <w:lang w:val="es-ES_tradnl"/>
        </w:rPr>
        <w:tab/>
        <w:t xml:space="preserve">Ma. L. Diez Platas </w:t>
      </w:r>
      <w:r>
        <w:rPr>
          <w:i/>
          <w:iCs/>
          <w:sz w:val="16"/>
          <w:lang w:val="es-ES_tradnl"/>
        </w:rPr>
        <w:t>et al.</w:t>
      </w:r>
      <w:r>
        <w:rPr>
          <w:sz w:val="16"/>
          <w:lang w:val="es-ES_tradnl"/>
        </w:rPr>
        <w:t xml:space="preserve">, “Description of Postdata Poetry Ontology V1.0,” </w:t>
      </w:r>
      <w:r>
        <w:rPr>
          <w:i/>
          <w:iCs/>
          <w:sz w:val="16"/>
          <w:lang w:val="es-ES_tradnl"/>
        </w:rPr>
        <w:t>Plotting Poetry:Plotting Poetry: On Mechanically-Enhanced Reading</w:t>
      </w:r>
      <w:r>
        <w:rPr>
          <w:sz w:val="16"/>
          <w:lang w:val="es-ES_tradnl"/>
        </w:rPr>
        <w:t>, to publish 2021.</w:t>
      </w:r>
    </w:p>
    <w:p w14:paraId="6E11FB0B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ab/>
        <w:t>H. Bermúdez Sabel, “Towards interoperability in the European poetry community,” presented at the Shaping Data in Digital Humanities, Denmark, Apr. 20, 2018. doi: 10.5281/zenodo.2020302.</w:t>
      </w:r>
    </w:p>
    <w:p w14:paraId="42D8D353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[12]</w:t>
      </w:r>
      <w:r>
        <w:rPr>
          <w:sz w:val="16"/>
          <w:lang w:val="es-ES_tradnl"/>
        </w:rPr>
        <w:tab/>
        <w:t>CIDOC, “CIDOC CRM,” Sep. 15, 2019. http://www.cidoc-crm.org/ (accessed Sep. 15, 2019).</w:t>
      </w:r>
    </w:p>
    <w:p w14:paraId="132FFA96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[13]</w:t>
      </w:r>
      <w:r>
        <w:rPr>
          <w:sz w:val="16"/>
          <w:lang w:val="es-ES_tradnl"/>
        </w:rPr>
        <w:tab/>
        <w:t xml:space="preserve">FRBRoo, “FRBRoo,” </w:t>
      </w:r>
      <w:r>
        <w:rPr>
          <w:i/>
          <w:iCs/>
          <w:sz w:val="16"/>
          <w:lang w:val="es-ES_tradnl"/>
        </w:rPr>
        <w:t>FRBRoo Funtional Requirements for Biliografic Records</w:t>
      </w:r>
      <w:r>
        <w:rPr>
          <w:sz w:val="16"/>
          <w:lang w:val="es-ES_tradnl"/>
        </w:rPr>
        <w:t>, 2021. http://www.cidoc-crm.org/frbroo/home-0 (accessed May 17, 2021).</w:t>
      </w:r>
    </w:p>
    <w:p w14:paraId="32AD0165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[14]</w:t>
      </w:r>
      <w:r>
        <w:rPr>
          <w:sz w:val="16"/>
          <w:lang w:val="es-ES_tradnl"/>
        </w:rPr>
        <w:tab/>
        <w:t>FRBRoo, “FRBRoo v. 3.0 Specification.” https://cidoc-crm.org/frbroo/ModelVersion/frbroo-v.-3.0 (accessed Apr. 16, 2022).</w:t>
      </w:r>
    </w:p>
    <w:p w14:paraId="321B3C4F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[15]</w:t>
      </w:r>
      <w:r>
        <w:rPr>
          <w:sz w:val="16"/>
          <w:lang w:val="es-ES_tradnl"/>
        </w:rPr>
        <w:tab/>
        <w:t>CIDOC, “CIDOC CRM Version 7.2.” https://www.cidoc-crm.org/Version/version-7.2 (accessed Apr. 16, 2022).</w:t>
      </w:r>
    </w:p>
    <w:p w14:paraId="59E57A84" w14:textId="77777777" w:rsidR="00000000" w:rsidRDefault="00000000">
      <w:pPr>
        <w:widowControl w:val="0"/>
        <w:autoSpaceDE w:val="0"/>
        <w:autoSpaceDN w:val="0"/>
        <w:adjustRightInd w:val="0"/>
        <w:ind w:left="284" w:hanging="284"/>
        <w:rPr>
          <w:sz w:val="16"/>
          <w:lang w:val="es-ES_tradnl"/>
        </w:rPr>
      </w:pPr>
      <w:r>
        <w:rPr>
          <w:sz w:val="16"/>
          <w:lang w:val="es-ES_tradnl"/>
        </w:rPr>
        <w:t>[16]</w:t>
      </w:r>
      <w:r>
        <w:rPr>
          <w:sz w:val="16"/>
          <w:lang w:val="es-ES_tradnl"/>
        </w:rPr>
        <w:tab/>
        <w:t>R. CIDOC CRM, “Certainty and belief values issue CIDOC CRM.” 2017. Accessed: Apr. 01, 2021. [Online]. Available: http://www.cidoc-crm.org/Issue/ID-349-belief-values</w:t>
      </w:r>
    </w:p>
    <w:p w14:paraId="5399EF4C" w14:textId="77777777" w:rsidR="00232D60" w:rsidRDefault="00000000">
      <w:pPr>
        <w:rPr>
          <w:lang w:val="es-ES"/>
        </w:rPr>
      </w:pPr>
      <w:r>
        <w:rPr>
          <w:sz w:val="16"/>
          <w:lang w:val="en-GB"/>
        </w:rPr>
        <w:fldChar w:fldCharType="end"/>
      </w:r>
    </w:p>
    <w:sectPr w:rsidR="00232D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20FF"/>
    <w:multiLevelType w:val="hybridMultilevel"/>
    <w:tmpl w:val="6EC27908"/>
    <w:lvl w:ilvl="0" w:tplc="B776D910">
      <w:start w:val="1"/>
      <w:numFmt w:val="bullet"/>
      <w:pStyle w:val="property"/>
      <w:lvlText w:val="-"/>
      <w:lvlJc w:val="left"/>
      <w:pPr>
        <w:ind w:left="93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2052917696">
    <w:abstractNumId w:val="0"/>
  </w:num>
  <w:num w:numId="2" w16cid:durableId="13070101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40"/>
  <w:defaultTabStop w:val="708"/>
  <w:hyphenationZone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C2"/>
    <w:rsid w:val="00232D60"/>
    <w:rsid w:val="004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5A604D3"/>
  <w15:chartTrackingRefBased/>
  <w15:docId w15:val="{3D798473-5238-F541-AF63-D474528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firstLine="210"/>
      <w:jc w:val="both"/>
    </w:pPr>
    <w:rPr>
      <w:rFonts w:ascii="Times New Roman" w:eastAsia="MS Mincho" w:hAnsi="Times New Roman" w:cs="Times New Roman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uppressAutoHyphens w:val="0"/>
      <w:spacing w:before="100" w:beforeAutospacing="1" w:after="100" w:afterAutospacing="1"/>
      <w:ind w:firstLine="0"/>
      <w:jc w:val="left"/>
    </w:pPr>
    <w:rPr>
      <w:rFonts w:eastAsiaTheme="minorEastAsia"/>
      <w:sz w:val="24"/>
      <w:lang w:val="es-ES" w:eastAsia="zh-CN"/>
    </w:rPr>
  </w:style>
  <w:style w:type="paragraph" w:customStyle="1" w:styleId="property">
    <w:name w:val="property"/>
    <w:basedOn w:val="Normal"/>
    <w:qFormat/>
    <w:pPr>
      <w:numPr>
        <w:numId w:val="2"/>
      </w:numPr>
      <w:suppressAutoHyphens w:val="0"/>
      <w:spacing w:line="256" w:lineRule="auto"/>
    </w:pPr>
    <w:rPr>
      <w:rFonts w:ascii="Courier" w:hAnsi="Courier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3070</Characters>
  <Application>Microsoft Office Word</Application>
  <DocSecurity>0</DocSecurity>
  <Lines>80</Lines>
  <Paragraphs>17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ROS MUNOZ</dc:creator>
  <cp:keywords/>
  <dc:description/>
  <cp:lastModifiedBy>SALVADOR ROS MUNOZ</cp:lastModifiedBy>
  <cp:revision>2</cp:revision>
  <dcterms:created xsi:type="dcterms:W3CDTF">2022-08-29T10:54:00Z</dcterms:created>
  <dcterms:modified xsi:type="dcterms:W3CDTF">2022-08-29T10:54:00Z</dcterms:modified>
</cp:coreProperties>
</file>