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kho-dữ-liệu-olap-phân-tích-thị-trường"/>
    <w:p>
      <w:pPr>
        <w:pStyle w:val="Heading1"/>
      </w:pPr>
      <w:r>
        <w:rPr>
          <w:rFonts w:ascii="Times New Roman" w:hAnsi="Times New Roman"/>
          <w:sz w:val="24"/>
        </w:rPr>
        <w:t xml:space="preserve">3. KHO DỮ LIỆU (OLAP) — Phân tích thị trường</w:t>
      </w:r>
    </w:p>
    <w:bookmarkStart w:id="22" w:name="X4366cf4ab59fc8e3accfa321168379548baaff5"/>
    <w:p>
      <w:pPr>
        <w:pStyle w:val="Heading2"/>
      </w:pPr>
      <w:r>
        <w:rPr>
          <w:rFonts w:ascii="Times New Roman" w:hAnsi="Times New Roman"/>
          <w:sz w:val="24"/>
        </w:rPr>
        <w:t xml:space="preserve">3.1 Mô hình dữ liệu mức High Level / Conceptual</w:t>
      </w:r>
    </w:p>
    <w:bookmarkStart w:id="20" w:name="sơ-đồ-erd"/>
    <w:p>
      <w:pPr>
        <w:pStyle w:val="Heading3"/>
      </w:pPr>
      <w:r>
        <w:rPr>
          <w:rFonts w:ascii="Times New Roman" w:hAnsi="Times New Roman"/>
          <w:sz w:val="24"/>
        </w:rPr>
        <w:t xml:space="preserve">3.1.1 Sơ đồ ERD</w:t>
      </w:r>
    </w:p>
    <w:p>
      <w:pPr>
        <w:pStyle w:val="SourceCode"/>
      </w:pPr>
      <w:r>
        <w:rPr>
          <w:rStyle w:val="VerbatimChar"/>
          <w:rFonts w:ascii="Times New Roman" w:hAnsi="Times New Roman"/>
          <w:sz w:val="24"/>
        </w:rPr>
        <w:t xml:space="preserve">erDiagram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 ||--o{ FACT_MARKET_RISK_SNAPSHOT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 ||--o{ FACT_SECTOR_RISK_SNAPSHOT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INDUSTRY_DIMENSION ||--o{ FACT_SECTOR_RISK_SNAPSHOT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 ||--o{ FACT_ORDER_SIZE_SNAPSHOT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 ||--o{ FACT_INVESTOR_FLOW_SNAPSHOT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INVESTOR_GROUP_DIMENSION ||--o{ FACT_INVESTOR_FLOW_SNAPSHOT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 ||--o{ FACT_FOREIGN_NET_TRADE_SNAPSHOT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 ||--o{ FACT_PROPRIETARY_NET_TRADE_SNAPSHOT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 ||--o{ FACT_CORPORATE_BOND_SECTOR_SNAPSHOT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CORP_BOND_SECTOR_DIMENSION ||--o{ FACT_CORPORATE_BOND_SECTOR_SNAPSHOT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 ||--o{ FACT_CORPORATE_BOND_MARKET_SNAPSHOT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 ||--o{ FACT_CORPORATE_BOND_MATURITY_WALL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 ||--o{ FACT_FUTURES_INTRADAY_SNAPSHOT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 ||--o{ FACT_FUTURES_INVESTOR_FLOW_SNAPSHOT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 ||--o{ FACT_MARKET_STATISTICS_SNAPSHOT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CALENDAR_DATE_DIMENSION ||--o{ FACT_MEMBER_SAFETY_PER_MEMBER_SNAPSHOT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SECURITIES_COMPANY_DIMENSION ||--o{ FACT_MEMBER_SAFETY_PER_MEMBER_SNAPSHOT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OPERATIONAL_CORPORATE_BOND_ISSUER_CREDIT_MONITOR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OPERATIONAL_MEMBER_SAFETY_MONITOR</w:t>
      </w:r>
    </w:p>
    <w:bookmarkEnd w:id="20"/>
    <w:bookmarkStart w:id="21" w:name="danh-sách-thực-thể"/>
    <w:p>
      <w:pPr>
        <w:pStyle w:val="Heading3"/>
      </w:pPr>
      <w:r>
        <w:rPr>
          <w:rFonts w:ascii="Times New Roman" w:hAnsi="Times New Roman"/>
          <w:sz w:val="24"/>
        </w:rPr>
        <w:t xml:space="preserve">3.1.2 Danh sách thực thể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0"/>
        <w:gridCol w:w="3500"/>
        <w:gridCol w:w="2700"/>
        <w:gridCol w:w="7399"/>
      </w:tblGrid>
      <w:tr>
        <w:trPr>
          <w:tblHeader w:val="on"/>
          <w:cantSplit/>
        </w:trPr>
        <w:tc>
          <w:tcPr>
            <w:tcW w:w="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3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Thực thể</w:t>
            </w:r>
          </w:p>
        </w:tc>
        <w:tc>
          <w:tcPr>
            <w:tcW w:w="27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bảng</w:t>
            </w:r>
          </w:p>
        </w:tc>
        <w:tc>
          <w:tcPr>
            <w:tcW w:w="739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Calendar Date Dimension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cdr_dt_dim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Chiều thời gian dùng chung toàn hệ thống — SCD4A — grain 1 row/ngày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Industry Dimension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industry_dim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Chiều ngành nghề kinh doanh mã CK — SCD4A — reuse từ GSDC (2026-08-17) — grain 1 row/ngành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Investor Group Dimension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investor_group_dim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Chiều nhóm nhà đầu tư (NĐTNN/Tự doanh/Tổ chức trong nước/Cá nhân trong nước) — SCD4A — grain 1 row/nhóm NĐT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Corp Bond Sector Dimension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corp_bond_industry_dim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Chiều ngành nghề tổ chức phát hành trái phiếu doanh nghiệp — SCD4A — grain 1 row/ngành TCPH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 Company Dimension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scr_co_dim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Chiều công ty chứng khoán thành viên — SCD4A — grain 1 row/CTCK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 Dimension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securities_dim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Chiều mã chứng khoán/HĐTL/mã TP (reuse từ module NDTNN) — SCD4A — grain 1 row/mã CK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Fact Market Risk Snapshot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fct_market_risk_snpst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Chỉ số rủi ro hệ thống tổng hợp theo ngày — Risk Index, Volatility, Z-score, Sentiment, Margin Stress — grain 1 row/ngày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Fact Sector Risk Snapshot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fct_sector_risk_snpst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Chỉ số áp lực, thanh khoản và sức khỏe tài chính theo ngành — StressScore, D/E, GTGD ngành — grain 1 row/ngành/ngày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Fact Order Size Snapshot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fct_order_size_snpst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GTGD và phân loại quy mô lệnh per mã CK theo ngày — grain 1 row/mã CK/order_size_band/ngày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Fact Investor Flow Snapshot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fct_investor_flow_snpst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GTGD mua/bán/dòng tiền ròng theo nhóm nhà đầu tư — grain 1 row/nhóm NĐT/ngày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Fact Foreign Net Trade Snapshot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fct_foreign_net_trade_snpst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GTGD mua/bán/dòng tiền ròng NĐTNN per mã CK — grain 1 row/mã CK/ngày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Fact Proprietary Net Trade Snapshot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fct_proprietary_net_trade_snpst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GTGD mua/bán/dòng tiền ròng khối tự doanh per mã CK — grain 1 row/mã CK/ngày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13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Fact Corporate Bond Sector Snapshot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fct_corporate_bond_sector_snpst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GTGD trái phiếu và tỷ trọng dư nợ theo ngành TCPH — grain 1 row/ngành TCPH/kỳ báo cáo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14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Fact Member Safety Per Member Snapshot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fct_mbr_sfty_per_mbr_snpst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Chỉ tiêu an toàn tài chính per CTCK per ngày — grain 1 row/CTCK/ngày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15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Fact Corporate Bond Market Snapshot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fct_corporate_bond_market_snpst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Quy mô thị trường TPDN tổng hợp toàn thị trường theo ngày — grain 1 row/ngày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16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Fact Corporate Bond Maturity Wall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fct_corporate_bond_maturity_wall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Lịch biểu đáo hạn trái phiếu per mã TP — 2 luồng nguồn (niêm yết READY / riêng lẻ VSDC BM29 PENDING) — grain 1 row/mã TP/kỳ (quý)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17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Fact Futures Intraday Snapshot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fct_futures_intraday_snpst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Biến động giá/KLGD trong phiên của HĐTL chỉ số (VN30/VN100) — dùng chung entity equity — grain 1 row/mã HĐTL/mốc thời gian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18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Fact Futures Investor Flow Snapshot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fct_futures_investor_flow_snpst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GTGD mua/bán/dòng tiền ròng NĐTNN + Tự doanh trên HĐTL chỉ số — grain 1 row/nhóm NĐT/mã HĐTL/ngày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19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Fact Market Statistics Snapshot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fct_market_statistics_snpst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Bộ chỉ tiêu thống kê theo chỉ số (Data Explorer) — grain 1 row/chỉ số/ngày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20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Fact Market Statistics By Industry Snapshot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fct_market_statistics_by_industry_snpst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Bộ chỉ tiêu thống kê breakdown theo ngành nghề kinh tế (Data Explorer) — grain 1 row/ngành/ngày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21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Fact Market Statistics By Cap Snapshot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fct_market_statistics_by_cap_snpst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Bộ chỉ tiêu thống kê breakdown theo nhóm vốn hóa + GTGD/GDP (Data Explorer) — grain 1 row/(ngành × nhóm vốn hóa)/ngày</w:t>
            </w:r>
          </w:p>
        </w:tc>
      </w:tr>
      <w:tr>
        <w:trPr>
          <w:cantSplit/>
        </w:trPr>
        <w:tc>
          <w:tcPr>
            <w:tcW w:w="40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22</w:t>
            </w:r>
          </w:p>
        </w:tc>
        <w:tc>
          <w:tcPr>
            <w:tcW w:w="3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Operational Corporate Bond Issuer Credit Monitor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opr_corporate_bond_issuer_credit_monitor</w:t>
            </w:r>
          </w:p>
        </w:tc>
        <w:tc>
          <w:tcPr>
            <w:tcW w:w="739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Danh sách TCPH TPDN kèm chỉ tiêu tín dụng (D/E, ROE) để giám sát rủi ro — grain 1 row/TCPH/kỳ báo cáo</w:t>
            </w:r>
          </w:p>
        </w:tc>
      </w:tr>
      <w:tr>
        <w:trPr>
          <w:cantSplit/>
        </w:trPr>
        <w:tc>
          <w:tcPr>
            <w:tcW w:w="40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23</w:t>
            </w:r>
          </w:p>
        </w:tc>
        <w:tc>
          <w:tcPr>
            <w:tcW w:w="3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Operational Member Safety Monitor</w:t>
            </w:r>
          </w:p>
        </w:tc>
        <w:tc>
          <w:tcPr>
            <w:tcW w:w="27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opr_mbr_sfty_monitor</w:t>
            </w:r>
          </w:p>
        </w:tc>
        <w:tc>
          <w:tcPr>
            <w:tcW w:w="739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Danh sách CTCK kèm chỉ tiêu an toàn tài chính, sắp xếp theo mức độ rủi ro — grain 1 row/CTCK/ngày</w:t>
            </w:r>
          </w:p>
        </w:tc>
      </w:tr>
    </w:tbl>
    <w:p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21"/>
    <w:bookmarkEnd w:id="22"/>
    <w:bookmarkStart w:id="40" w:name="mô-hình-dữ-liệu-mức-logic"/>
    <w:p>
      <w:pPr>
        <w:pStyle w:val="Heading2"/>
      </w:pPr>
      <w:r>
        <w:rPr>
          <w:rFonts w:ascii="Times New Roman" w:hAnsi="Times New Roman"/>
          <w:sz w:val="24"/>
        </w:rPr>
        <w:t xml:space="preserve">3.2 Mô hình dữ liệu mức Logic</w:t>
      </w:r>
    </w:p>
    <w:bookmarkStart w:id="23" w:name="sơ-đồ-erd-1"/>
    <w:p>
      <w:pPr>
        <w:pStyle w:val="Heading3"/>
      </w:pPr>
      <w:r>
        <w:rPr>
          <w:rFonts w:ascii="Times New Roman" w:hAnsi="Times New Roman"/>
          <w:sz w:val="24"/>
        </w:rPr>
        <w:t xml:space="preserve">3.2.1 Sơ đồ ERD</w:t>
      </w:r>
    </w:p>
    <w:p>
      <w:pPr>
        <w:pStyle w:val="SourceCode"/>
      </w:pPr>
      <w:r>
        <w:rPr>
          <w:rStyle w:val="VerbatimChar"/>
          <w:rFonts w:ascii="Times New Roman" w:hAnsi="Times New Roman"/>
          <w:sz w:val="24"/>
        </w:rPr>
        <w:t xml:space="preserve">erDiagram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CORP_BOND_INDUSTRY_DIMENSION["Corp Bond Industry Dimension"]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Corp_Bond_Industry_Dimension_Id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Industry_Code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Industry_Name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Source_System_Code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FACT_CORPORATE_BOND_MARKET_SNAPSHOT["Fact Corporate Bond Market Snapshot"]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Snapshot_Date_Dimension_Id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Par_Value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Outstanding_Volume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Bond_Outstanding_Value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Maturity_Pressure_12_Months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Maturity_Pressure_12_Months_Previous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Maturity_Pressure_Growth_Percentage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FACT_CORPORATE_BOND_MATURITY_WALL["Fact Corporate Bond Maturity Wall"]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Snapshot_Date_Dimension_Id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Securities_Dimension_Id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Ranking_Code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FACT_CORPORATE_BOND_SECTOR_SNAPSHOT["Fact Corporate Bond Sector Snapshot"]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Snapshot_Date_Dimension_Id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Corp_Bond_Industry_Dimension_Id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Bond_Outstanding_Value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Bond_Outstanding_Value_Total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Bond_Outstanding_Ratio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FACT_FOREIGN_NET_TRADE_SNAPSHOT["Fact Foreign Net Trade Snapshot"]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Snapshot_Date_Dimension_Id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Security_Symbol_Code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Foreign_Buy_Value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Foreign_Sell_Value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Foreign_Net_Value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FACT_FUTURES_INTRADAY_SNAPSHOT["Fact Futures Intraday Snapshot"]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Snapshot_Date_Dimension_Id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Security_Symbol_Code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Underlying_Symbol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Maturity_Month_Year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Close_Price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Reference_Price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Price_Change_Percentage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Total_Trading_Volume_Matched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Total_Trading_Volume_Matched_Average_50_Days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Liquidity_Spike_Ratio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FACT_FUTURES_INVESTOR_FLOW_SNAPSHOT["Fact Futures Investor Flow Snapshot"]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Snapshot_Date_Dimension_Id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Security_Symbol_Code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Underlying_Symbol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Foreign_Buy_Volume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Foreign_Sell_Volume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Foreign_Net_Volume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Proprietary_Buy_Volume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Proprietary_Sell_Volume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Proprietary_Net_Volume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FACT_INVESTOR_FLOW_SNAPSHOT["Fact Investor Flow Snapshot"]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Snapshot_Date_Dimension_Id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Investor_Group_Dimension_Id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Buy_Value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Sell_Value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Net_Flow_Value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Trading_Value_Ratio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FACT_MARKET_RISK_SNAPSHOT["Fact Market Risk Snapshot"]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Snapshot_Date_Dimension_Id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Volatility_30_Days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Z_Score_Volatility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Z_Score_Liquidity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Z_Score_Margin_Balance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Z_Score_Interbank_Rate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Z_Score_Foreign_Net_Flow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Total_Market_Cap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Margin_To_Market_Cap_Ratio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Beta_Volatility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Beta_Liquidity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Beta_Margin_Balance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Beta_Interbank_Rate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Beta_Foreign_Net_Flow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Beta_Equity_Capital_Raising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Beta_Intercept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Epsilon_Error_Term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Risk_Index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Z_Score_Equity_Capital_Raising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Equity_Capital_Raising_Amount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Z_Score_Margin_Balance_Current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Margin_To_Cap_Ratio_Stddev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Margin_To_Cap_Ratio_Current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Margin_To_Cap_Ratio_Avg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Index_Log_Return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Illiquidity_Ratio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Foreign_Net_Flow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VNIndex_Value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Weight_Liquidity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Weight_Stability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Sentiment_Index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Sentiment_Index_Status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Margin_Tension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Margin_Tension_Status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VNIndex_Daily_Return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Systemic_Vol_Current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Systemic_Vol_Max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Systemic_Vol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Systemic_Vol_Status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VNIndex_Value_Previous_Day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VNIndex_Daily_Return_Average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Index_Value_Monthly_Average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Total_Trading_Value_Matched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Total_Trading_Value_Matched_Previous_Day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Total_Order_Count_Matched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Average_Order_Size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Total_Trading_Volume_Matched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Total_Trading_Value_Matched_Average_50_Days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Total_Trading_Value_Matched_Average_N_Days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Net_Flow_Foreign_Average_30_Days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Net_Flow_Proprietary_Average_30_Days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Net_Flow_Correlation_Foreign_Proprietary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FACT_MARKET_STATISTICS_SNAPSHOT["Fact Market Statistics Snapshot"]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Snapshot_Date_Dimension_Id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Market_Code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Total_Trading_Volume_Matched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Close_Price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Close_Price_Previous_Day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Price_Change_Percentage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Total_Trading_Value_Matched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Total_Trading_Value_Matched_Average_50_Days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FACT_ORDER_SIZE_SNAPSHOT["Fact Order Size Snapshot"]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Snapshot_Date_Dimension_Id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Security_Symbol_Code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Total_Trading_Value_Matched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Order_Size_Band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Total_Trading_Volume_Matched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FACT_PROPRIETARY_NET_TRADE_SNAPSHOT["Fact Proprietary Net Trade Snapshot"]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Snapshot_Date_Dimension_Id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Security_Symbol_Code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Proprietary_Buy_Value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Proprietary_Sell_Value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Proprietary_Net_Value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FACT_SECTOR_RISK_SNAPSHOT["Fact Sector Risk Snapshot"]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Snapshot_Date_Dimension_Id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Industry_Dimension_Id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Total_Value_Sector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INVESTOR_GROUP_DIMENSION["Investor Group Dimension"]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Investor_Group_Dimension_Id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Investor_Group_Code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Investor_Group_Name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Source_System_Code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OPERATIONAL_CORPORATE_BOND_ISSUER_CREDIT_MONITOR["Operational Corporate Bond Issuer Credit Monitor"]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Issuer_Symbol_Code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Snapshot_Date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Bond_Outstanding_Value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Par_Value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Outstanding_Volume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Audit_Opinion_Text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Ranking_Code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Risk_Rating_Text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INVESTOR_GROUP_DIMENSION ||--o{ FACT_INVESTOR_FLOW_SNAPSHOT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CORP_BOND_INDUSTRY_DIMENSION ||--o{ FACT_CORPORATE_BOND_SECTOR_SNAPSHOT : " "</w:t>
      </w:r>
    </w:p>
    <w:bookmarkEnd w:id="23"/>
    <w:bookmarkStart w:id="39" w:name="danh-sách-các-bảng-và-thuộc-tính"/>
    <w:p>
      <w:pPr>
        <w:pStyle w:val="Heading3"/>
      </w:pPr>
      <w:r>
        <w:rPr>
          <w:rFonts w:ascii="Times New Roman" w:hAnsi="Times New Roman"/>
          <w:sz w:val="24"/>
        </w:rPr>
        <w:t xml:space="preserve">3.2.2 Danh sách các bảng và thuộc tính</w:t>
      </w:r>
    </w:p>
    <w:bookmarkStart w:id="24" w:name="bảng-corp-bond-industry-dimension"/>
    <w:p>
      <w:pPr>
        <w:pStyle w:val="Heading4"/>
      </w:pPr>
      <w:r>
        <w:rPr>
          <w:rFonts w:ascii="Times New Roman" w:hAnsi="Times New Roman"/>
          <w:sz w:val="24"/>
        </w:rPr>
        <w:t xml:space="preserve">3.2.2.1 Bảng Corp Bond Industry Dimension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Corp Bond Industry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chính bảng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Industry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ngành nghề cấp 1 (Classification Business Line Code) của TCPH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Industry Name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ngành nghề cấp 1 của TCPH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Source System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 — Driving: cl_business_line, current-state SCD4A lấy bản ghi mới nhất theo Industry Code</w:t>
            </w:r>
          </w:p>
        </w:tc>
      </w:tr>
    </w:tbl>
    <w:bookmarkEnd w:id="24"/>
    <w:bookmarkStart w:id="25" w:name="bảng-fact-corporate-bond-market-snapshot"/>
    <w:p>
      <w:pPr>
        <w:pStyle w:val="Heading4"/>
      </w:pPr>
      <w:r>
        <w:rPr>
          <w:rFonts w:ascii="Times New Roman" w:hAnsi="Times New Roman"/>
          <w:sz w:val="24"/>
        </w:rPr>
        <w:t xml:space="preserve">3.2.2.2 Bảng Fact Corporate Bond Market Snapshot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Snapshot Date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to Calendar Date Dimension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Par Value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Mệnh giá trái phiếu (100.000 VND/TP) — hardcode theo BA note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Outstanding Volume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KL TP lưu hành toàn thị trường ngày 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Bond Outstanding Value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dư nợ trái phiếu toàn thị trường ngày 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Maturity Pressure 12 Months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Áp lực đáo hạn 12 tháng — tổng dư nợ TP có ngày đáo hạn trong 365 ngày tới tính từ ngày 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Maturity Pressure 12 Months Previous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Áp lực đáo hạn 12 tháng tại kỳ liền trước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Maturity Pressure Growth Percentage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Tăng trưởng áp lực đáo hạn so với kỳ trước</w:t>
            </w:r>
          </w:p>
        </w:tc>
      </w:tr>
    </w:tbl>
    <w:bookmarkEnd w:id="25"/>
    <w:bookmarkStart w:id="26" w:name="bảng-fact-corporate-bond-maturity-wall"/>
    <w:p>
      <w:pPr>
        <w:pStyle w:val="Heading4"/>
      </w:pPr>
      <w:r>
        <w:rPr>
          <w:rFonts w:ascii="Times New Roman" w:hAnsi="Times New Roman"/>
          <w:sz w:val="24"/>
        </w:rPr>
        <w:t xml:space="preserve">3.2.2.3 Bảng Fact Corporate Bond Maturity Wall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Snapshot Date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lịch ngày — snapshot theo ngày giao dịch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 Dimension Id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to Securities Dimension (reuse từ module NDTNN)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Ranking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Xếp hạng tín nhiệm DN — dùng chung cho cả nhánh niêm yết + riêng lẻ</w:t>
            </w:r>
          </w:p>
        </w:tc>
      </w:tr>
    </w:tbl>
    <w:bookmarkEnd w:id="26"/>
    <w:bookmarkStart w:id="27" w:name="bảng-fact-corporate-bond-sector-snapshot"/>
    <w:p>
      <w:pPr>
        <w:pStyle w:val="Heading4"/>
      </w:pPr>
      <w:r>
        <w:rPr>
          <w:rFonts w:ascii="Times New Roman" w:hAnsi="Times New Roman"/>
          <w:sz w:val="24"/>
        </w:rPr>
        <w:t xml:space="preserve">3.2.2.4 Bảng Fact Corporate Bond Sector Snapshot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Snapshot Date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to Calendar Date Dimension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Corp Bond Industry Dimension Id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to Corp Bond Industry Dimension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Bond Outstanding Value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dư nợ trái phiếu theo ngành TCPH tại ngày 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Bond Outstanding Value Total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Dư nợ trái phiếu toàn thị trường tại ngày t (tổng tất cả ngành, mẫu số Tỷ trọng)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Bond Outstanding Ratio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Tỷ trọng dư nợ trái phiếu theo ngành TCPH</w:t>
            </w:r>
          </w:p>
        </w:tc>
      </w:tr>
    </w:tbl>
    <w:bookmarkEnd w:id="27"/>
    <w:bookmarkStart w:id="28" w:name="bảng-fact-foreign-net-trade-snapshot"/>
    <w:p>
      <w:pPr>
        <w:pStyle w:val="Heading4"/>
      </w:pPr>
      <w:r>
        <w:rPr>
          <w:rFonts w:ascii="Times New Roman" w:hAnsi="Times New Roman"/>
          <w:sz w:val="24"/>
        </w:rPr>
        <w:t xml:space="preserve">3.2.2.5 Bảng Fact Foreign Net Trade Snapshot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Snapshot Date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to Calendar Date Dimension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Security Symbol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chứng khoán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Foreign Buy Value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GTGD mua NĐTNN per mã CK tại ngày 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Foreign Sell Value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GTGD bán NĐTNN per mã CK tại ngày 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Foreign Net Value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Dòng tiền ròng NĐTNN per mã CK tại ngày t (Buy − Sell)</w:t>
            </w:r>
          </w:p>
        </w:tc>
      </w:tr>
    </w:tbl>
    <w:bookmarkEnd w:id="28"/>
    <w:bookmarkStart w:id="29" w:name="bảng-fact-futures-intraday-snapshot"/>
    <w:p>
      <w:pPr>
        <w:pStyle w:val="Heading4"/>
      </w:pPr>
      <w:r>
        <w:rPr>
          <w:rFonts w:ascii="Times New Roman" w:hAnsi="Times New Roman"/>
          <w:sz w:val="24"/>
        </w:rPr>
        <w:t xml:space="preserve">3.2.2.6 Bảng Fact Futures Intraday Snapshot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Snapshot Date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to Calendar Date Dimension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Security Symbol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hợp đồng tương lai (VN30F1M/VN30F2M/VN100F1M/VN100F2M…)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Underlying Symbol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số cơ sở (VN30/VN100)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Maturity Month Year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Tháng đáo hạn hợp đồng — dùng để lọc F1M (tháng gần nhất)/F2M (tháng tiếp theo)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Close Price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đóng cửa HĐTL ngày t (Pt)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Reference Price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tham chiếu ngày t (Ptc — giá đóng cửa ngày t-1 theo quy tắc khớp lệnh)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Price Change Percentage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Tỷ lệ thay đổi giá HĐTL (%)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 Trading Volume Matched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KLGD HĐTL ngày 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 Trading Volume Matched Average 50 Days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KLGD HĐTL trung bình 50 phiên (MA50)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Liquidity Spike Ratio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Tỷ lệ đột biến thanh khoản HĐTL</w:t>
            </w:r>
          </w:p>
        </w:tc>
      </w:tr>
    </w:tbl>
    <w:bookmarkEnd w:id="29"/>
    <w:bookmarkStart w:id="30" w:name="bảng-fact-futures-investor-flow-snapshot"/>
    <w:p>
      <w:pPr>
        <w:pStyle w:val="Heading4"/>
      </w:pPr>
      <w:r>
        <w:rPr>
          <w:rFonts w:ascii="Times New Roman" w:hAnsi="Times New Roman"/>
          <w:sz w:val="24"/>
        </w:rPr>
        <w:t xml:space="preserve">3.2.2.7 Bảng Fact Futures Investor Flow Snapshot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Snapshot Date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to Calendar Date Dimension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Security Symbol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hợp đồng tương lai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Underlying Symbol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số cơ sở (VN30/VN100)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Foreign Buy Volume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KLGD NĐTNN mua HĐTL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Foreign Sell Volume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KLGD NĐTNN bán HĐTL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Foreign Net Volume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Dòng tiền ròng NĐTNN HĐTL (Buy − Sell)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Proprietary Buy Volume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KLGD Tự doanh mua HĐTL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Proprietary Sell Volume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KLGD Tự doanh bán HĐTL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Proprietary Net Volume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Dòng tiền ròng Tự doanh HĐTL (Buy − Sell)</w:t>
            </w:r>
          </w:p>
        </w:tc>
      </w:tr>
    </w:tbl>
    <w:bookmarkEnd w:id="30"/>
    <w:bookmarkStart w:id="31" w:name="bảng-fact-investor-flow-snapshot"/>
    <w:p>
      <w:pPr>
        <w:pStyle w:val="Heading4"/>
      </w:pPr>
      <w:r>
        <w:rPr>
          <w:rFonts w:ascii="Times New Roman" w:hAnsi="Times New Roman"/>
          <w:sz w:val="24"/>
        </w:rPr>
        <w:t xml:space="preserve">3.2.2.8 Bảng Fact Investor Flow Snapshot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Snapshot Date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to Calendar Date Dimension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Investor Group Dimension Id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to Investor Group Dimension — 1 trong 6 giá trị cố định, xem investor_group_dim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Buy Value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GTGD mua theo nhóm NĐT tại ngày t — filter theo Investor Group Dimension Id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Sell Value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GTGD bán theo nhóm NĐT tại ngày t — filter theo Investor Group Dimension Id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Net Flow Value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Dòng tiền ròng theo nhóm NĐT tại ngày t (Buy − Sell)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Trading Value Ratio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Tỷ trọng GTGD nhóm NĐT trên tổng GTGD toàn thị trường</w:t>
            </w:r>
          </w:p>
        </w:tc>
      </w:tr>
    </w:tbl>
    <w:bookmarkEnd w:id="31"/>
    <w:bookmarkStart w:id="32" w:name="bảng-fact-market-risk-snapshot"/>
    <w:p>
      <w:pPr>
        <w:pStyle w:val="Heading4"/>
      </w:pPr>
      <w:r>
        <w:rPr>
          <w:rFonts w:ascii="Times New Roman" w:hAnsi="Times New Roman"/>
          <w:sz w:val="24"/>
        </w:rPr>
        <w:t xml:space="preserve">3.2.2.9 Bảng Fact Market Risk Snapshot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Snapshot Date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to Calendar Date Dimension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Volatility 30 Days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Biến động giá VN-Index 30 phiên (độ lệch chuẩn log-return)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Z Score Volatility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Z-score Biến động giá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Z Score Liquidity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Z-score Thanh khoản ILLIQ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Z Score Margin Balance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Z-score Dư nợ Margin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Z Score Interbank Rate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Z-score Lãi suất liên ngân hàng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Z Score Foreign Net Flow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Z-score Dòng tiền ròng NĐTNN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 Market Cap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vốn hóa thị trường MCAPt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Margin To Market Cap Ratio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Tỷ lệ Dư nợ Margin / Tổng vốn hóa Mt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Beta Volatility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Hệ số hồi quy β — Biến động chỉ số VN-Index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Beta Liquidity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Hệ số hồi quy β — Thanh khoản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Beta Margin Balance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Hệ số hồi quy β — Dư nợ Margin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Beta Interbank Rate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Hệ số hồi quy β — Lãi suất liên ngân hàng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Beta Foreign Net Flow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Hệ số hồi quy β — Dòng tiền ròng NĐTNN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Beta Equity Capital Raising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Hệ số hồi quy β — Huy động vốn cổ phần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Beta Intercept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Hằng số hồi quy β0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Epsilon Error Term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Sai số hồi quy ε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Risk Index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Risk Index — Chỉ số rủi ro hệ thống tổng hợp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19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Z Score Equity Capital Raising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Z-score Huy động vốn cổ phần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20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Equity Capital Raising Amount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Huy động vốn cổ phần thị trường tại ngày t — tổng 3 nguồn UNION ALL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Z Score Margin Balance Current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Z-score Dư nợ Margin — giá trị chuẩn hóa ngày 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Margin To Cap Ratio Stddev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Độ lệch chuẩn chuỗi tỷ lệ Dư nợ Margin/MCAP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Margin To Cap Ratio Current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Tỷ lệ Dư nợ Margin / Tổng vốn hóa tại ngày 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Margin To Cap Ratio Avg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Tỷ lệ Dư nợ Margin / Tổng vốn hóa trung bình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Index Log Return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hiện tại — log return chỉ số VN-Index ngày 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Illiquidity Ratio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hiện tại — tỷ lệ thanh khoản ILLIQ ngày 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Foreign Net Flow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hiện tại — dòng tiền ròng NĐTNN ngày 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VNIndex Value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Điểm chứng khoán VN-Index ngày 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29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Weight Liquidity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Trọng số W1 áp dụng cho S_liquidity trong công thức Sentiment Score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30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Weight Stability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Trọng số W2 áp dụng cho S_stability trong công thức Sentiment Score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Sentiment Index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Chỉ số tâm lý giao dịch toàn thị trường — weighted average Sentiment Score theo GTGD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Sentiment Index Status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Ngưỡng trạng thái Sentiment Index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Margin Tension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Chỉ số độ căng margin — tỷ lệ dư nợ margin trên hạn mức tối đa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Margin Tension Status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Ngưỡng trạng thái Margin Tension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VNIndex Daily Return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Lợi suất ngày VN-Index Rt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Systemic Vol Current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Độ lệch chuẩn biến động VN-Index 20 phiên (annualized)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Systemic Vol Max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Độ lệch chuẩn biến động VN-Index lịch sử tối đa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Systemic Vol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Chỉ số biến động hệ thống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39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Systemic Vol Status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Ngưỡng trạng thái Systemic Vol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40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VNIndex Value Previous Day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Điểm chứng khoán VN-Index phiên trước (Pₜ₋₁) — sub-component tính Return VN-Index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VNIndex Daily Return Average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Lợi suất VN-Index trung bình N phiên (R̄ₙ) — cửa sổ tính correlation, mặc định 30 phiên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Index Value Monthly Average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Chỉ số Index bình quân toàn bộ tháng chứa ngày thống kê (VN-Index AVG tháng)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 Trading Value Matched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GTGD khớp lệnh toàn thị trường ngày t (GTGDₜ)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 Trading Value Matched Previous Day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GTGD khớp lệnh toàn thị trường ngày giao dịch trước (GTGDₜ₋₁)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 Order Count Matched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số lệnh khớp toàn thị trường ngày 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Average Order Size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Quy mô lệnh khớp trung bình ngày t (Triệu VND)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 Trading Volume Matched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Khối lượng giao dịch khớp lệnh toàn thị trường ngày t (Execution-Volume HOSE / Trade_quantity HNX)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 Trading Value Matched Average 50 Days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GTGD MA50 — Trung bình GTGD khớp lệnh 50 phiên giao dịch gần nhất tính đến ngày 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49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 Trading Value Matched Average N Days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Avg Trading Value — GTGD bình quân N phiên giao dịch gần nhất (N = tham số cấu hình), mẫu số công thức Margin Stress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50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Net Flow Foreign Average 30 Days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Dòng tiền ròng NĐTNN trung bình 30 phiên (MA30_NĐTNN) — toàn thị trường, không phân theo Investor Group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Net Flow Proprietary Average 30 Days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Dòng tiền ròng Tự doanh trung bình 30 phiên (MA30_TựDoanh) — toàn thị trường, không phân theo Investor Group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Net Flow Correlation Foreign Proprietary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Hệ số tương quan Pearson — dòng tiền ròng NĐTNN &amp; Tự doanh, cửa sổ 30 phiên</w:t>
            </w:r>
          </w:p>
        </w:tc>
      </w:tr>
    </w:tbl>
    <w:bookmarkEnd w:id="32"/>
    <w:bookmarkStart w:id="33" w:name="bảng-fact-market-statistics-snapshot"/>
    <w:p>
      <w:pPr>
        <w:pStyle w:val="Heading4"/>
      </w:pPr>
      <w:r>
        <w:rPr>
          <w:rFonts w:ascii="Times New Roman" w:hAnsi="Times New Roman"/>
          <w:sz w:val="24"/>
        </w:rPr>
        <w:t xml:space="preserve">3.2.2.10 Bảng Fact Market Statistics Snapshot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Snapshot Date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to Calendar Date Dimension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Market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Chiều Chỉ số (mã chỉ số/mã sàn)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 Trading Volume Matched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KLGD theo chỉ số tại ngày 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Close Price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đóng cửa ngày 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Close Price Previous Day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đóng cửa ngày t-1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Price Change Percentage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% thay đổi giá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 Trading Value Matched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GTGD phiên tại ngày 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 Trading Value Matched Average 50 Days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GTGD trung bình 50 phiên (MA50)</w:t>
            </w:r>
          </w:p>
        </w:tc>
      </w:tr>
    </w:tbl>
    <w:bookmarkEnd w:id="33"/>
    <w:bookmarkStart w:id="34" w:name="bảng-fact-order-size-snapshot"/>
    <w:p>
      <w:pPr>
        <w:pStyle w:val="Heading4"/>
      </w:pPr>
      <w:r>
        <w:rPr>
          <w:rFonts w:ascii="Times New Roman" w:hAnsi="Times New Roman"/>
          <w:sz w:val="24"/>
        </w:rPr>
        <w:t xml:space="preserve">3.2.2.11 Bảng Fact Order Size Snapshot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Snapshot Date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to Calendar Date Dimension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Security Symbol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chứng khoán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 Trading Value Matched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GTGD per mã CK tại ngày 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 Size Band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Phân loại quy mô lệnh (GTGD &gt;= 1 tỷ / GTGD &lt; 1 tỷ) per mã CK per ngày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 Trading Volume Matched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KL khớp lệnh tại ngày per mã CK</w:t>
            </w:r>
          </w:p>
        </w:tc>
      </w:tr>
    </w:tbl>
    <w:bookmarkEnd w:id="34"/>
    <w:bookmarkStart w:id="35" w:name="bảng-fact-proprietary-net-trade-snapshot"/>
    <w:p>
      <w:pPr>
        <w:pStyle w:val="Heading4"/>
      </w:pPr>
      <w:r>
        <w:rPr>
          <w:rFonts w:ascii="Times New Roman" w:hAnsi="Times New Roman"/>
          <w:sz w:val="24"/>
        </w:rPr>
        <w:t xml:space="preserve">3.2.2.12 Bảng Fact Proprietary Net Trade Snapshot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Snapshot Date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to Calendar Date Dimension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Security Symbol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chứng khoán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Proprietary Buy Value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GTGD mua tự doanh per mã CK tại ngày 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Proprietary Sell Value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GTGD bán tự doanh per mã CK tại ngày 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Proprietary Net Value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Dòng tiền ròng tự doanh per mã CK tại ngày t (Buy − Sell)</w:t>
            </w:r>
          </w:p>
        </w:tc>
      </w:tr>
    </w:tbl>
    <w:bookmarkEnd w:id="35"/>
    <w:bookmarkStart w:id="36" w:name="bảng-fact-sector-risk-snapshot"/>
    <w:p>
      <w:pPr>
        <w:pStyle w:val="Heading4"/>
      </w:pPr>
      <w:r>
        <w:rPr>
          <w:rFonts w:ascii="Times New Roman" w:hAnsi="Times New Roman"/>
          <w:sz w:val="24"/>
        </w:rPr>
        <w:t xml:space="preserve">3.2.2.13 Bảng Fact Sector Risk Snapshot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Snapshot Date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to Calendar Date Dimension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Industry Dimension Id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to Industry Dimension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 Value Sector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giá trị giao dịch toàn bộ cổ phiếu trong ngành ngày t (TotalValue_Sector)</w:t>
            </w:r>
          </w:p>
        </w:tc>
      </w:tr>
    </w:tbl>
    <w:bookmarkEnd w:id="36"/>
    <w:bookmarkStart w:id="37" w:name="bảng-investor-group-dimension"/>
    <w:p>
      <w:pPr>
        <w:pStyle w:val="Heading4"/>
      </w:pPr>
      <w:r>
        <w:rPr>
          <w:rFonts w:ascii="Times New Roman" w:hAnsi="Times New Roman"/>
          <w:sz w:val="24"/>
        </w:rPr>
        <w:t xml:space="preserve">3.2.2.14 Bảng Investor Group Dimension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Investor Group Dimension Id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nhóm nhà đầu tư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Investor Group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nhóm NĐT,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Investor Group Name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nhóm NĐT: NĐT nước ngoài / Tự doanh / Tổ chức trong nước / Cá nhân trong nước / Cá nhân nước ngoài / Tổ chức nước ngoài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Source System Code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</w:t>
            </w:r>
          </w:p>
        </w:tc>
      </w:tr>
    </w:tbl>
    <w:bookmarkEnd w:id="37"/>
    <w:bookmarkStart w:id="38" w:name="Xeecb3ea2fb2769501f3ae0bfeb2bf5971e396cb"/>
    <w:p>
      <w:pPr>
        <w:pStyle w:val="Heading4"/>
      </w:pPr>
      <w:r>
        <w:rPr>
          <w:rFonts w:ascii="Times New Roman" w:hAnsi="Times New Roman"/>
          <w:sz w:val="24"/>
        </w:rPr>
        <w:t xml:space="preserve">3.2.2.15 Bảng Operational Corporate Bond Issuer Credit Monitor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2000"/>
        <w:gridCol w:w="1500"/>
        <w:gridCol w:w="560"/>
        <w:gridCol w:w="560"/>
        <w:gridCol w:w="560"/>
        <w:gridCol w:w="680"/>
        <w:gridCol w:w="777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20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5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5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6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Mặc định</w:t>
            </w:r>
          </w:p>
        </w:tc>
        <w:tc>
          <w:tcPr>
            <w:tcW w:w="777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Issuer Symbol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TCPH (định danh qua mã TP)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Snapshot Date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Ngày thống kê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Bond Outstanding Value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Dư nợ trái phiếu per TCPH tại ngày 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Par Value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Mệnh giá trái phiếu (100.000 VND/TP) — hardcode theo BA note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Outstanding Volume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KL TP lưu hành per TCPH tại ngày 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Audit Opinion Text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Ý kiến kiểm toán per TCPH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20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Ranking Code</w:t>
            </w:r>
          </w:p>
        </w:tc>
        <w:tc>
          <w:tcPr>
            <w:tcW w:w="15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Xếp hạng tín nhiệm per TCPH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20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Risk Rating Text</w:t>
            </w:r>
          </w:p>
        </w:tc>
        <w:tc>
          <w:tcPr>
            <w:tcW w:w="15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56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6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777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Xếp loại rủi ro per TCPH (Thấp/Trung bình/Cao/Chưa xếp hạng), derive từ Ranking Code theo CASE WHEN BA cung cấp</w:t>
            </w:r>
          </w:p>
        </w:tc>
      </w:tr>
    </w:tbl>
    <w:p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38"/>
    <w:bookmarkEnd w:id="39"/>
    <w:bookmarkEnd w:id="40"/>
    <w:bookmarkStart w:id="60" w:name="mô-hình-dữ-liệu-mức-vật-lý"/>
    <w:p>
      <w:pPr>
        <w:pStyle w:val="Heading2"/>
      </w:pPr>
      <w:r>
        <w:rPr>
          <w:rFonts w:ascii="Times New Roman" w:hAnsi="Times New Roman"/>
          <w:sz w:val="24"/>
        </w:rPr>
        <w:t xml:space="preserve">3.3 Mô hình dữ liệu mức vật lý</w:t>
      </w:r>
    </w:p>
    <w:bookmarkStart w:id="41" w:name="sơ-đồ-erd-2"/>
    <w:p>
      <w:pPr>
        <w:pStyle w:val="Heading3"/>
      </w:pPr>
      <w:r>
        <w:rPr>
          <w:rFonts w:ascii="Times New Roman" w:hAnsi="Times New Roman"/>
          <w:sz w:val="24"/>
        </w:rPr>
        <w:t xml:space="preserve">3.3.1 Sơ đồ ERD</w:t>
      </w:r>
    </w:p>
    <w:p>
      <w:pPr>
        <w:pStyle w:val="SourceCode"/>
      </w:pPr>
      <w:r>
        <w:rPr>
          <w:rStyle w:val="VerbatimChar"/>
          <w:rFonts w:ascii="Times New Roman" w:hAnsi="Times New Roman"/>
          <w:sz w:val="24"/>
        </w:rPr>
        <w:t xml:space="preserve">erDiagram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CORP_BOND_INDUSTRY_DIMENSION["corp_bond_industry_dim"]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corp_bond_industry_dim_id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industry_code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industry_nm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src_stm_code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FACT_CORPORATE_BOND_MARKET_SNAPSHOT["fct_corporate_bond_market_snpst"]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snpst_dt_dim_id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par_val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outstanding_vol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bond_outstanding_val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maturity_pressure_12_months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maturity_pressure_12_months_previous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maturity_pressure_growth_percentage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FACT_CORPORATE_BOND_MATURITY_WALL["fct_corporate_bond_maturity_wall"]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snpst_dt_dim_id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securities_dim_id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ranking_code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FACT_CORPORATE_BOND_SECTOR_SNAPSHOT["fct_corporate_bond_sector_snpst"]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snpst_dt_dim_id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corp_bond_industry_dim_id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bond_outstanding_val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bond_outstanding_val_total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bond_outstanding_ratio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FACT_FOREIGN_NET_TRADE_SNAPSHOT["fct_foreign_net_trade_snpst"]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snpst_dt_dim_id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security_symbol_code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foreign_buy_val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foreign_sell_val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foreign_net_val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FACT_FUTURES_INTRADAY_SNAPSHOT["fct_futures_intraday_snpst"]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snpst_dt_dim_id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security_symbol_code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underlying_symbol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maturity_month_year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close_price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reference_price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price_change_percentage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total_trading_vol_matched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total_trading_vol_matched_average_50_days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liquidity_spike_ratio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FACT_FUTURES_INVESTOR_FLOW_SNAPSHOT["fct_futures_investor_flow_snpst"]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snpst_dt_dim_id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security_symbol_code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underlying_symbol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foreign_buy_vol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foreign_sell_vol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foreign_net_vol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proprietary_buy_vol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proprietary_sell_vol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proprietary_net_vol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FACT_INVESTOR_FLOW_SNAPSHOT["fct_investor_flow_snpst"]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snpst_dt_dim_id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investor_group_dim_id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buy_val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sell_val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net_flow_val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trading_val_ratio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FACT_MARKET_RISK_SNAPSHOT["fct_market_risk_snpst"]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snpst_dt_dim_id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volatility_30_days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z_score_volatility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z_score_liquidity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z_score_margin_balance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z_score_interbank_rate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z_score_foreign_net_flow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total_market_cap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margin_to_market_cap_ratio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beta_volatility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beta_liquidity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beta_margin_balance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beta_interbank_rate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beta_foreign_net_flow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beta_equity_capital_raising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beta_intercept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epsilon_error_term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risk_index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z_score_equity_capital_raising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equity_capital_raising_amt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z_score_margin_balance_current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margin_to_cap_ratio_stddev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margin_to_cap_ratio_current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margin_to_cap_ratio_avg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index_log_return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illiquidity_ratio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foreign_net_flow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vnindex_val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weight_liquidity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weight_stability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sentiment_index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sentiment_index_status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margin_tension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margin_tension_status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vnindex_daily_return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systemic_vol_current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systemic_vol_max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systemic_vol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systemic_vol_status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vnindex_val_previous_day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vnindex_daily_return_average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index_val_monthly_average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total_trading_val_matched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total_trading_val_matched_previous_day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int total_order_count_matched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average_order_size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total_trading_vol_matched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total_trading_val_matched_average_50_days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total_trading_val_matched_average_n_days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net_flow_foreign_average_30_days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net_flow_proprietary_average_30_days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net_flow_correlation_foreign_proprietary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FACT_MARKET_STATISTICS_SNAPSHOT["fct_market_statistics_snpst"]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snpst_dt_dim_id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market_code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total_trading_vol_matched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close_price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close_price_previous_day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price_change_percentage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total_trading_val_matched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total_trading_val_matched_average_50_days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FACT_ORDER_SIZE_SNAPSHOT["fct_order_size_snpst"]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snpst_dt_dim_id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security_symbol_code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total_trading_val_matched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order_size_band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total_trading_vol_matched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FACT_PROPRIETARY_NET_TRADE_SNAPSHOT["fct_proprietary_net_trade_snpst"]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snpst_dt_dim_id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security_symbol_code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proprietary_buy_val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proprietary_sell_val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proprietary_net_val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FACT_SECTOR_RISK_SNAPSHOT["fct_sector_risk_snpst"]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snpst_dt_dim_id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industry_dim_id FK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total_val_sector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INVESTOR_GROUP_DIMENSION["investor_group_dim"]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investor_group_dim_id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investor_group_code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investor_group_nm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src_stm_code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OPERATIONAL_CORPORATE_BOND_ISSUER_CREDIT_MONITOR["opr_corporate_bond_issuer_credit_monitor"] {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issuer_symbol_code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date snpst_dt PK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bond_outstanding_val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par_val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float outstanding_vol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audit_opinion_text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ranking_code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    string risk_rating_text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}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INVESTOR_GROUP_DIMENSION ||--o{ FACT_INVESTOR_FLOW_SNAPSHOT : " "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    CORP_BOND_INDUSTRY_DIMENSION ||--o{ FACT_CORPORATE_BOND_SECTOR_SNAPSHOT : " "</w:t>
      </w:r>
    </w:p>
    <w:bookmarkEnd w:id="41"/>
    <w:bookmarkStart w:id="44" w:name="danh-sách-bảng-dimension"/>
    <w:p>
      <w:pPr>
        <w:pStyle w:val="Heading3"/>
      </w:pPr>
      <w:r>
        <w:rPr>
          <w:rFonts w:ascii="Times New Roman" w:hAnsi="Times New Roman"/>
          <w:sz w:val="24"/>
        </w:rPr>
        <w:t xml:space="preserve">3.3.2 Danh sách bảng Dimension</w:t>
      </w:r>
    </w:p>
    <w:bookmarkStart w:id="42" w:name="X84298e41c650d4c26125bfacf38281410affaac"/>
    <w:p>
      <w:pPr>
        <w:pStyle w:val="Heading4"/>
      </w:pPr>
      <w:r>
        <w:rPr>
          <w:rFonts w:ascii="Times New Roman" w:hAnsi="Times New Roman"/>
          <w:sz w:val="24"/>
        </w:rPr>
        <w:t xml:space="preserve">3.3.2.1 Bảng Corp Bond Industry Dimension (corp_bond_industry_dim)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Chiều ngành nghề tổ chức phát hành trái phiếu doanh nghiệp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corp_bond_industry_dim_id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Khóa chính bảng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industry_code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ngành nghề cấp 1 (Classification Business Line Code) của TCPH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ECAT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ATM.cl_business_line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cl_business_line_code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cl_business_line.cl_business_line_code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industry_nm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ngành nghề cấp 1 của TCPH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ECAT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ATM.cl_business_line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cl_business_line_nm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cl_business_line.cl_business_line_nm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 — Driving: cl_business_line, current-state SCD4A lấy bản ghi mới nhất theo Industry Code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ECAT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ATM.cl_business_line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cl_business_line.src_stm_code WHERE cl_business_line.src_stm_code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ECAT_BUSINESS_LINE_LEVEL_1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</w:tbl>
    <w:bookmarkEnd w:id="42"/>
    <w:bookmarkStart w:id="43" w:name="Xc646ff6951e68fe615d3f9f7e4741e4d161098b"/>
    <w:p>
      <w:pPr>
        <w:pStyle w:val="Heading4"/>
      </w:pPr>
      <w:r>
        <w:rPr>
          <w:rFonts w:ascii="Times New Roman" w:hAnsi="Times New Roman"/>
          <w:sz w:val="24"/>
        </w:rPr>
        <w:t xml:space="preserve">3.3.2.2 Bảng Investor Group Dimension (investor_group_dim)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Chiều nhóm nhà đầu tư (NĐTNN/Tự doanh/Tổ chức trong nước/Cá nhân trong nước)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investor_group_dim_id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nhóm nhà đầu tư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investor_group_code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nhóm NĐT,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ETL-derived — 6 giá trị cố định theo 2 bộ filter khác nhau (Nhóm 13: FOREIGN/PROPRIETARY/DOMESTIC_INSTITUTION/DOMESTIC_INDIVIDUAL; Nhóm 15: DOMESTIC_INDIVIDUAL/FOREIGN_INDIVIDUAL/DOMESTIC_INSTITUTION/FOREIGN_INSTITUTION)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investor_group_nm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Tên nhóm NĐT: NĐT nước ngoài / Tự doanh / Tổ chức trong nước / Cá nhân trong nước / Cá nhân nước ngoài / Tổ chức nước ngoài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ETL-derived theo Investor Group Code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src_stm_code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hệ thống nguồn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PTTT_INVESTOR_GROUP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(hardcode)</w:t>
            </w:r>
          </w:p>
        </w:tc>
      </w:tr>
    </w:tbl>
    <w:bookmarkEnd w:id="43"/>
    <w:bookmarkEnd w:id="44"/>
    <w:bookmarkStart w:id="57" w:name="danh-sách-bảng-detail-fact"/>
    <w:p>
      <w:pPr>
        <w:pStyle w:val="Heading3"/>
      </w:pPr>
      <w:r>
        <w:rPr>
          <w:rFonts w:ascii="Times New Roman" w:hAnsi="Times New Roman"/>
          <w:sz w:val="24"/>
        </w:rPr>
        <w:t xml:space="preserve">3.3.3 Danh sách bảng Detail Fact</w:t>
      </w:r>
    </w:p>
    <w:bookmarkStart w:id="45" w:name="X0bfed3391add6ea14b5a8c0733a7c7f22b82007"/>
    <w:p>
      <w:pPr>
        <w:pStyle w:val="Heading4"/>
      </w:pPr>
      <w:r>
        <w:rPr>
          <w:rFonts w:ascii="Times New Roman" w:hAnsi="Times New Roman"/>
          <w:sz w:val="24"/>
        </w:rPr>
        <w:t xml:space="preserve">3.3.3.1 Bảng Fact Corporate Bond Market Snapshot (fct_corporate_bond_market_snpst)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Quy mô thị trường TPDN tổng hợp toàn thị trường theo ngày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snpst_dt_dim_id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to Calendar Date Dimension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ATM.security_trading_snapshot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trading_dt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LOOKUP cdr_dt_dim ON cdr_dt_dim.cdr_dt = security_trading_snapshot.trading_dt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par_val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Mệnh giá trái phiếu (100.000 VND/TP) — hardcode theo BA note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ATM.fct_corporate_bond_market_snpst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par_val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100000 (hardcode)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outstanding_vol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KL TP lưu hành toàn thị trường ngày t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ATM.security_trading_snapshot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total_listing_vol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SUM(security_trading_snapshot.total_listing_vol) WHERE security_trading_snapshot.stock_tp_code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B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D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security_trading_snapshot.trading_dt = :etl_date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bond_outstanding_val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dư nợ trái phiếu toàn thị trường ngày t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ATM.fct_corporate_bond_market_snpst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outstanding_vol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fct_corporate_bond_market_snpst.par_val * fct_corporate_bond_market_snpst.outstanding_vol GROUP BY security_trading_snapshot.trading_dt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maturity_pressure_12_months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Áp lực đáo hạn 12 tháng — tổng dư nợ TP có ngày đáo hạn trong 365 ngày tới tính từ ngày t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ATM.security_trading_snapshot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maturity_dt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SUM(security_trading_snapshot.total_listing_vol * 100000) WHERE security_trading_snapshot.stock_tp_code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B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D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security_trading_snapshot.trading_dt = :etl_date AND security_trading_snapshot.maturity_dt BETWEEN :etl_date AND :etl_date + 365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maturity_pressure_12_months_previous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Áp lực đáo hạn 12 tháng tại kỳ liền trước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ATM.fct_corporate_bond_market_snpst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maturity_pressure_12_months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fct_corporate_bond_market_snpst.maturity_pressure_12_months tại kỳ liền trước :etl_date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maturity_pressure_growth_percentage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Tăng trưởng áp lực đáo hạn so với kỳ trước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ATM.fct_corporate_bond_market_snpst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maturity_pressure_12_months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(fct_corporate_bond_market_snpst.maturity_pressure_12_months - fct_corporate_bond_market_snpst.maturity_pressure_12_months_previous) / NULLIF(fct_corporate_bond_market_snpst.maturity_pressure_12_months_previous, 0) * 100</w:t>
            </w:r>
          </w:p>
        </w:tc>
      </w:tr>
    </w:tbl>
    <w:bookmarkEnd w:id="45"/>
    <w:bookmarkStart w:id="46" w:name="Xa67cdbb957de48b9c8bc64217b8839534227656"/>
    <w:p>
      <w:pPr>
        <w:pStyle w:val="Heading4"/>
      </w:pPr>
      <w:r>
        <w:rPr>
          <w:rFonts w:ascii="Times New Roman" w:hAnsi="Times New Roman"/>
          <w:sz w:val="24"/>
        </w:rPr>
        <w:t xml:space="preserve">3.3.3.2 Bảng Fact Corporate Bond Maturity Wall (fct_corporate_bond_maturity_wall)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Lịch biểu đáo hạn trái phiếu per mã TP — 2 luồng nguồn (niêm yết READY / riêng lẻ VSDC BM29 PENDING)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snpst_dt_dim_id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lịch ngày — snapshot theo ngày giao dịch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ATM.security_trading_snapshot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trading_dt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LOOKUP cdr_dt_dim ON cdr_dt_dim.cdr_dt = security_trading_snapshot.trading_dt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securities_dim_id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to Securities Dimension (reuse từ module NDTNN)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ATM.securities_dim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symbol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LOOKUP securities_dim ON securities_dim.symbol = security_trading_snapshot.security_symbol_code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ranking_code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Xếp hạng tín nhiệm DN — dùng chung cho cả nhánh niêm yết + riêng lẻ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ATM.pc_bond_evaluation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ranking_code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pc_bond_evaluation.ranking_code WHERE pc_bond_evaluation.pc_id = :company_id AND pc_bond_evaluation.evaluation_year = :p_year AND pc_bond_evaluation.evaluation_month = :p_month</w:t>
            </w:r>
          </w:p>
        </w:tc>
      </w:tr>
    </w:tbl>
    <w:bookmarkEnd w:id="46"/>
    <w:bookmarkStart w:id="47" w:name="X5b76a178d7ba10db2c9b1378dd1d8dae86104e9"/>
    <w:p>
      <w:pPr>
        <w:pStyle w:val="Heading4"/>
      </w:pPr>
      <w:r>
        <w:rPr>
          <w:rFonts w:ascii="Times New Roman" w:hAnsi="Times New Roman"/>
          <w:sz w:val="24"/>
        </w:rPr>
        <w:t xml:space="preserve">3.3.3.3 Bảng Fact Corporate Bond Sector Snapshot (fct_corporate_bond_sector_snpst)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GTGD trái phiếu và tỷ trọng dư nợ theo ngành TCPH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snpst_dt_dim_id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to Calendar Date Dimension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ATM.security_trading_snapshot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trading_dt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LOOKUP cdr_dt_dim ON cdr_dt_dim.cdr_dt = security_trading_snapshot.trading_dt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corp_bond_industry_dim_id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to Corp Bond Industry Dimension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ATM.public_company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business_line_level_1_code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LOOKUP corp_bond_industry_dim ON corp_bond_industry_dim.industry_code = public_company.business_line_level_1_code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bond_outstanding_val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dư nợ trái phiếu theo ngành TCPH tại ngày t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ATM.security_trading_snapshot / ATM.public_company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total_listing_vol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SUM(security_trading_snapshot.total_listing_vol * 100000) GROUP BY public_company.business_line_level_1_code WHERE security_trading_snapshot.stock_tp_code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B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D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security_trading_snapshot.trading_dt = :etl_date AND public_company.bond_ticker_symbol = security_trading_snapshot.security_symbol_code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bond_outstanding_val_total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Dư nợ trái phiếu toàn thị trường tại ngày t (tổng tất cả ngành, mẫu số Tỷ trọng)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ATM.fct_corporate_bond_sector_snpst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bond_outstanding_val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SUM(fct_corporate_bond_sector_snpst.bond_outstanding_val) GROUP BY fct_corporate_bond_sector_snpst.snpst_dt_dim_id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bond_outstanding_ratio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Tỷ trọng dư nợ trái phiếu theo ngành TCPH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ATM.fct_corporate_bond_sector_snpst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bond_outstanding_val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fct_corporate_bond_sector_snpst.bond_outstanding_val / NULLIF(fct_corporate_bond_sector_snpst.bond_outstanding_val_total, 0) * 100</w:t>
            </w:r>
          </w:p>
        </w:tc>
      </w:tr>
    </w:tbl>
    <w:bookmarkEnd w:id="47"/>
    <w:bookmarkStart w:id="48" w:name="Xde30e4ab7e32e00c2df9dca0aa4c73a07d1dbfb"/>
    <w:p>
      <w:pPr>
        <w:pStyle w:val="Heading4"/>
      </w:pPr>
      <w:r>
        <w:rPr>
          <w:rFonts w:ascii="Times New Roman" w:hAnsi="Times New Roman"/>
          <w:sz w:val="24"/>
        </w:rPr>
        <w:t xml:space="preserve">3.3.3.4 Bảng Fact Foreign Net Trade Snapshot (fct_foreign_net_trade_snpst)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GTGD mua/bán/dòng tiền ròng NĐTNN per mã CK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snpst_dt_dim_id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to Calendar Date Dimension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trade_dt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LOOKUP cdr_dt_dim ON cdr_dt_dim.cdr_dt = securities_trade.trade_dt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security_symbol_code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chứng khoán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security_symbol_code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securities_trade.security_symbol_code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foreign_buy_val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GTGD mua NĐTNN per mã CK tại ngày t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execution_val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SUM(securities_trade.execution_vol * securities_trade.execution_price) GROUP BY securities_trade.security_symbol_code, securities_trade.trade_dt WHERE securities_trade.trade_dt = :etl_date AND securities_trade.market_id_code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STO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STX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UPX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securities_trade.buy_foreign_investor_tp_code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20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foreign_sell_val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GTGD bán NĐTNN per mã CK tại ngày t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execution_val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SUM(securities_trade.execution_vol * securities_trade.execution_price) GROUP BY securities_trade.security_symbol_code, securities_trade.trade_dt WHERE securities_trade.trade_dt = :etl_date AND securities_trade.market_id_code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STO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STX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UPX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securities_trade.sell_foreign_investor_tp_code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20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foreign_net_val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Dòng tiền ròng NĐTNN per mã CK tại ngày t (Buy − Sell)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ATM.fct_foreign_net_trade_snpst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foreign_buy_val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fct_foreign_net_trade_snpst.foreign_buy_val - fct_foreign_net_trade_snpst.foreign_sell_val</w:t>
            </w:r>
          </w:p>
        </w:tc>
      </w:tr>
    </w:tbl>
    <w:bookmarkEnd w:id="48"/>
    <w:bookmarkStart w:id="49" w:name="X41ecdffd9988b63e7992aec84b0d87aae75aacd"/>
    <w:p>
      <w:pPr>
        <w:pStyle w:val="Heading4"/>
      </w:pPr>
      <w:r>
        <w:rPr>
          <w:rFonts w:ascii="Times New Roman" w:hAnsi="Times New Roman"/>
          <w:sz w:val="24"/>
        </w:rPr>
        <w:t xml:space="preserve">3.3.3.5 Bảng Fact Futures Intraday Snapshot (fct_futures_intraday_snpst)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Biến động giá/KLGD trong phiên của HĐTL chỉ số (VN30/VN100) — dùng chung entity equity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snpst_dt_dim_id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to Calendar Date Dimension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ATM.security_trading_snapshot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trading_dt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LOOKUP cdr_dt_dim ON cdr_dt_dim.cdr_dt = security_trading_snapshot.trading_dt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security_symbol_code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hợp đồng tương lai (VN30F1M/VN30F2M/VN100F1M/VN100F2M…)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ATM.security_trading_snapshot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symbol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security_trading_snapshot.symbol WHERE security_trading_snapshot.stock_tp_code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FU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security_trading_snapshot.floor_code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03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underlying_symbol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số cơ sở (VN30/VN100)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ATM.security_trading_snapshot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underlying_symbol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security_trading_snapshot.underlying_symbol WHERE security_trading_snapshot.stock_tp_code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FU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security_trading_snapshot.floor_code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03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maturity_month_year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Tháng đáo hạn hợp đồng — dùng để lọc F1M (tháng gần nhất)/F2M (tháng tiếp theo)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ATM.security_trading_snapshot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maturity_month_year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security_trading_snapshot.maturity_month_year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close_price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đóng cửa HĐTL ngày t (Pt)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ATM.security_trading_snapshot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close_price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security_trading_snapshot.close_price WHERE security_trading_snapshot.trading_dt = :etl_date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reference_price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tham chiếu ngày t (Ptc — giá đóng cửa ngày t-1 theo quy tắc khớp lệnh)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ATM.security_trading_snapshot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reference_price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security_trading_snapshot.reference_price WHERE security_trading_snapshot.trading_dt = :etl_date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price_change_percentage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Tỷ lệ thay đổi giá HĐTL (%)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ATM.fct_futures_intraday_snpst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close_price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(fct_futures_intraday_snpst.close_price - fct_futures_intraday_snpst.reference_price) / NULLIF(fct_futures_intraday_snpst.reference_price, 0) * 100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total_trading_vol_matched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KLGD HĐTL ngày t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execution_vol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SUM(securities_trade.execution_vol) JOIN security_trading_snapshot ON security_trading_snapshot.symbol = securities_trade.security_symbol_code WHERE securities_trade.market_id_code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DVX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securities_trade.trade_dt = :etl_date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total_trading_vol_matched_average_50_days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KLGD HĐTL trung bình 50 phiên (MA50)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ATM.fct_futures_intraday_snpst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total_trading_vol_matched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AVG(fct_futures_intraday_snpst.total_trading_vol_matched) trên 50 phiên giao dịch gần nhất WHERE fct_futures_intraday_snpst.snpst_dt_dim_id &lt;= :etl_date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liquidity_spike_ratio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Tỷ lệ đột biến thanh khoản HĐTL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ATM.fct_futures_intraday_snpst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total_trading_vol_matched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fct_futures_intraday_snpst.total_trading_vol_matched / NULLIF(fct_futures_intraday_snpst.total_trading_vol_matched_average_50_days, 0) * 100</w:t>
            </w:r>
          </w:p>
        </w:tc>
      </w:tr>
    </w:tbl>
    <w:bookmarkEnd w:id="49"/>
    <w:bookmarkStart w:id="50" w:name="X8ecb255bd586b0f94f54f9c9b56418bb294171f"/>
    <w:p>
      <w:pPr>
        <w:pStyle w:val="Heading4"/>
      </w:pPr>
      <w:r>
        <w:rPr>
          <w:rFonts w:ascii="Times New Roman" w:hAnsi="Times New Roman"/>
          <w:sz w:val="24"/>
        </w:rPr>
        <w:t xml:space="preserve">3.3.3.6 Bảng Fact Futures Investor Flow Snapshot (fct_futures_investor_flow_snpst)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GTGD mua/bán/dòng tiền ròng NĐTNN + Tự doanh trên HĐTL chỉ số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snpst_dt_dim_id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to Calendar Date Dimension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ATM.security_trading_snapshot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trading_dt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LOOKUP cdr_dt_dim ON cdr_dt_dim.cdr_dt = security_trading_snapshot.trading_dt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security_symbol_code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hợp đồng tương lai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ATM.security_trading_snapshot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symbol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security_trading_snapshot.symbol WHERE security_trading_snapshot.stock_tp_code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FU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security_trading_snapshot.floor_code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03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underlying_symbol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chỉ số cơ sở (VN30/VN100)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ATM.security_trading_snapshot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underlying_symbol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security_trading_snapshot.underlying_symbol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foreign_buy_vol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KLGD NĐTNN mua HĐTL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execution_vol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SUM(securities_trade.execution_vol) JOIN security_trading_snapshot ON security_trading_snapshot.symbol = securities_trade.security_symbol_code WHERE securities_trade.market_id_code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DVX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securities_trade.buy_foreign_investor_tp_code &lt;&gt;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00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securities_trade.trade_dt BETWEEN :from_date AND :to_date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foreign_sell_vol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KLGD NĐTNN bán HĐTL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execution_vol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SUM(securities_trade.execution_vol) JOIN security_trading_snapshot ON security_trading_snapshot.symbol = securities_trade.security_symbol_code WHERE securities_trade.market_id_code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DVX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securities_trade.sell_foreign_investor_tp_code &lt;&gt;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00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securities_trade.trade_dt BETWEEN :from_date AND :to_date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foreign_net_vol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Dòng tiền ròng NĐTNN HĐTL (Buy − Sell)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ATM.fct_futures_investor_flow_snpst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foreign_buy_vol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fct_futures_investor_flow_snpst.foreign_buy_vol - fct_futures_investor_flow_snpst.foreign_sell_vol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proprietary_buy_vol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KLGD Tự doanh mua HĐTL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execution_vol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SUM(securities_trade.execution_vol) JOIN security_trading_snapshot ON security_trading_snapshot.symbol = securities_trade.security_symbol_code WHERE securities_trade.market_id_code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DVX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securities_trade.buy_client_house_cl_code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30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securities_trade.trade_dt BETWEEN :from_date AND :to_date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proprietary_sell_vol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KLGD Tự doanh bán HĐTL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execution_vol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SUM(securities_trade.execution_vol) JOIN security_trading_snapshot ON security_trading_snapshot.symbol = securities_trade.security_symbol_code WHERE securities_trade.market_id_code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DVX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securities_trade.sell_client_house_cl_code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30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securities_trade.trade_dt BETWEEN :from_date AND :to_date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proprietary_net_vol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Dòng tiền ròng Tự doanh HĐTL (Buy − Sell)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ATM.fct_futures_investor_flow_snpst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proprietary_buy_vol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fct_futures_investor_flow_snpst.proprietary_buy_vol - fct_futures_investor_flow_snpst.proprietary_sell_vol</w:t>
            </w:r>
          </w:p>
        </w:tc>
      </w:tr>
    </w:tbl>
    <w:bookmarkEnd w:id="50"/>
    <w:bookmarkStart w:id="51" w:name="Xdcfb8982480caced3e51ff5037aacfc71fa2dc4"/>
    <w:p>
      <w:pPr>
        <w:pStyle w:val="Heading4"/>
      </w:pPr>
      <w:r>
        <w:rPr>
          <w:rFonts w:ascii="Times New Roman" w:hAnsi="Times New Roman"/>
          <w:sz w:val="24"/>
        </w:rPr>
        <w:t xml:space="preserve">3.3.3.7 Bảng Fact Investor Flow Snapshot (fct_investor_flow_snpst)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GTGD mua/bán/dòng tiền ròng theo nhóm nhà đầu tư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snpst_dt_dim_id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to Calendar Date Dimension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trade_dt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LOOKUP cdr_dt_dim ON cdr_dt_dim.cdr_dt = securities_trade.trade_dt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investor_group_dim_id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to Investor Group Dimension — 1 trong 6 giá trị cố định, xem investor_group_dim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ATM.investor_group_dim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investor_group_code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LOOKUP investor_group_dim ON investor_group_dim.investor_group_code = &lt;ETL-derived theo filter buy/sell_foreign_investor_tp_code, buy/sell_client_house_cl_code&gt;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buy_val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GTGD mua theo nhóm NĐT tại ngày t — filter theo Investor Group Dimension Id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execution_val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SUM(securities_trade.execution_vol * securities_trade.execution_price) WHERE securities_trade.trade_dt = :etl_date AND securities_trade.market_id_code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STO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STX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UPX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&lt;filter theo nhóm — buy_foreign_investor_tp_code/buy_client_house_cl_code tùy Investor Group Code&gt;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sell_val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GTGD bán theo nhóm NĐT tại ngày t — filter theo Investor Group Dimension Id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execution_val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SUM(securities_trade.execution_vol * securities_trade.execution_price) WHERE securities_trade.trade_dt = :etl_date AND securities_trade.market_id_code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STO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STX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UPX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&lt;filter theo nhóm — sell_foreign_investor_tp_code/sell_client_house_cl_code tùy Investor Group Code&gt;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net_flow_val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Dòng tiền ròng theo nhóm NĐT tại ngày t (Buy − Sell)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ATM.fct_investor_flow_snpst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buy_val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fct_investor_flow_snpst.buy_val - fct_investor_flow_snpst.sell_val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trading_val_ratio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Tỷ trọng GTGD nhóm NĐT trên tổng GTGD toàn thị trường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ATM.fct_market_risk_snpst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total_trading_val_matched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(fct_investor_flow_snpst.buy_val + fct_investor_flow_snpst.sell_val) / NULLIF(fct_market_risk_snpst.total_trading_val_matched, 0) * 100</w:t>
            </w:r>
          </w:p>
        </w:tc>
      </w:tr>
    </w:tbl>
    <w:bookmarkEnd w:id="51"/>
    <w:bookmarkStart w:id="52" w:name="X29c150669eba47581bd6f7bd7f0418fef6ee044"/>
    <w:p>
      <w:pPr>
        <w:pStyle w:val="Heading4"/>
      </w:pPr>
      <w:r>
        <w:rPr>
          <w:rFonts w:ascii="Times New Roman" w:hAnsi="Times New Roman"/>
          <w:sz w:val="24"/>
        </w:rPr>
        <w:t xml:space="preserve">3.3.3.8 Bảng Fact Market Risk Snapshot (fct_market_risk_snpst)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Chỉ số rủi ro hệ thống tổng hợp theo ngày — Risk Index, Volatility, Z-score, Sentiment, Margin Stress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snpst_dt_dim_id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to Calendar Date Dimension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ATM.market_index_snapshot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trading_dt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LOOKUP cdr_dt_dim ON cdr_dt_dim.cdr_dt = market_index_snapshot.trading_dt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volatility_30_days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Biến động giá VN-Index 30 phiên (độ lệch chuẩn log-return)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ATM.fct_market_risk_snpst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index_log_return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STDDEV_SAMP(fct_market_risk_snpst.index_log_return) trên 30 ngày gần nhất WHERE market_index_snapshot.market_code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HOSE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ORDER BY market_index_snapshot.trading_dt DESC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z_score_volatility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Z-score Biến động giá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ATM.fct_market_risk_snpst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volatility_30_days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(fct_market_risk_snpst.volatility_30_days - AVG(fct_market_risk_snpst.volatility_30_days)) / STDDEV_SAMP(fct_market_risk_snpst.volatility_30_days) trên toàn bộ market_index_snapshot.trading_dt &lt;= snapshot_date WHERE market_index_snapshot.market_code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HOSE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z_score_liquidity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Z-score Thanh khoản ILLIQ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ATM.fct_market_risk_snpst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illiquidity_ratio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(fct_market_risk_snpst.illiquidity_ratio - AVG(fct_market_risk_snpst.illiquidity_ratio)) / STDDEV_SAMP(fct_market_risk_snpst.illiquidity_ratio) trên toàn bộ securities_trade.trade_dt &lt;= snapshot_date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z_score_margin_balance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Z-score Dư nợ Margin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z_score_interbank_rate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Z-score Lãi suất liên ngân hàng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z_score_foreign_net_flow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Z-score Dòng tiền ròng NĐTNN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ATM.fct_market_risk_snpst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foreign_net_flow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(AVG(fct_market_risk_snpst.foreign_net_flow) - fct_market_risk_snpst.foreign_net_flow) / STDDEV_SAMP(fct_market_risk_snpst.foreign_net_flow) (đảo chiều) trên toàn bộ securities_trade.trade_dt &lt;= snapshot_date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total_market_cap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vốn hóa thị trường MCAPt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ATM.security_trading_snapshot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close_price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SUM(security_trading_snapshot.close_price * security_trading_snapshot.total_listing_vol) GROUP BY security_trading_snapshot.trading_dt WHERE security_trading_snapshot.floor_code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02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04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security_trading_snapshot.stock_tp_code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2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U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E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3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margin_to_market_cap_ratio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Tỷ lệ Dư nợ Margin / Tổng vốn hóa Mt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beta_volatility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Hệ số hồi quy β — Biến động chỉ số VN-Index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ATM.risk_weight_config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weight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risk_weight_config.weight WHERE risk_weight_config.risk_factor_code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VNINDEX_VOLATILITY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risk_weight_config.risk_factor_type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Chỉ số rủi ro hệ thống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risk_weight_config.data_dt = MAX(data_dt) &lt;= snapshot_date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beta_liquidity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Hệ số hồi quy β — Thanh khoản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ATM.risk_weight_config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weight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risk_weight_config.weight WHERE risk_weight_config.risk_factor_code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ILLIQ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risk_weight_config.risk_factor_type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Chỉ số rủi ro hệ thống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risk_weight_config.data_dt = MAX(data_dt) &lt;= snapshot_date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beta_margin_balance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Hệ số hồi quy β — Dư nợ Margin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ATM.risk_weight_config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weight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risk_weight_config.weight WHERE risk_weight_config.risk_factor_code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MARGIN_BALANCE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risk_weight_config.risk_factor_type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Chỉ số rủi ro hệ thống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risk_weight_config.data_dt = MAX(data_dt) &lt;= snapshot_date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beta_interbank_rate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Hệ số hồi quy β — Lãi suất liên ngân hàng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ATM.risk_weight_config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weight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risk_weight_config.weight WHERE risk_weight_config.risk_factor_code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INTERBANK_RATE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risk_weight_config.risk_factor_type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Chỉ số rủi ro hệ thống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risk_weight_config.data_dt = MAX(data_dt) &lt;= snapshot_date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beta_foreign_net_flow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Hệ số hồi quy β — Dòng tiền ròng NĐTNN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ATM.risk_weight_config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weight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risk_weight_config.weight WHERE risk_weight_config.risk_factor_code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FOREIGN_NET_FLOW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risk_weight_config.risk_factor_type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Chỉ số rủi ro hệ thống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risk_weight_config.data_dt = MAX(data_dt) &lt;= snapshot_date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beta_equity_capital_raising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Hệ số hồi quy β — Huy động vốn cổ phần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ATM.risk_weight_config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weight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risk_weight_config.weight WHERE risk_weight_config.risk_factor_code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EQUITY_CAPITAL_RAISING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risk_weight_config.risk_factor_type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Chỉ số rủi ro hệ thống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risk_weight_config.data_dt = MAX(data_dt) &lt;= snapshot_date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beta_intercept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Hằng số hồi quy β0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ATM.risk_weight_config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weight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risk_weight_config.weight WHERE risk_weight_config.risk_factor_code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RISK_INDEX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risk_weight_config.risk_factor_type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Chỉ số rủi ro hệ thống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risk_weight_config.data_dt = MAX(data_dt) &lt;= snapshot_date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epsilon_error_term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Sai số hồi quy ε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ATM.risk_weight_config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weight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risk_weight_config.weight WHERE risk_weight_config.risk_factor_code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UNEXPLAINED_ERROR_TERM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risk_weight_config.risk_factor_type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Chỉ số rủi ro hệ thống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risk_weight_config.data_dt = MAX(data_dt) &lt;= snapshot_date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18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risk_index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Risk Index — Chỉ số rủi ro hệ thống tổng hợp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19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z_score_equity_capital_raising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Z-score Huy động vốn cổ phần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ATM.fct_market_risk_snpst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equity_capital_raising_amt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(AVG(fct_market_risk_snpst.equity_capital_raising_amt) - fct_market_risk_snpst.equity_capital_raising_amt) / STDDEV_SAMP(fct_market_risk_snpst.equity_capital_raising_amt) (Z-score đảo chiều) trên 20 phiên gần nhất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20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equity_capital_raising_amt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Huy động vốn cổ phần thị trường tại ngày t — tổng 3 nguồn UNION ALL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ATM.pc_securities_offering_result / ATM.pc_securities_offering_plan / ATM.pc_securities_offering / ATM.sc_disclosure_securities_offering / ATM.fmc_securities_offering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total_collected_amt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COALESCE(SUM(pc_securities_offering_result.total_collected_amt WHERE pc_securities_offering_plan.offering_method_code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2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3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5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9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pc_securities_offering.official_letter_dt = :etl_date),0) + COALESCE(SUM(sc_disclosure_securities_offering.proceeds_collected_amt WHERE sc_disclosure_securities_offering.offering_tp_code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4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5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6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7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sc_disclosure_securities_offering.document_dt = :etl_date),0) + COALESCE(SUM(fmc_securities_offering.actual_total_val_amt WHERE fmc_securities_offering.approval_document_dt = :etl_date),0)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z_score_margin_balance_current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Z-score Dư nợ Margin — giá trị chuẩn hóa ngày t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margin_to_cap_ratio_stddev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Độ lệch chuẩn chuỗi tỷ lệ Dư nợ Margin/MCAP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margin_to_cap_ratio_current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Tỷ lệ Dư nợ Margin / Tổng vốn hóa tại ngày t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margin_to_cap_ratio_avg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Tỷ lệ Dư nợ Margin / Tổng vốn hóa trung bình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index_log_return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hiện tại — log return chỉ số VN-Index ngày t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ATM.market_index_snapshot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market_index_val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LN(market_index_snapshot.market_index_val / market_index_snapshot.market_index_val) WHERE market_index_snapshot.market_code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HOSE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ORDER BY market_index_snapshot.trading_dt DESC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illiquidity_ratio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hiện tại — tỷ lệ thanh khoản ILLIQ ngày t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execution_val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ABS(fct_market_risk_snpst.index_log_return) / SUM(securities_trade.execution_val) GROUP BY securities_trade.trade_dt WHERE securities_trade.market_id_code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STO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STX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UPX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securities_trade.board_tp_code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G1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G2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G3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foreign_net_flow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trị hiện tại — dòng tiền ròng NĐTNN ngày t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execution_val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SUM(securities_trade.execution_val WHERE buy_foreign_investor_tp_code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20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)) - SUM(securities_trade.execution_val WHERE sell_foreign_investor_tp_code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20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)) GROUP BY securities_trade.trade_dt WHERE securities_trade.market_id_code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STO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STX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UPX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28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vnindex_val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Điểm chứng khoán VN-Index ngày t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ATM.market_index_snapshot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market_index_val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market_index_snapshot.market_index_val WHERE market_index_snapshot.market_code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VNINDEX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market_index_snapshot.trading_dt = :etl_date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29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weight_liquidity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Trọng số W1 áp dụng cho S_liquidity trong công thức Sentiment Score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ATM.risk_weight_config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weight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risk_weight_config.weight WHERE risk_weight_config.risk_factor_code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S_LIQUIDITY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risk_weight_config.risk_factor_type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Chỉ số tâm lý giao dịch của mã chứng khoán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risk_weight_config.data_dt = MAX(data_dt) &lt;= snapshot_date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30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weight_stability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Trọng số W2 áp dụng cho S_stability trong công thức Sentiment Score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ATM.risk_weight_config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weight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risk_weight_config.weight WHERE risk_weight_config.risk_factor_code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S_STABILITY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risk_weight_config.risk_factor_type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Chỉ số tâm lý giao dịch của mã chứng khoán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risk_weight_config.data_dt = MAX(data_dt) &lt;= snapshot_date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sentiment_index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Chỉ số tâm lý giao dịch toàn thị trường — weighted average Sentiment Score theo GTGD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ATM.security_trading_snapshot / ATM.securities_trade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total_trading_val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SUM(sentiment_score * security_trading_snapshot.total_trading_val) / NULLIF(SUM(security_trading_snapshot.total_trading_val), 0) trong đó sentiment_score = (fct_market_risk_snpst.weight_liquidity * s_liquidity) + (fct_market_risk_snpst.weight_stability * s_stability) per mã CK; s_liquidity = 50 + SIGN(security_trading_snapshot.close_price - security_trading_snapshot.open_price) * LEAST((securities_trade.execution_vol / NULLIF(AVG(securities_trade.execution_vol) trên 20 phiên trước, 0)) * 25, 50); s_stability = GREATEST(0, 100 - (ABS(LN(security_trading_snapshot.close_price / security_trading_snapshot.close_price[t-1])) * 50)) GROUP BY security_trading_snapshot.trading_dt WHERE security_trading_snapshot.floor_code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02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04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security_trading_snapshot.stock_tp_code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2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U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E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3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sentiment_index_status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Ngưỡng trạng thái Sentiment Index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ATM.status_threshold_config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status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LOOKUP status_threshold_config ON status_threshold_config.index_code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SENTIMENTINDEX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fct_market_risk_snpst.sentiment_index BETWEEN status_threshold_config.from_value AND status_threshold_config.to_value → status_threshold_config.status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margin_tension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Chỉ số độ căng margin — tỷ lệ dư nợ margin trên hạn mức tối đa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margin_tension_status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Ngưỡng trạng thái Margin Tension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ETL sinh tự động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vnindex_daily_return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Lợi suất ngày VN-Index Rt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ATM.market_index_snapshot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market_index_val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(market_index_snapshot.market_index_val - market_index_snapshot.market_index_val) / market_index_snapshot.market_index_val WHERE market_index_snapshot.market_code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VNINDEX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systemic_vol_current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Độ lệch chuẩn biến động VN-Index 20 phiên (annualized)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ATM.fct_market_risk_snpst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vnindex_daily_return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STDDEV_SAMP(fct_market_risk_snpst.vnindex_daily_return) * SQRT(252) trên 20 ngày gần nhất WHERE market_index_snapshot.market_code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VNINDEX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systemic_vol_max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Độ lệch chuẩn biến động VN-Index lịch sử tối đa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ATM.fct_market_risk_snpst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systemic_vol_current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MAX(fct_market_risk_snpst.systemic_vol_current) trên toàn bộ market_index_snapshot.trading_dt &lt;= snapshot_date WHERE market_index_snapshot.market_code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VNINDEX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38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systemic_vol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Chỉ số biến động hệ thống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ATM.fct_market_risk_snpst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systemic_vol_current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fct_market_risk_snpst.systemic_vol_current / NULLIF(fct_market_risk_snpst.systemic_vol_max, 0) * 100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39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systemic_vol_status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Ngưỡng trạng thái Systemic Vol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ATM.status_threshold_config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status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LOOKUP status_threshold_config ON status_threshold_config.index_code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SYSTEMICVOL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fct_market_risk_snpst.systemic_vol BETWEEN status_threshold_config.from_value AND status_threshold_config.to_value → status_threshold_config.status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40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vnindex_val_previous_day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Điểm chứng khoán VN-Index phiên trước (Pₜ₋₁) — sub-component tính Return VN-Index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ATM.market_index_snapshot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market_index_val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market_index_snapshot.market_index_val WHERE market_index_snapshot.market_code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VNINDEX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market_index_snapshot.trading_dt = MAX(trading_dt) &lt; :etl_date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vnindex_daily_return_average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Lợi suất VN-Index trung bình N phiên (R̄ₙ) — cửa sổ tính correlation, mặc định 30 phiên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ATM.fct_market_risk_snpst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vnindex_daily_return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AVG(LN(market_index_snapshot.market_index_val[t] / market_index_snapshot.market_index_val[t-1])) trên 30 phiên gần nhất WHERE market_index_snapshot.market_code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VNINDEX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index_val_monthly_average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Chỉ số Index bình quân toàn bộ tháng chứa ngày thống kê (VN-Index AVG tháng)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ATM.market_index_snapshot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market_index_val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AVG(market_index_snapshot.market_index_val) GROUP BY TRUNC(market_index_snapshot.trading_dt,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MM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WHERE market_index_snapshot.market_code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HOSE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market_index_snapshot.trading_dt &gt;= TRUNC(:etl_date,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MM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market_index_snapshot.trading_dt &lt; TRUNC(ADD_MONTHS(:etl_date, 1),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MM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total_trading_val_matched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GTGD khớp lệnh toàn thị trường ngày t (GTGDₜ)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execution_val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SUM(securities_trade.execution_val) WHERE securities_trade.trade_dt = :etl_date AND securities_trade.market_id_code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STO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STX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UPX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securities_trade.board_tp_code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G1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G2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G3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total_trading_val_matched_previous_day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GTGD khớp lệnh toàn thị trường ngày giao dịch trước (GTGDₜ₋₁)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execution_val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SUM(securities_trade.execution_val) WHERE securities_trade.trade_dt = MAX(trade_dt) &lt; :etl_date AND securities_trade.market_id_code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STO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STX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UPX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securities_trade.board_tp_code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G1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G2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G3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total_order_count_matched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int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số lệnh khớp toàn thị trường ngày t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trade_dt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COUNT(*) FROM securities_trade WHERE securities_trade.trade_dt = :etl_date AND securities_trade.market_id_code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STO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STX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UPX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securities_trade.board_tp_code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G1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G2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G3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average_order_size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Quy mô lệnh khớp trung bình ngày t (Triệu VND)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ATM.fct_market_risk_snpst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total_trading_val_matched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fct_market_risk_snpst.total_trading_val_matched / NULLIF(fct_market_risk_snpst.total_order_count_matched, 0)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total_trading_vol_matched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Khối lượng giao dịch khớp lệnh toàn thị trường ngày t (Execution-Volume HOSE / Trade_quantity HNX)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execution_vol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SUM(securities_trade.execution_vol) WHERE securities_trade.trade_dt = :etl_date AND securities_trade.market_id_code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STO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STX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UPX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securities_trade.board_tp_code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G1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G2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G3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48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total_trading_val_matched_average_50_days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GTGD MA50 — Trung bình GTGD khớp lệnh 50 phiên giao dịch gần nhất tính đến ngày t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ATM.fct_market_risk_snpst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total_trading_val_matched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AVG(fct_market_risk_snpst.total_trading_val_matched) trên 50 phiên giao dịch gần nhất WHERE fct_market_risk_snpst.snpst_dt_dim_id &lt;= :etl_date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49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total_trading_val_matched_average_n_days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Avg Trading Value — GTGD bình quân N phiên giao dịch gần nhất (N = tham số cấu hình), mẫu số công thức Margin Stress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ATM.fct_market_risk_snpst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total_trading_val_matched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AVG(fct_market_risk_snpst.total_trading_val_matched) trên N phiên giao dịch gần nhất (N = tham số :n) WHERE fct_market_risk_snpst.snpst_dt_dim_id &lt;= :etl_date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50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net_flow_foreign_average_30_days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Dòng tiền ròng NĐTNN trung bình 30 phiên (MA30_NĐTNN) — toàn thị trường, không phân theo Investor Group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ATM.fct_investor_flow_snpst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net_flow_val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AVG(fct_investor_flow_snpst.net_flow_val) trên 30 phiên giao dịch gần nhất WHERE fct_investor_flow_snpst.investor_group_dim_id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fct_investor_flow_snpst.snpst_dt_dim_id &lt;= :etl_date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net_flow_proprietary_average_30_days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Dòng tiền ròng Tự doanh trung bình 30 phiên (MA30_TựDoanh) — toàn thị trường, không phân theo Investor Group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ATM.fct_investor_flow_snpst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net_flow_val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AVG(fct_investor_flow_snpst.net_flow_val) trên 30 phiên giao dịch gần nhất WHERE fct_investor_flow_snpst.investor_group_dim_id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 fct_investor_flow_snpst.snpst_dt_dim_id &lt;= :etl_date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net_flow_correlation_foreign_proprietary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Hệ số tương quan Pearson — dòng tiền ròng NĐTNN &amp; Tự doanh, cửa sổ 30 phiên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ATM.fct_market_risk_snpst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net_flow_foreign_average_30_days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Σ[(Xₜ − net_flow_foreign_average_30_days)(Yₜ − net_flow_proprietary_average_30_days)] / SQRT[Σ(Xₜ − X̄)² × Σ(Yₜ − Ȳ)²] trong đó Xₜ = fct_investor_flow_snpst.net_flow_val WHERE investor_group_dim_id=</w:t>
            </w:r>
            <w:r>
              <w:rPr>
                <w:rFonts w:ascii="Times New Roman" w:hAnsi="Times New Roman"/>
                <w:sz w:val="20"/>
              </w:rPr>
              <w:t xml:space="preserve">, Yₜ = fct_investor_flow_snpst.net_flow_val WHERE investor_group_dim_id=</w:t>
            </w:r>
            <w:r>
              <w:rPr>
                <w:rFonts w:ascii="Times New Roman" w:hAnsi="Times New Roman"/>
                <w:sz w:val="20"/>
              </w:rPr>
              <w:t xml:space="preserve">, tính trên 30 phiên gần nhất</w:t>
            </w:r>
          </w:p>
        </w:tc>
      </w:tr>
    </w:tbl>
    <w:bookmarkEnd w:id="52"/>
    <w:bookmarkStart w:id="53" w:name="X61b9dc527a78bfb6053fb0e02491d51d22b8926"/>
    <w:p>
      <w:pPr>
        <w:pStyle w:val="Heading4"/>
      </w:pPr>
      <w:r>
        <w:rPr>
          <w:rFonts w:ascii="Times New Roman" w:hAnsi="Times New Roman"/>
          <w:sz w:val="24"/>
        </w:rPr>
        <w:t xml:space="preserve">3.3.3.9 Bảng Fact Market Statistics Snapshot (fct_market_statistics_snpst)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Bộ chỉ tiêu thống kê theo chỉ số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snpst_dt_dim_id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to Calendar Date Dimension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ATM.security_trading_snapshot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trading_dt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LOOKUP cdr_dt_dim ON cdr_dt_dim.cdr_dt = security_trading_snapshot.trading_dt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market_code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Chiều Chỉ số (mã chỉ số/mã sàn)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ATM.market_index_snapshot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market_code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market_index_snapshot.market_code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total_trading_vol_matched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KLGD theo chỉ số tại ngày t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 / ATM.index_constituent_snapshot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execution_vol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SUM(securities_trade.execution_vol) JOIN index_constituent_snapshot ON index_constituent_snapshot.symbol = securities_trade.security_symbol_code WHERE index_constituent_snapshot.index_code = :ma_chi_so AND securities_trade.market_id_code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STO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STX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UPX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securities_trade.trade_dt = :etl_date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close_price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đóng cửa ngày t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ATM.security_trading_snapshot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close_price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security_trading_snapshot.close_price WHERE security_trading_snapshot.floor_code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02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04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security_trading_snapshot.trading_dt = :etl_date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close_price_previous_day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Giá đóng cửa ngày t-1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ATM.security_trading_snapshot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close_price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security_trading_snapshot.close_price WHERE security_trading_snapshot.floor_code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02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04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security_trading_snapshot.trading_dt = MAX(trading_dt) &lt; :etl_date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price_change_percentage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decimal(5,2)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% thay đổi giá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ATM.fct_market_statistics_snpst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close_price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(fct_market_statistics_snpst.close_price - fct_market_statistics_snpst.close_price_previous_day) / NULLIF(fct_market_statistics_snpst.close_price_previous_day, 0) * 100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total_trading_val_matched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GTGD phiên tại ngày t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execution_val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SUM(securities_trade.execution_val) WHERE securities_trade.market_id_code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UPX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STX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STO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securities_trade.trade_dt = :etl_date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total_trading_val_matched_average_50_days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GTGD trung bình 50 phiên (MA50)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ATM.fct_market_statistics_snpst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total_trading_val_matched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AVG(fct_market_statistics_snpst.total_trading_val_matched) trên 50 phiên giao dịch gần nhất WHERE fct_market_statistics_snpst.snpst_dt_dim_id &lt;= :etl_date</w:t>
            </w:r>
          </w:p>
        </w:tc>
      </w:tr>
    </w:tbl>
    <w:bookmarkEnd w:id="53"/>
    <w:bookmarkStart w:id="54" w:name="Xe73db26e5a7e5c80de8deed54cce15417b2526d"/>
    <w:p>
      <w:pPr>
        <w:pStyle w:val="Heading4"/>
      </w:pPr>
      <w:r>
        <w:rPr>
          <w:rFonts w:ascii="Times New Roman" w:hAnsi="Times New Roman"/>
          <w:sz w:val="24"/>
        </w:rPr>
        <w:t xml:space="preserve">3.3.3.10 Bảng Fact Order Size Snapshot (fct_order_size_snpst)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GTGD và phân loại quy mô lệnh per mã CK theo ngày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snpst_dt_dim_id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to Calendar Date Dimension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trade_dt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LOOKUP cdr_dt_dim ON cdr_dt_dim.cdr_dt = securities_trade.trade_dt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security_symbol_code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chứng khoán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security_symbol_code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securities_trade.security_symbol_code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total_trading_val_matched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GTGD per mã CK tại ngày t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execution_val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SUM(securities_trade.execution_val) GROUP BY securities_trade.security_symbol_code, securities_trade.trade_dt WHERE securities_trade.trade_dt = :etl_date AND securities_trade.market_id_code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STO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STX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UPX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securities_trade.board_tp_code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G1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G2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G3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order_size_band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Phân loại quy mô lệnh (GTGD &gt;= 1 tỷ / GTGD &lt; 1 tỷ) per mã CK per ngày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ATM.fct_order_size_snpst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total_trading_val_matched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CASE WHEN fct_order_size_snpst.total_trading_val_matched &gt;= 1000000000 THEN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GTGD &gt;= 1 ty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ELSE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GTGD &lt; 1 ty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END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total_trading_vol_matched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KL khớp lệnh tại ngày per mã CK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execution_vol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SUM(securities_trade.execution_vol) GROUP BY securities_trade.security_symbol_code, securities_trade.trade_dt WHERE securities_trade.trade_dt = :etl_date AND securities_trade.market_id_code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STO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STX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UPX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securities_trade.board_tp_code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G1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G2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G3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</w:t>
            </w:r>
          </w:p>
        </w:tc>
      </w:tr>
    </w:tbl>
    <w:bookmarkEnd w:id="54"/>
    <w:bookmarkStart w:id="55" w:name="X147ba430640b1925c702dc5caedff7198af8c48"/>
    <w:p>
      <w:pPr>
        <w:pStyle w:val="Heading4"/>
      </w:pPr>
      <w:r>
        <w:rPr>
          <w:rFonts w:ascii="Times New Roman" w:hAnsi="Times New Roman"/>
          <w:sz w:val="24"/>
        </w:rPr>
        <w:t xml:space="preserve">3.3.3.11 Bảng Fact Proprietary Net Trade Snapshot (fct_proprietary_net_trade_snpst)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GTGD mua/bán/dòng tiền ròng khối tự doanh per mã CK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snpst_dt_dim_id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to Calendar Date Dimension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trade_dt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LOOKUP cdr_dt_dim ON cdr_dt_dim.cdr_dt = securities_trade.trade_dt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security_symbol_code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chứng khoán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security_symbol_code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securities_trade.security_symbol_code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proprietary_buy_val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GTGD mua tự doanh per mã CK tại ngày t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execution_val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SUM(securities_trade.execution_vol * securities_trade.execution_price) GROUP BY securities_trade.security_symbol_code, securities_trade.trade_dt WHERE securities_trade.trade_dt = :etl_date AND securities_trade.market_id_code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STO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STX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UPX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securities_trade.buy_client_house_cl_code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30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proprietary_sell_val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GTGD bán tự doanh per mã CK tại ngày t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ORDERTRADE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ATM.securities_trade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execution_val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SUM(securities_trade.execution_vol * securities_trade.execution_price) GROUP BY securities_trade.security_symbol_code, securities_trade.trade_dt WHERE securities_trade.trade_dt = :etl_date AND securities_trade.market_id_code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STO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STX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UPX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securities_trade.sell_client_house_cl_code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30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proprietary_net_val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Dòng tiền ròng tự doanh per mã CK tại ngày t (Buy − Sell)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ATM.fct_proprietary_net_trade_snpst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proprietary_buy_val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fct_proprietary_net_trade_snpst.proprietary_buy_val - fct_proprietary_net_trade_snpst.proprietary_sell_val</w:t>
            </w:r>
          </w:p>
        </w:tc>
      </w:tr>
    </w:tbl>
    <w:bookmarkEnd w:id="55"/>
    <w:bookmarkStart w:id="56" w:name="X1f6291efe20b60503f7d354506050e76bb90373"/>
    <w:p>
      <w:pPr>
        <w:pStyle w:val="Heading4"/>
      </w:pPr>
      <w:r>
        <w:rPr>
          <w:rFonts w:ascii="Times New Roman" w:hAnsi="Times New Roman"/>
          <w:sz w:val="24"/>
        </w:rPr>
        <w:t xml:space="preserve">3.3.3.12 Bảng Fact Sector Risk Snapshot (fct_sector_risk_snpst)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Chỉ số áp lực, thanh khoản và sức khỏe tài chính theo ngành — StressScore, D/E, GTGD ngành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snpst_dt_dim_id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to Calendar Date Dimension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ATM.security_trading_snapshot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trading_dt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LOOKUP cdr_dt_dim ON cdr_dt_dim.cdr_dt = security_trading_snapshot.trading_dt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industry_dim_id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FK to Industry Dimension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ATM.public_company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business_line_level_1_code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LOOKUP industry_dim ON industry_dim.industry_code = public_company.business_line_level_1_code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total_val_sector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Tổng giá trị giao dịch toàn bộ cổ phiếu trong ngành ngày t (TotalValue_Sector)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ATM.security_trading_snapshot / ATM.securities_trade / ATM.public_company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close_price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SUM(security_trading_snapshot.close_price * securities_trade.execution_vol) JOIN security_trading_snapshot.security_symbol_code = securities_trade.security_symbol_code AND security_trading_snapshot.trading_dt = securities_trade.trading_dt GROUP BY public_company.business_line_level_1_code, security_trading_snapshot.trading_dt</w:t>
            </w:r>
          </w:p>
        </w:tc>
      </w:tr>
    </w:tbl>
    <w:bookmarkEnd w:id="56"/>
    <w:bookmarkEnd w:id="57"/>
    <w:bookmarkStart w:id="59" w:name="danh-sách-bảng-tác-nghiệp-operational"/>
    <w:p>
      <w:pPr>
        <w:pStyle w:val="Heading3"/>
      </w:pPr>
      <w:r>
        <w:rPr>
          <w:rFonts w:ascii="Times New Roman" w:hAnsi="Times New Roman"/>
          <w:sz w:val="24"/>
        </w:rPr>
        <w:t xml:space="preserve">3.3.4 Danh sách bảng tác nghiệp (Operational)</w:t>
      </w:r>
    </w:p>
    <w:bookmarkStart w:id="58" w:name="Xaf008470ac7c02645cbca681c318139c8da9403"/>
    <w:p>
      <w:pPr>
        <w:pStyle w:val="Heading4"/>
      </w:pPr>
      <w:r>
        <w:rPr>
          <w:rFonts w:ascii="Times New Roman" w:hAnsi="Times New Roman"/>
          <w:sz w:val="24"/>
        </w:rPr>
        <w:t xml:space="preserve">3.3.4.1 Bảng Operational Corporate Bond Issuer Credit Monitor (opr_corporate_bond_issuer_credit_monitor)</w:t>
      </w:r>
    </w:p>
    <w:p>
      <w:pPr>
        <w:pStyle w:val="FirstParagraph"/>
      </w:pPr>
      <w:r>
        <w:rPr>
          <w:rFonts w:ascii="Times New Roman" w:hAnsi="Times New Roman"/>
          <w:i/>
          <w:iCs/>
          <w:sz w:val="24"/>
        </w:rPr>
        <w:t xml:space="preserve">Mô tả bảng: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Danh sách TCPH TPDN kèm chỉ tiêu tín dụng (D/E, ROE) để giám sát rủi ro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Đường dẫn trên kho dữ liệu: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Các trường Partition: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Thời gian lưu trữ: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Định dạng lưu trữ:</w:t>
      </w:r>
    </w:p>
    <w:tbl>
      <w:tblPr>
        <w:tblStyle w:val="Table"/>
        <w:tblW w:type="dxa" w:w="13999"/>
        <w:jc w:val="left"/>
        <w:tblLook w:firstRow="1" w:lastRow="0" w:firstColumn="0" w:lastColumn="0" w:noHBand="0" w:noVBand="0" w:val="0020"/>
        <w:tblLayout w:type="fixed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"/>
        <w:gridCol w:w="1300"/>
        <w:gridCol w:w="1100"/>
        <w:gridCol w:w="480"/>
        <w:gridCol w:w="480"/>
        <w:gridCol w:w="480"/>
        <w:gridCol w:w="480"/>
        <w:gridCol w:w="2200"/>
        <w:gridCol w:w="900"/>
        <w:gridCol w:w="1400"/>
        <w:gridCol w:w="1200"/>
        <w:gridCol w:w="3619"/>
      </w:tblGrid>
      <w:tr>
        <w:trPr>
          <w:tblHeader w:val="on"/>
          <w:cantSplit/>
        </w:trPr>
        <w:tc>
          <w:tcPr>
            <w:tcW w:w="36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STT</w:t>
            </w:r>
          </w:p>
        </w:tc>
        <w:tc>
          <w:tcPr>
            <w:tcW w:w="13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Tên trường</w:t>
            </w:r>
          </w:p>
        </w:tc>
        <w:tc>
          <w:tcPr>
            <w:tcW w:w="11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Kiểu dữ liệu và độ dài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Nullable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Unique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P/F Key</w:t>
            </w:r>
          </w:p>
        </w:tc>
        <w:tc>
          <w:tcPr>
            <w:tcW w:w="48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Giá trị mặc định</w:t>
            </w:r>
          </w:p>
        </w:tc>
        <w:tc>
          <w:tcPr>
            <w:tcW w:w="2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Mô tả</w:t>
            </w:r>
          </w:p>
        </w:tc>
        <w:tc>
          <w:tcPr>
            <w:tcW w:w="9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Hệ thống nguồn</w:t>
            </w:r>
          </w:p>
        </w:tc>
        <w:tc>
          <w:tcPr>
            <w:tcW w:w="14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Schema.Table</w:t>
            </w:r>
          </w:p>
        </w:tc>
        <w:tc>
          <w:tcPr>
            <w:tcW w:w="1200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Source Field Name</w:t>
            </w:r>
          </w:p>
        </w:tc>
        <w:tc>
          <w:tcPr>
            <w:tcW w:w="3619" w:type="dxa"/>
            <w:shd w:val="clear" w:color="auto" w:fill="BDD7EE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 xml:space="preserve">ETL Rules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issuer_symbol_code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Mã TCPH (định danh qua mã TP)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ATM.security_trading_snapshot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symbol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security_trading_snapshot.symbol WHERE security_trading_snapshot.stock_tp_code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B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D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snpst_dt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date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Ngày thống kê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ATM.security_trading_snapshot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trading_dt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security_trading_snapshot.trading_dt WHERE security_trading_snapshot.stock_tp_code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B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D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bond_outstanding_val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Dư nợ trái phiếu per TCPH tại ngày t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ATM.security_trading_snapshot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total_listing_vol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100000 * security_trading_snapshot.total_listing_vol WHERE security_trading_snapshot.stock_tp_code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B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D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security_trading_snapshot.trading_dt = :etl_date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par_val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Mệnh giá trái phiếu (100.000 VND/TP) — hardcode theo BA note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ATM.opr_corporate_bond_issuer_credit_monitor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par_val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100000 (hardcode)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outstanding_vol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decimal(23,2)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KL TP lưu hành per TCPH tại ngày t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ATM.security_trading_snapshot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total_listing_vol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security_trading_snapshot.total_listing_vol WHERE security_trading_snapshot.stock_tp_code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B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1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D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AND security_trading_snapshot.trading_dt = :etl_date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audit_opinion_text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Ý kiến kiểm toán per TCPH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ATM.pc_evaluation_detail / ATM.pc_evaluation_criterion / ATM.pc_evaluation_group / ATM.pc_evaluation / ATM.pc_evaluation_period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evaluation_result_text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pc_evaluation_detail.evaluation_result_text, pc_evaluation_detail.evaluation_score JOIN pc_evaluation_criterion ON pc_evaluation_criterion.pc_evaluation_criterion_code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TAI_CHINH_YKKT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JOIN pc_evaluation_group ON pc_evaluation_group.pc_evaluation_group_code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TAI_CHINH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JOIN pc_evaluation ON pc_evaluation.pc_id = :p_company_id JOIN pc_evaluation_period ON pc_evaluation_period.evaluation_year = :p_year AND pc_evaluation_period.evaluation_month = :p_month</w:t>
            </w:r>
          </w:p>
        </w:tc>
      </w:tr>
      <w:tr>
        <w:trPr>
          <w:cantSplit/>
        </w:trPr>
        <w:tc>
          <w:tcPr>
            <w:tcW w:w="360" w:type="dxa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ranking_code</w:t>
            </w:r>
          </w:p>
        </w:tc>
        <w:tc>
          <w:tcPr>
            <w:tcW w:w="11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Xếp hạng tín nhiệm per TCPH</w:t>
            </w:r>
          </w:p>
        </w:tc>
        <w:tc>
          <w:tcPr>
            <w:tcW w:w="9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IDS</w:t>
            </w:r>
          </w:p>
        </w:tc>
        <w:tc>
          <w:tcPr>
            <w:tcW w:w="14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ATM.pc_bond_evaluation</w:t>
            </w:r>
          </w:p>
        </w:tc>
        <w:tc>
          <w:tcPr>
            <w:tcW w:w="1200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ranking_code</w:t>
            </w:r>
          </w:p>
        </w:tc>
        <w:tc>
          <w:tcPr>
            <w:tcW w:w="3619" w:type="dxa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pc_bond_evaluation.ranking_code WHERE pc_bond_evaluation.pc_id = :p_company_id AND pc_bond_evaluation.evaluation_year = :p_year AND pc_bond_evaluation.evaluation_month = :p_month</w:t>
            </w:r>
          </w:p>
        </w:tc>
      </w:tr>
      <w:tr>
        <w:trPr>
          <w:cantSplit/>
        </w:trPr>
        <w:tc>
          <w:tcPr>
            <w:tcW w:w="360" w:type="dxa"/>
            <w:shd w:val="clear" w:color="auto" w:fill="EEF4FB"/>
            <w:vAlign w:val="center"/>
          </w:tcPr>
          <w:p>
            <w:pPr>
              <w:pStyle w:val="Compact"/>
              <w:jc w:val="center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w="13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risk_rating_text</w:t>
            </w:r>
          </w:p>
        </w:tc>
        <w:tc>
          <w:tcPr>
            <w:tcW w:w="11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string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</w:t>
            </w: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48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</w:p>
        </w:tc>
        <w:tc>
          <w:tcPr>
            <w:tcW w:w="2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Xếp loại rủi ro per TCPH (Thấp/Trung bình/Cao/Chưa xếp hạng), derive từ Ranking Code theo CASE WHEN BA cung cấp</w:t>
            </w:r>
          </w:p>
        </w:tc>
        <w:tc>
          <w:tcPr>
            <w:tcW w:w="9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MDDS</w:t>
            </w:r>
          </w:p>
        </w:tc>
        <w:tc>
          <w:tcPr>
            <w:tcW w:w="14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ATM.opr_corporate_bond_issuer_credit_monitor</w:t>
            </w:r>
          </w:p>
        </w:tc>
        <w:tc>
          <w:tcPr>
            <w:tcW w:w="1200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ranking_code</w:t>
            </w:r>
          </w:p>
        </w:tc>
        <w:tc>
          <w:tcPr>
            <w:tcW w:w="3619" w:type="dxa"/>
            <w:shd w:val="clear" w:color="auto" w:fill="EEF4FB"/>
            <w:vAlign w:val="center"/>
          </w:tcPr>
          <w:p>
            <w:pPr>
              <w:pStyle w:val="Compact"/>
              <w:jc w:val="left"/>
              <w:ind w:left="0" w:firstLine="0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CASE WHEN opr_corporate_bond_issuer_credit_monitor.ranking_code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AAA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AA+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AA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AA-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A+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A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A-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THEN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Thấp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WHEN opr_corporate_bond_issuer_credit_monitor.ranking_code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BBB+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BBB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BBB-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THEN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Trung bình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WHEN opr_corporate_bond_issuer_credit_monitor.ranking_code IN (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BB+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BB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BB-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B+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B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B-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CCC+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CCC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CCC-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CC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C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D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) THEN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Cao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ELSE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‘</w:t>
            </w:r>
            <w:r>
              <w:rPr>
                <w:rFonts w:ascii="Times New Roman" w:hAnsi="Times New Roman"/>
                <w:sz w:val="20"/>
              </w:rPr>
              <w:t xml:space="preserve">Chưa xếp hạng</w:t>
            </w:r>
            <w:r>
              <w:rPr>
                <w:rFonts w:ascii="Times New Roman" w:hAnsi="Times New Roman"/>
                <w:sz w:val="20"/>
              </w:rPr>
              <w:t xml:space="preserve">’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END</w:t>
            </w:r>
          </w:p>
        </w:tc>
      </w:tr>
    </w:tbl>
    <w:bookmarkEnd w:id="58"/>
    <w:bookmarkEnd w:id="59"/>
    <w:bookmarkEnd w:id="60"/>
    <w:bookmarkEnd w:id="61"/>
    <w:sectPr w:rsidR="00CD2C58">
      <w:headerReference r:id="rId11" w:type="even"/>
      <w:headerReference r:id="rId10" w:type="default"/>
      <w:footerReference r:id="rId13" w:type="even"/>
      <w:footerReference r:id="rId12" w:type="default"/>
      <w:headerReference r:id="rId9" w:type="first"/>
      <w:footerReference r:id="rId14" w:type="first"/>
      <w:pgSz w:h="11909" w:w="16834" w:orient="landscape"/>
      <w:pgMar w:bottom="1418" w:footer="720" w:gutter="0" w:header="720" w:left="1701" w:right="1134" w:top="1418"/>
      <w:pgNumType w:start="1"/>
      <w:cols w:space="72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2937762F-0B21-4001-A888-06B425B7343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H">
    <w:altName w:val="Calibri"/>
    <w:panose1 w:val="00000000000000000000"/>
    <w:charset w:val="00"/>
    <w:family w:val="roman"/>
    <w:notTrueType/>
    <w:pitch w:val="default"/>
  </w:font>
  <w:font w:name=".VnArial">
    <w:altName w:val="Calibri"/>
    <w:charset w:val="00"/>
    <w:family w:val="swiss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HelvetIns">
    <w:charset w:val="00"/>
    <w:family w:val="swiss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24DC36F3-4C8C-4F0D-AFA8-F554566D6D76}"/>
    <w:embedBold r:id="rId3" w:fontKey="{3A319A09-4F3C-4AE7-A785-C44ADF197BAA}"/>
    <w:embedBoldItalic r:id="rId4" w:fontKey="{3C87A4A5-0DBA-41EB-8BF6-6F712A1B5B3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E985BCE9-FDAA-41C4-B9BC-5367606E8BB2}"/>
    <w:embedBold r:id="rId6" w:fontKey="{E9901222-737E-4382-8933-42817DBA2F1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7DBC6051-6CAF-47F5-95EA-44939972CD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85FF019-EE3B-4CFD-8594-3D67A19650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62F49" w14:textId="77777777" w:rsidR="00EA6A29" w:rsidRDefault="00EA6A29">
    <w:pPr>
      <w:pStyle w:val="Footer"/>
      <w:ind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1B311" w14:textId="6CC7B130" w:rsidR="00CD2C58" w:rsidRDefault="00342F67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9072"/>
      </w:tabs>
      <w:ind w:left="0"/>
      <w:rPr>
        <w:rFonts w:eastAsia="Times New Roman" w:cs="Times New Roman"/>
        <w:color w:val="000000"/>
        <w:szCs w:val="24"/>
      </w:rPr>
    </w:pPr>
    <w:r>
      <w:rPr>
        <w:rFonts w:eastAsia="Times New Roman" w:cs="Times New Roman"/>
        <w:color w:val="000000"/>
        <w:szCs w:val="24"/>
      </w:rPr>
      <w:tab/>
    </w:r>
    <w:r>
      <w:rPr>
        <w:rFonts w:eastAsia="Times New Roman" w:cs="Times New Roman"/>
        <w:color w:val="000000"/>
        <w:szCs w:val="24"/>
      </w:rPr>
      <w:fldChar w:fldCharType="begin"/>
    </w:r>
    <w:r>
      <w:rPr>
        <w:rFonts w:eastAsia="Times New Roman" w:cs="Times New Roman"/>
        <w:color w:val="000000"/>
        <w:szCs w:val="24"/>
      </w:rPr>
      <w:instrText>PAGE</w:instrText>
    </w:r>
    <w:r>
      <w:rPr>
        <w:rFonts w:eastAsia="Times New Roman" w:cs="Times New Roman"/>
        <w:color w:val="000000"/>
        <w:szCs w:val="24"/>
      </w:rPr>
      <w:fldChar w:fldCharType="separate"/>
    </w:r>
    <w:r w:rsidR="00EA6A29">
      <w:rPr>
        <w:rFonts w:eastAsia="Times New Roman" w:cs="Times New Roman"/>
        <w:noProof/>
        <w:color w:val="000000"/>
        <w:szCs w:val="24"/>
      </w:rPr>
      <w:t>2</w:t>
    </w:r>
    <w:r>
      <w:rPr>
        <w:rFonts w:eastAsia="Times New Roman" w:cs="Times New Roman"/>
        <w:color w:val="000000"/>
        <w:szCs w:val="24"/>
      </w:rPr>
      <w:fldChar w:fldCharType="end"/>
    </w:r>
    <w:r>
      <w:rPr>
        <w:rFonts w:eastAsia="Times New Roman" w:cs="Times New Roman"/>
        <w:color w:val="000000"/>
        <w:szCs w:val="24"/>
      </w:rPr>
      <w:t>/</w:t>
    </w:r>
    <w:r>
      <w:rPr>
        <w:rFonts w:eastAsia="Times New Roman" w:cs="Times New Roman"/>
        <w:color w:val="000000"/>
        <w:szCs w:val="24"/>
      </w:rPr>
      <w:fldChar w:fldCharType="begin"/>
    </w:r>
    <w:r>
      <w:rPr>
        <w:rFonts w:eastAsia="Times New Roman" w:cs="Times New Roman"/>
        <w:color w:val="000000"/>
        <w:szCs w:val="24"/>
      </w:rPr>
      <w:instrText>NUMPAGES</w:instrText>
    </w:r>
    <w:r>
      <w:rPr>
        <w:rFonts w:eastAsia="Times New Roman" w:cs="Times New Roman"/>
        <w:color w:val="000000"/>
        <w:szCs w:val="24"/>
      </w:rPr>
      <w:fldChar w:fldCharType="separate"/>
    </w:r>
    <w:r w:rsidR="00EA6A29">
      <w:rPr>
        <w:rFonts w:eastAsia="Times New Roman" w:cs="Times New Roman"/>
        <w:noProof/>
        <w:color w:val="000000"/>
        <w:szCs w:val="24"/>
      </w:rPr>
      <w:t>3</w:t>
    </w:r>
    <w:r>
      <w:rPr>
        <w:rFonts w:eastAsia="Times New Roman" w:cs="Times New Roman"/>
        <w:color w:val="000000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1B312" w14:textId="77777777" w:rsidR="00CD2C58" w:rsidRDefault="00342F6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9270"/>
      </w:tabs>
      <w:ind w:left="0"/>
      <w:rPr>
        <w:rFonts w:eastAsia="Times New Roman" w:cs="Times New Roman"/>
        <w:color w:val="000000"/>
        <w:szCs w:val="24"/>
      </w:rPr>
    </w:pPr>
    <w:r>
      <w:rPr>
        <w:rFonts w:eastAsia="Times New Roman" w:cs="Times New Roman"/>
        <w:i/>
        <w:iCs/>
        <w:color w:val="000000"/>
        <w:szCs w:val="24"/>
      </w:rP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58AAF" w14:textId="77777777" w:rsidR="00EA6A29" w:rsidRDefault="00EA6A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1B310" w14:textId="77777777" w:rsidR="00CD2C58" w:rsidRDefault="00342F67">
    <w:pPr>
      <w:pBdr>
        <w:top w:val="nil"/>
        <w:left w:val="nil"/>
        <w:bottom w:val="single" w:sz="4" w:space="0" w:color="000000"/>
        <w:right w:val="nil"/>
        <w:between w:val="nil"/>
      </w:pBdr>
      <w:tabs>
        <w:tab w:val="center" w:pos="4320"/>
        <w:tab w:val="right" w:pos="8640"/>
        <w:tab w:val="right" w:pos="9072"/>
      </w:tabs>
      <w:ind w:left="0"/>
      <w:rPr>
        <w:rFonts w:eastAsia="Times New Roman" w:cs="Times New Roman"/>
        <w:color w:val="000000"/>
        <w:sz w:val="22"/>
        <w:szCs w:val="22"/>
      </w:rPr>
    </w:pPr>
    <w:r>
      <w:rPr>
        <w:rFonts w:eastAsia="Times New Roman" w:cs="Times New Roman"/>
        <w:i/>
        <w:iCs/>
        <w:color w:val="000000"/>
        <w:sz w:val="22"/>
        <w:szCs w:val="22"/>
      </w:rPr>
      <w:t>Tài liệu Thiết kế chi tiết dữ liệu</w:t>
    </w:r>
    <w:r>
      <w:rPr>
        <w:rFonts w:eastAsia="Times New Roman" w:cs="Times New Roman"/>
        <w:i/>
        <w:iCs/>
        <w:color w:val="000000"/>
        <w:sz w:val="22"/>
        <w:szCs w:val="22"/>
      </w:rPr>
      <w:tab/>
    </w:r>
    <w:r>
      <w:rPr>
        <w:rFonts w:eastAsia="Times New Roman" w:cs="Times New Roman"/>
        <w:color w:val="000000"/>
        <w:sz w:val="22"/>
        <w:szCs w:val="22"/>
      </w:rPr>
      <w:tab/>
      <w:t xml:space="preserve">                      </w:t>
    </w:r>
    <w:r>
      <w:rPr>
        <w:rFonts w:eastAsia="Times New Roman" w:cs="Times New Roman"/>
        <w:i/>
        <w:iCs/>
        <w:color w:val="000000"/>
        <w:sz w:val="22"/>
        <w:szCs w:val="22"/>
      </w:rPr>
      <w:t>v1.0</w:t>
    </w:r>
    <w:r>
      <w:rPr>
        <w:rFonts w:eastAsia="Times New Roman" w:cs="Times New Roman"/>
        <w:color w:val="000000"/>
        <w:sz w:val="22"/>
        <w:szCs w:val="22"/>
      </w:rPr>
      <w:t xml:space="preserve">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FC1F3" w14:textId="77777777" w:rsidR="00EA6A29" w:rsidRDefault="00EA6A29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0FA0154"/>
    <w:multiLevelType w:val="multilevel"/>
    <w:tmpl w:val="572EEEB6"/>
    <w:lvl w:ilvl="0">
      <w:start w:val="1"/>
      <w:numFmt w:val="decimal"/>
      <w:pStyle w:val="Bullet2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pStyle w:val="ListBullet0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pStyle w:val="Heading10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pStyle w:val="Heading7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pStyle w:val="Heading8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pStyle w:val="Heading9"/>
      <w:lvlText w:val="%9."/>
      <w:lvlJc w:val="left"/>
      <w:pPr>
        <w:tabs>
          <w:tab w:pos="6480" w:val="num"/>
        </w:tabs>
        <w:ind w:hanging="720" w:left="6480"/>
      </w:pPr>
    </w:lvl>
  </w:abstractNum>
  <w:abstractNum w15:restartNumberingAfterBreak="0" w:abstractNumId="1">
    <w:nsid w:val="166B2D73"/>
    <w:multiLevelType w:val="hybridMultilevel"/>
    <w:tmpl w:val="8F7CF7A8"/>
    <w:lvl w:ilvl="0" w:tplc="08090001">
      <w:start w:val="1"/>
      <w:numFmt w:val="bullet"/>
      <w:lvlText w:val=""/>
      <w:lvlJc w:val="left"/>
      <w:pPr>
        <w:ind w:hanging="360" w:left="718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38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58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78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598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18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38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58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78"/>
      </w:pPr>
      <w:rPr>
        <w:rFonts w:ascii="Wingdings" w:hAnsi="Wingdings" w:hint="default"/>
      </w:rPr>
    </w:lvl>
  </w:abstractNum>
  <w:abstractNum w15:restartNumberingAfterBreak="0" w:abstractNumId="2">
    <w:nsid w:val="54EF276E"/>
    <w:multiLevelType w:val="multilevel"/>
    <w:tmpl w:val="E73EBA4A"/>
    <w:lvl w:ilvl="0">
      <w:start w:val="1"/>
      <w:numFmt w:val="bullet"/>
      <w:pStyle w:val="TableTitle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vertAlign w:val="baseline"/>
      </w:rPr>
    </w:lvl>
  </w:abstractNum>
  <w:abstractNum w15:restartNumberingAfterBreak="0" w:abstractNumId="3">
    <w:nsid w:val="5B286938"/>
    <w:multiLevelType w:val="multilevel"/>
    <w:tmpl w:val="9412161C"/>
    <w:lvl w:ilvl="0">
      <w:numFmt w:val="bullet"/>
      <w:pStyle w:val="Vidu"/>
      <w:lvlText w:val="-"/>
      <w:lvlJc w:val="left"/>
      <w:pPr>
        <w:ind w:hanging="360" w:left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hanging="360" w:left="108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hanging="360" w:left="180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hanging="360" w:left="252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hanging="360" w:left="324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hanging="360" w:left="39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hanging="360" w:left="46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hanging="360" w:left="540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hanging="360" w:left="6120"/>
      </w:pPr>
      <w:rPr>
        <w:rFonts w:ascii="Noto Sans Symbols" w:cs="Noto Sans Symbols" w:eastAsia="Noto Sans Symbols" w:hAnsi="Noto Sans Symbols"/>
        <w:vertAlign w:val="baseline"/>
      </w:rPr>
    </w:lvl>
  </w:abstractNum>
  <w:abstractNum w15:restartNumberingAfterBreak="0" w:abstractNumId="4">
    <w:nsid w:val="613A450C"/>
    <w:multiLevelType w:val="multilevel"/>
    <w:tmpl w:val="3D4CFE08"/>
    <w:lvl w:ilvl="0">
      <w:start w:val="1"/>
      <w:numFmt w:val="bullet"/>
      <w:pStyle w:val="Table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vertAlign w:val="baseline"/>
      </w:rPr>
    </w:lvl>
  </w:abstractNum>
  <w:abstractNum w15:restartNumberingAfterBreak="0" w:abstractNumId="5">
    <w:nsid w:val="6B2C37CF"/>
    <w:multiLevelType w:val="multilevel"/>
    <w:tmpl w:val="706446FC"/>
    <w:lvl w:ilvl="0">
      <w:start w:val="1"/>
      <w:numFmt w:val="decimal"/>
      <w:pStyle w:val="Mucvidu"/>
      <w:lvlText w:val="%1"/>
      <w:lvlJc w:val="left"/>
      <w:pPr>
        <w:ind w:hanging="432" w:left="432"/>
      </w:pPr>
      <w:rPr>
        <w:vertAlign w:val="baseline"/>
      </w:rPr>
    </w:lvl>
    <w:lvl w:ilvl="1">
      <w:start w:val="1"/>
      <w:numFmt w:val="decimal"/>
      <w:lvlText w:val="%1.%2"/>
      <w:lvlJc w:val="left"/>
      <w:pPr>
        <w:ind w:hanging="576" w:left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vertAlign w:val="baseline"/>
      </w:rPr>
    </w:lvl>
  </w:abstractNum>
  <w:abstractNum w15:restartNumberingAfterBreak="0" w:abstractNumId="6">
    <w:nsid w:val="6E5D2A08"/>
    <w:multiLevelType w:val="multilevel"/>
    <w:tmpl w:val="4246035E"/>
    <w:lvl w:ilvl="0">
      <w:start w:val="1"/>
      <w:numFmt w:val="decimal"/>
      <w:pStyle w:val="Tailieu"/>
      <w:lvlText w:val="%1."/>
      <w:lvlJc w:val="left"/>
      <w:pPr>
        <w:ind w:hanging="648" w:left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hanging="180" w:left="2160"/>
      </w:pPr>
      <w:rPr>
        <w:vertAlign w:val="baseli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hanging="180" w:left="4320"/>
      </w:pPr>
      <w:rPr>
        <w:vertAlign w:val="baseli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hanging="180" w:left="6480"/>
      </w:pPr>
      <w:rPr>
        <w:vertAlign w:val="baseline"/>
      </w:rPr>
    </w:lvl>
  </w:abstractNum>
  <w:abstractNum w15:restartNumberingAfterBreak="0" w:abstractNumId="7">
    <w:nsid w:val="79726D6C"/>
    <w:multiLevelType w:val="multilevel"/>
    <w:tmpl w:val="2B8C0254"/>
    <w:lvl w:ilvl="0">
      <w:start w:val="1"/>
      <w:numFmt w:val="bullet"/>
      <w:pStyle w:val="Bullet1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vertAlign w:val="baseline"/>
      </w:rPr>
    </w:lvl>
  </w:abstractNum>
  <w:abstractNum w15:restartNumberingAfterBreak="0" w:abstractNumId="8">
    <w:nsid w:val="7CE40EDF"/>
    <w:multiLevelType w:val="multilevel"/>
    <w:tmpl w:val="51CECC56"/>
    <w:lvl w:ilvl="0">
      <w:start w:val="1"/>
      <w:numFmt w:val="decimal"/>
      <w:pStyle w:val="Point"/>
      <w:lvlText w:val="%1."/>
      <w:lvlJc w:val="left"/>
      <w:pPr>
        <w:ind w:hanging="648" w:left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hanging="180" w:left="2160"/>
      </w:pPr>
      <w:rPr>
        <w:vertAlign w:val="baseli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hanging="180" w:left="4320"/>
      </w:pPr>
      <w:rPr>
        <w:vertAlign w:val="baseli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hanging="180" w:left="6480"/>
      </w:pPr>
      <w:rPr>
        <w:vertAlign w:val="baseline"/>
      </w:rPr>
    </w:lvl>
  </w:abstractNum>
  <w:abstractNum w15:restartNumberingAfterBreak="0" w:abstractNumId="9">
    <w:nsid w:val="7DCD644A"/>
    <w:multiLevelType w:val="multilevel"/>
    <w:tmpl w:val="4AD64B8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241722942" w:numId="1">
    <w:abstractNumId w:val="5"/>
  </w:num>
  <w:num w16cid:durableId="1875922518" w:numId="2">
    <w:abstractNumId w:val="8"/>
  </w:num>
  <w:num w16cid:durableId="1518301411" w:numId="3">
    <w:abstractNumId w:val="6"/>
  </w:num>
  <w:num w16cid:durableId="2073770227" w:numId="4">
    <w:abstractNumId w:val="3"/>
  </w:num>
  <w:num w16cid:durableId="1891719578" w:numId="5">
    <w:abstractNumId w:val="2"/>
  </w:num>
  <w:num w16cid:durableId="1978336018" w:numId="6">
    <w:abstractNumId w:val="4"/>
  </w:num>
  <w:num w16cid:durableId="679164730" w:numId="7">
    <w:abstractNumId w:val="7"/>
  </w:num>
  <w:num w16cid:durableId="648675802" w:numId="8">
    <w:abstractNumId w:val="0"/>
  </w:num>
  <w:num w16cid:durableId="1055810501"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33759127"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55063755"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26913826"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918049075"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11813108"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39843576"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56391306"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80057302"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90647670"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20958728"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163155"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69207577"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88109813"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41249108"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94220676"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18803201" w:numId="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685098" w:numId="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84089215" w:numId="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14040268" w:numId="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70062302" w:numId="29">
    <w:abstractNumId w:val="9"/>
  </w:num>
  <w:num w16cid:durableId="1740664673" w:numId="30">
    <w:abstractNumId w:val="1"/>
  </w:num>
  <w:num w16cid:durableId="1037773959" w:numId="31">
    <w:abstractNumId w:val="3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4"/>
  <w:embedTrueTypeFonts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C58"/>
    <w:rsid w:val="00017C5E"/>
    <w:rsid w:val="000A27D6"/>
    <w:rsid w:val="000A4B9C"/>
    <w:rsid w:val="000F225B"/>
    <w:rsid w:val="001345F3"/>
    <w:rsid w:val="00143212"/>
    <w:rsid w:val="00155AC9"/>
    <w:rsid w:val="001A769D"/>
    <w:rsid w:val="001C63E8"/>
    <w:rsid w:val="00200B6E"/>
    <w:rsid w:val="00230166"/>
    <w:rsid w:val="00276833"/>
    <w:rsid w:val="00342F67"/>
    <w:rsid w:val="003951CD"/>
    <w:rsid w:val="003A4538"/>
    <w:rsid w:val="003B2FCB"/>
    <w:rsid w:val="003E5647"/>
    <w:rsid w:val="003F6616"/>
    <w:rsid w:val="00510461"/>
    <w:rsid w:val="005811BE"/>
    <w:rsid w:val="005A4EC9"/>
    <w:rsid w:val="006E4674"/>
    <w:rsid w:val="006F1A55"/>
    <w:rsid w:val="00704780"/>
    <w:rsid w:val="00757950"/>
    <w:rsid w:val="007B672C"/>
    <w:rsid w:val="007D1B1F"/>
    <w:rsid w:val="00813BC6"/>
    <w:rsid w:val="00837E67"/>
    <w:rsid w:val="00861073"/>
    <w:rsid w:val="008E4799"/>
    <w:rsid w:val="008F795A"/>
    <w:rsid w:val="0090566D"/>
    <w:rsid w:val="00953DE8"/>
    <w:rsid w:val="00A307FE"/>
    <w:rsid w:val="00A816D6"/>
    <w:rsid w:val="00A853FD"/>
    <w:rsid w:val="00AA2114"/>
    <w:rsid w:val="00AC1D5D"/>
    <w:rsid w:val="00AF06C5"/>
    <w:rsid w:val="00B13693"/>
    <w:rsid w:val="00C60A1D"/>
    <w:rsid w:val="00C92315"/>
    <w:rsid w:val="00CA4983"/>
    <w:rsid w:val="00CD2C58"/>
    <w:rsid w:val="00CD6BC8"/>
    <w:rsid w:val="00D043B1"/>
    <w:rsid w:val="00D2102C"/>
    <w:rsid w:val="00DD5170"/>
    <w:rsid w:val="00E23C91"/>
    <w:rsid w:val="00E31006"/>
    <w:rsid w:val="00E3540E"/>
    <w:rsid w:val="00E45CA8"/>
    <w:rsid w:val="00E507FE"/>
    <w:rsid w:val="00E53183"/>
    <w:rsid w:val="00E92E8B"/>
    <w:rsid w:val="00EA6A29"/>
    <w:rsid w:val="00EB529D"/>
    <w:rsid w:val="00F02F97"/>
    <w:rsid w:val="00F11112"/>
    <w:rsid w:val="00F56D3A"/>
    <w:rsid w:val="00FC0EAB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Arial" w:eastAsia="Arial" w:hAnsi="Arial"/>
        <w:lang w:bidi="ar-SA" w:eastAsia="en-GB" w:val="en"/>
      </w:rPr>
    </w:rPrDefault>
    <w:pPrDefault>
      <w:pPr>
        <w:widowControl w:val="0"/>
        <w:spacing w:before="120"/>
        <w:ind w:left="547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1A769D"/>
    <w:rPr>
      <w:rFonts w:ascii="Times New Roman" w:hAnsi="Times New Roman"/>
      <w:sz w:val="24"/>
    </w:rPr>
  </w:style>
  <w:style w:styleId="Heading1" w:type="paragraph">
    <w:name w:val="heading 1"/>
    <w:basedOn w:val="Normal"/>
    <w:next w:val="Normal"/>
    <w:uiPriority w:val="9"/>
    <w:qFormat/>
    <w:pPr>
      <w:keepNext/>
      <w:spacing w:after="240" w:before="240"/>
      <w:ind w:hanging="431" w:left="431"/>
      <w:outlineLvl w:val="0"/>
    </w:pPr>
    <w:rPr>
      <w:rFonts w:cs="Times New Roman" w:eastAsia="Times New Roman"/>
      <w:b/>
      <w:bCs/>
      <w:sz w:val="26"/>
      <w:szCs w:val="26"/>
    </w:rPr>
  </w:style>
  <w:style w:styleId="Heading2" w:type="paragraph">
    <w:name w:val="heading 2"/>
    <w:basedOn w:val="Normal"/>
    <w:next w:val="Normal"/>
    <w:uiPriority w:val="9"/>
    <w:unhideWhenUsed/>
    <w:qFormat/>
    <w:pPr>
      <w:keepNext/>
      <w:spacing w:after="120"/>
      <w:ind w:hanging="578" w:left="578"/>
      <w:outlineLvl w:val="1"/>
    </w:pPr>
    <w:rPr>
      <w:rFonts w:cs="Times New Roman" w:eastAsia="Times New Roman"/>
      <w:b/>
      <w:bCs/>
      <w:sz w:val="26"/>
      <w:szCs w:val="26"/>
    </w:rPr>
  </w:style>
  <w:style w:styleId="Heading3" w:type="paragraph">
    <w:name w:val="heading 3"/>
    <w:basedOn w:val="Normal"/>
    <w:next w:val="Normal"/>
    <w:uiPriority w:val="9"/>
    <w:unhideWhenUsed/>
    <w:qFormat/>
    <w:pPr>
      <w:keepNext/>
      <w:tabs>
        <w:tab w:pos="792" w:val="left"/>
      </w:tabs>
      <w:spacing w:before="240"/>
      <w:ind w:hanging="720"/>
      <w:jc w:val="both"/>
      <w:outlineLvl w:val="2"/>
    </w:pPr>
    <w:rPr>
      <w:rFonts w:cs="Times New Roman" w:eastAsia="Times New Roman"/>
      <w:b/>
      <w:bCs/>
      <w:szCs w:val="24"/>
    </w:rPr>
  </w:style>
  <w:style w:styleId="Heading4" w:type="paragraph">
    <w:name w:val="heading 4"/>
    <w:basedOn w:val="Normal"/>
    <w:next w:val="Normal"/>
    <w:uiPriority w:val="9"/>
    <w:unhideWhenUsed/>
    <w:qFormat/>
    <w:pPr>
      <w:keepNext/>
      <w:spacing w:after="60" w:before="240"/>
      <w:ind w:hanging="864"/>
      <w:outlineLvl w:val="3"/>
    </w:pPr>
    <w:rPr>
      <w:rFonts w:cs="Times New Roman" w:eastAsia="Times New Roman"/>
      <w:b/>
      <w:bCs/>
      <w:i/>
      <w:iCs/>
      <w:szCs w:val="24"/>
    </w:rPr>
  </w:style>
  <w:style w:styleId="Heading5" w:type="paragraph">
    <w:name w:val="heading 5"/>
    <w:basedOn w:val="Normal"/>
    <w:next w:val="Normal"/>
    <w:uiPriority w:val="9"/>
    <w:semiHidden/>
    <w:unhideWhenUsed/>
    <w:qFormat/>
    <w:pPr>
      <w:keepNext/>
      <w:ind w:hanging="1008"/>
      <w:jc w:val="both"/>
      <w:outlineLvl w:val="4"/>
    </w:pPr>
    <w:rPr>
      <w:rFonts w:ascii="Arial" w:hAnsi="Arial"/>
      <w:b/>
      <w:bCs/>
    </w:rPr>
  </w:style>
  <w:style w:styleId="Heading6" w:type="paragraph">
    <w:name w:val="heading 6"/>
    <w:basedOn w:val="Normal"/>
    <w:next w:val="Normal"/>
    <w:uiPriority w:val="9"/>
    <w:semiHidden/>
    <w:unhideWhenUsed/>
    <w:qFormat/>
    <w:pPr>
      <w:keepNext/>
      <w:ind w:hanging="1152"/>
      <w:outlineLvl w:val="5"/>
    </w:pPr>
    <w:rPr>
      <w:rFonts w:cs="Times New Roman" w:eastAsia="Times New Roman"/>
      <w:b/>
      <w:bCs/>
      <w:i/>
      <w:iCs/>
      <w:sz w:val="22"/>
      <w:szCs w:val="22"/>
    </w:rPr>
  </w:style>
  <w:style w:styleId="Heading7" w:type="paragraph">
    <w:name w:val="heading 7"/>
    <w:basedOn w:val="Normal"/>
    <w:next w:val="Normal"/>
    <w:pPr>
      <w:keepNext/>
      <w:numPr>
        <w:ilvl w:val="6"/>
        <w:numId w:val="8"/>
      </w:numPr>
      <w:suppressAutoHyphens/>
      <w:spacing w:after="60" w:before="60" w:line="1" w:lineRule="atLeast"/>
      <w:ind w:hanging="1" w:hangingChars="1" w:left="547" w:leftChars="-1"/>
      <w:textDirection w:val="btLr"/>
      <w:textAlignment w:val="top"/>
      <w:outlineLvl w:val="6"/>
    </w:pPr>
    <w:rPr>
      <w:rFonts w:ascii=".VnTimeH" w:hAnsi=".VnTimeH"/>
      <w:b/>
      <w:snapToGrid w:val="0"/>
      <w:color w:val="000000"/>
      <w:position w:val="-1"/>
      <w:sz w:val="18"/>
      <w:lang w:eastAsia="en-US" w:val="en-US"/>
    </w:rPr>
  </w:style>
  <w:style w:styleId="Heading8" w:type="paragraph">
    <w:name w:val="heading 8"/>
    <w:basedOn w:val="Normal"/>
    <w:next w:val="Normal"/>
    <w:pPr>
      <w:keepNext/>
      <w:numPr>
        <w:ilvl w:val="7"/>
        <w:numId w:val="8"/>
      </w:numPr>
      <w:suppressAutoHyphens/>
      <w:spacing w:line="1" w:lineRule="atLeast"/>
      <w:ind w:hanging="1" w:hangingChars="1" w:left="547" w:leftChars="-1"/>
      <w:jc w:val="both"/>
      <w:textDirection w:val="btLr"/>
      <w:textAlignment w:val="top"/>
      <w:outlineLvl w:val="7"/>
    </w:pPr>
    <w:rPr>
      <w:rFonts w:ascii=".VnArialH" w:hAnsi=".VnArialH"/>
      <w:b/>
      <w:snapToGrid w:val="0"/>
      <w:position w:val="-1"/>
      <w:lang w:eastAsia="en-US" w:val="en-US"/>
    </w:rPr>
  </w:style>
  <w:style w:styleId="Heading9" w:type="paragraph">
    <w:name w:val="heading 9"/>
    <w:basedOn w:val="Normal"/>
    <w:next w:val="Normal"/>
    <w:pPr>
      <w:keepNext/>
      <w:numPr>
        <w:ilvl w:val="8"/>
        <w:numId w:val="8"/>
      </w:numPr>
      <w:suppressAutoHyphens/>
      <w:spacing w:line="1" w:lineRule="atLeast"/>
      <w:ind w:hanging="1" w:hangingChars="1" w:left="547" w:leftChars="-1"/>
      <w:textDirection w:val="btLr"/>
      <w:textAlignment w:val="top"/>
      <w:outlineLvl w:val="8"/>
    </w:pPr>
    <w:rPr>
      <w:rFonts w:ascii=".VnArial" w:hAnsi=".VnArial"/>
      <w:b/>
      <w:snapToGrid w:val="0"/>
      <w:position w:val="-1"/>
      <w:lang w:eastAsia="en-US" w:val="en-US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TableNormal0" w:type="table">
    <w:name w:val="TableNormal"/>
    <w:tblPr>
      <w:tblCellMar>
        <w:top w:type="dxa" w:w="100"/>
        <w:left w:type="dxa" w:w="100"/>
        <w:bottom w:type="dxa" w:w="100"/>
        <w:right w:type="dxa" w:w="100"/>
      </w:tblCellMar>
    </w:tblPr>
  </w:style>
  <w:style w:styleId="Title" w:type="paragraph">
    <w:name w:val="Title"/>
    <w:basedOn w:val="Normal"/>
    <w:next w:val="Normal"/>
    <w:uiPriority w:val="10"/>
    <w:qFormat/>
    <w:pPr>
      <w:spacing w:after="60" w:before="240"/>
      <w:jc w:val="center"/>
    </w:pPr>
    <w:rPr>
      <w:rFonts w:ascii="Arial" w:hAnsi="Arial"/>
      <w:b/>
      <w:bCs/>
      <w:sz w:val="32"/>
      <w:szCs w:val="32"/>
    </w:rPr>
  </w:style>
  <w:style w:styleId="NormalIndent" w:type="paragraph">
    <w:name w:val="Normal Indent"/>
    <w:basedOn w:val="Normal"/>
    <w:pPr>
      <w:suppressAutoHyphens/>
      <w:spacing w:line="1" w:lineRule="atLeast"/>
      <w:ind w:hanging="1" w:hangingChars="1" w:left="0" w:leftChars="-1" w:right="14"/>
      <w:textDirection w:val="btLr"/>
      <w:textAlignment w:val="top"/>
      <w:outlineLvl w:val="0"/>
    </w:pPr>
    <w:rPr>
      <w:i/>
      <w:snapToGrid w:val="0"/>
      <w:position w:val="-1"/>
      <w:szCs w:val="24"/>
      <w:lang w:eastAsia="en-US" w:val="en-US"/>
    </w:rPr>
  </w:style>
  <w:style w:styleId="BodyTextIndent" w:type="paragraph">
    <w:name w:val="Body Text Indent"/>
    <w:basedOn w:val="Normal"/>
    <w:pPr>
      <w:suppressAutoHyphens/>
      <w:spacing w:line="1" w:lineRule="atLeast"/>
      <w:ind w:hanging="1" w:hangingChars="1" w:left="-1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styleId="BodyTextIndent2" w:type="paragraph">
    <w:name w:val="Body Text Indent 2"/>
    <w:basedOn w:val="Normal"/>
    <w:pPr>
      <w:widowControl/>
      <w:suppressAutoHyphens/>
      <w:spacing w:before="0" w:line="1" w:lineRule="atLeast"/>
      <w:ind w:hanging="1" w:hangingChars="1" w:left="720" w:leftChars="-1"/>
      <w:textDirection w:val="btLr"/>
      <w:textAlignment w:val="top"/>
      <w:outlineLvl w:val="0"/>
    </w:pPr>
    <w:rPr>
      <w:rFonts w:ascii=".VnTime" w:hAnsi=".VnTime"/>
      <w:position w:val="-1"/>
      <w:lang w:eastAsia="en-US" w:val="en-US"/>
    </w:rPr>
  </w:style>
  <w:style w:customStyle="1" w:styleId="Caption1" w:type="paragraph">
    <w:name w:val="Caption1"/>
    <w:aliases w:val="Picture"/>
    <w:basedOn w:val="Normal"/>
    <w:next w:val="Normal"/>
    <w:pPr>
      <w:suppressAutoHyphens/>
      <w:spacing w:after="120" w:line="1" w:lineRule="atLeast"/>
      <w:ind w:hanging="1" w:hangingChars="1" w:left="1440" w:leftChars="-1"/>
      <w:jc w:val="both"/>
      <w:textDirection w:val="btLr"/>
      <w:textAlignment w:val="top"/>
      <w:outlineLvl w:val="0"/>
    </w:pPr>
    <w:rPr>
      <w:rFonts w:ascii=".VnTime" w:hAnsi=".VnTime"/>
      <w:b/>
      <w:snapToGrid w:val="0"/>
      <w:position w:val="-1"/>
      <w:lang w:eastAsia="en-US" w:val="en-US"/>
    </w:rPr>
  </w:style>
  <w:style w:styleId="Footer" w:type="paragraph">
    <w:name w:val="footer"/>
    <w:basedOn w:val="Normal"/>
    <w:pPr>
      <w:tabs>
        <w:tab w:pos="4320" w:val="center"/>
        <w:tab w:pos="8640" w:val="right"/>
      </w:tabs>
      <w:suppressAutoHyphens/>
      <w:spacing w:line="1" w:lineRule="atLeast"/>
      <w:ind w:hanging="1" w:hangingChars="1" w:left="0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customStyle="1" w:styleId="Header1" w:type="paragraph">
    <w:name w:val="Header1"/>
    <w:aliases w:val="Chapter Name"/>
    <w:basedOn w:val="Normal"/>
    <w:pPr>
      <w:tabs>
        <w:tab w:pos="4320" w:val="center"/>
        <w:tab w:pos="8640" w:val="right"/>
      </w:tabs>
      <w:suppressAutoHyphens/>
      <w:spacing w:line="1" w:lineRule="atLeast"/>
      <w:ind w:hanging="1" w:hangingChars="1" w:left="0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styleId="Hyperlink" w:type="character">
    <w:name w:val="Hyperlink"/>
    <w:uiPriority w:val="99"/>
    <w:rPr>
      <w:color w:val="0000FF"/>
      <w:w w:val="100"/>
      <w:position w:val="-1"/>
      <w:sz w:val="20"/>
      <w:u w:val="single"/>
      <w:effect w:val="none"/>
      <w:vertAlign w:val="baseline"/>
      <w:cs w:val="0"/>
      <w:em w:val="none"/>
    </w:rPr>
  </w:style>
  <w:style w:customStyle="1" w:styleId="NormalCaption" w:type="paragraph">
    <w:name w:val="NormalCaption"/>
    <w:basedOn w:val="Normal"/>
    <w:pPr>
      <w:suppressAutoHyphens/>
      <w:spacing w:after="120" w:line="1" w:lineRule="atLeast"/>
      <w:ind w:hanging="1" w:hangingChars="1" w:left="-1" w:leftChars="-1"/>
      <w:textDirection w:val="btLr"/>
      <w:textAlignment w:val="top"/>
      <w:outlineLvl w:val="0"/>
    </w:pPr>
    <w:rPr>
      <w:rFonts w:ascii="Arial" w:hAnsi="Arial"/>
      <w:b/>
      <w:snapToGrid w:val="0"/>
      <w:position w:val="-1"/>
      <w:lang w:eastAsia="en-US" w:val="en-US"/>
    </w:rPr>
  </w:style>
  <w:style w:customStyle="1" w:styleId="NormalIndent0" w:type="paragraph">
    <w:name w:val="NormalIndent"/>
    <w:basedOn w:val="Normal"/>
    <w:pPr>
      <w:widowControl/>
      <w:suppressAutoHyphens/>
      <w:spacing w:line="1" w:lineRule="atLeast"/>
      <w:ind w:hanging="1" w:hangingChars="1" w:left="720" w:leftChars="-1"/>
      <w:textDirection w:val="btLr"/>
      <w:textAlignment w:val="top"/>
      <w:outlineLvl w:val="0"/>
    </w:pPr>
    <w:rPr>
      <w:rFonts w:ascii=".VnArial" w:hAnsi=".VnArial"/>
      <w:position w:val="-1"/>
      <w:lang w:eastAsia="en-US" w:val="en-US"/>
    </w:rPr>
  </w:style>
  <w:style w:customStyle="1" w:styleId="NormalIndex" w:type="paragraph">
    <w:name w:val="NormalIndex"/>
    <w:basedOn w:val="NormalIndent0"/>
    <w:pPr>
      <w:tabs>
        <w:tab w:pos="360" w:val="left"/>
        <w:tab w:pos="450" w:val="left"/>
      </w:tabs>
      <w:spacing w:after="60" w:before="60"/>
      <w:ind w:hanging="360"/>
    </w:pPr>
  </w:style>
  <w:style w:styleId="PageNumber" w:type="charact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styleId="TOC1" w:type="paragraph">
    <w:name w:val="toc 1"/>
    <w:basedOn w:val="Normal"/>
    <w:next w:val="Normal"/>
    <w:uiPriority w:val="39"/>
    <w:pPr>
      <w:tabs>
        <w:tab w:pos="400" w:val="left"/>
        <w:tab w:leader="dot" w:pos="9072" w:val="right"/>
      </w:tabs>
      <w:suppressAutoHyphens/>
      <w:spacing w:after="120" w:line="1" w:lineRule="atLeast"/>
      <w:ind w:hanging="1" w:hangingChars="1" w:left="0" w:leftChars="-1"/>
      <w:textDirection w:val="btLr"/>
      <w:textAlignment w:val="top"/>
    </w:pPr>
    <w:rPr>
      <w:b/>
      <w:noProof/>
      <w:snapToGrid w:val="0"/>
      <w:position w:val="-1"/>
    </w:rPr>
  </w:style>
  <w:style w:styleId="TOC2" w:type="paragraph">
    <w:name w:val="toc 2"/>
    <w:basedOn w:val="Normal"/>
    <w:next w:val="Normal"/>
    <w:uiPriority w:val="39"/>
    <w:pPr>
      <w:tabs>
        <w:tab w:pos="800" w:val="left"/>
        <w:tab w:leader="dot" w:pos="9072" w:val="right"/>
      </w:tabs>
      <w:suppressAutoHyphens/>
      <w:spacing w:after="20" w:before="20" w:line="1" w:lineRule="atLeast"/>
      <w:ind w:hanging="1" w:hangingChars="1" w:left="202" w:leftChars="-1"/>
      <w:textDirection w:val="btLr"/>
      <w:textAlignment w:val="top"/>
    </w:pPr>
    <w:rPr>
      <w:noProof/>
      <w:snapToGrid w:val="0"/>
      <w:position w:val="-1"/>
    </w:rPr>
  </w:style>
  <w:style w:styleId="TOC3" w:type="paragraph">
    <w:name w:val="toc 3"/>
    <w:basedOn w:val="Normal"/>
    <w:next w:val="Normal"/>
    <w:uiPriority w:val="39"/>
    <w:pPr>
      <w:tabs>
        <w:tab w:pos="1200" w:val="left"/>
        <w:tab w:leader="dot" w:pos="9072" w:val="right"/>
      </w:tabs>
      <w:suppressAutoHyphens/>
      <w:spacing w:after="20" w:before="20" w:line="1" w:lineRule="atLeast"/>
      <w:ind w:hanging="1" w:hangingChars="1" w:left="403" w:leftChars="-1"/>
      <w:textDirection w:val="btLr"/>
      <w:textAlignment w:val="top"/>
    </w:pPr>
    <w:rPr>
      <w:i/>
      <w:noProof/>
      <w:snapToGrid w:val="0"/>
      <w:position w:val="-1"/>
    </w:rPr>
  </w:style>
  <w:style w:customStyle="1" w:styleId="NH-1" w:type="paragraph">
    <w:name w:val="NH-1"/>
    <w:basedOn w:val="Normal"/>
    <w:next w:val="NH-2"/>
    <w:pPr>
      <w:keepNext/>
      <w:tabs>
        <w:tab w:pos="360" w:val="left"/>
      </w:tabs>
      <w:suppressAutoHyphens/>
      <w:spacing w:line="1" w:lineRule="atLeast"/>
      <w:ind w:hanging="360" w:hangingChars="1" w:left="360" w:leftChars="-1"/>
      <w:textDirection w:val="btLr"/>
      <w:textAlignment w:val="top"/>
      <w:outlineLvl w:val="0"/>
    </w:pPr>
    <w:rPr>
      <w:rFonts w:ascii=".VnArial" w:hAnsi=".VnArial"/>
      <w:b/>
      <w:snapToGrid w:val="0"/>
      <w:position w:val="-1"/>
      <w:lang w:eastAsia="en-US" w:val="en-US"/>
    </w:rPr>
  </w:style>
  <w:style w:customStyle="1" w:styleId="NH-2" w:type="paragraph">
    <w:name w:val="NH-2"/>
    <w:basedOn w:val="Normal"/>
    <w:next w:val="NormalIndent"/>
    <w:pPr>
      <w:keepNext/>
      <w:tabs>
        <w:tab w:pos="720" w:val="left"/>
      </w:tabs>
      <w:suppressAutoHyphens/>
      <w:spacing w:line="1" w:lineRule="atLeast"/>
      <w:ind w:hanging="360" w:hangingChars="1" w:left="360" w:leftChars="-1"/>
      <w:textDirection w:val="btLr"/>
      <w:textAlignment w:val="top"/>
      <w:outlineLvl w:val="0"/>
    </w:pPr>
    <w:rPr>
      <w:rFonts w:ascii=".VnArial" w:hAnsi=".VnArial"/>
      <w:b/>
      <w:snapToGrid w:val="0"/>
      <w:position w:val="-1"/>
      <w:lang w:eastAsia="en-US" w:val="en-US"/>
    </w:rPr>
  </w:style>
  <w:style w:customStyle="1" w:styleId="NormalText" w:type="paragraph">
    <w:name w:val="NormalText"/>
    <w:basedOn w:val="Normal"/>
    <w:pPr>
      <w:suppressAutoHyphens/>
      <w:spacing w:line="1" w:lineRule="atLeast"/>
      <w:ind w:hanging="1" w:hangingChars="1" w:left="720" w:leftChars="-1"/>
      <w:jc w:val="both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customStyle="1" w:styleId="H5" w:type="paragraph">
    <w:name w:val="H5"/>
    <w:basedOn w:val="NormalIndent"/>
    <w:next w:val="Normal"/>
    <w:pPr>
      <w:keepNext/>
    </w:pPr>
    <w:rPr>
      <w:rFonts w:ascii=".VnTime" w:hAnsi=".VnTime"/>
      <w:b/>
      <w:i w:val="0"/>
      <w:color w:val="800080"/>
    </w:rPr>
  </w:style>
  <w:style w:customStyle="1" w:styleId="NormalFD" w:type="paragraph">
    <w:name w:val="NormalFD"/>
    <w:basedOn w:val="Normal"/>
    <w:pPr>
      <w:tabs>
        <w:tab w:pos="720" w:val="left"/>
        <w:tab w:leader="dot" w:pos="2160" w:val="left"/>
        <w:tab w:leader="dot" w:pos="2880" w:val="left"/>
        <w:tab w:leader="dot" w:pos="3600" w:val="left"/>
        <w:tab w:leader="dot" w:pos="4320" w:val="left"/>
        <w:tab w:leader="dot" w:pos="8280" w:val="right"/>
      </w:tabs>
      <w:suppressAutoHyphens/>
      <w:spacing w:line="1" w:lineRule="atLeast"/>
      <w:ind w:hanging="2160" w:hangingChars="1" w:left="2880" w:leftChars="-1"/>
      <w:jc w:val="both"/>
      <w:textDirection w:val="btLr"/>
      <w:textAlignment w:val="top"/>
      <w:outlineLvl w:val="0"/>
    </w:pPr>
    <w:rPr>
      <w:rFonts w:ascii="Arial" w:hAnsi="Arial"/>
      <w:snapToGrid w:val="0"/>
      <w:color w:val="000000"/>
      <w:position w:val="-1"/>
      <w:lang w:eastAsia="en-US" w:val="en-US"/>
    </w:rPr>
  </w:style>
  <w:style w:styleId="FootnoteText" w:type="paragraph">
    <w:name w:val="footnote text"/>
    <w:basedOn w:val="Normal"/>
    <w:pPr>
      <w:suppressAutoHyphens/>
      <w:spacing w:before="0" w:line="1" w:lineRule="atLeast"/>
      <w:ind w:hanging="360" w:hangingChars="1" w:left="360" w:leftChars="-1"/>
      <w:textDirection w:val="btLr"/>
      <w:textAlignment w:val="top"/>
      <w:outlineLvl w:val="0"/>
    </w:pPr>
    <w:rPr>
      <w:rFonts w:ascii="Arial" w:hAnsi="Arial"/>
      <w:snapToGrid w:val="0"/>
      <w:position w:val="-1"/>
      <w:sz w:val="18"/>
      <w:lang w:eastAsia="en-US" w:val="en-US"/>
    </w:rPr>
  </w:style>
  <w:style w:styleId="FootnoteReference" w:type="character">
    <w:name w:val="footnote reference"/>
    <w:rPr>
      <w:w w:val="100"/>
      <w:position w:val="-1"/>
      <w:effect w:val="none"/>
      <w:vertAlign w:val="superscript"/>
      <w:cs w:val="0"/>
      <w:em w:val="none"/>
    </w:rPr>
  </w:style>
  <w:style w:customStyle="1" w:styleId="Normal2" w:type="paragraph">
    <w:name w:val="Normal 2"/>
    <w:basedOn w:val="Normal"/>
    <w:pPr>
      <w:tabs>
        <w:tab w:pos="360" w:val="left"/>
      </w:tabs>
      <w:suppressAutoHyphens/>
      <w:spacing w:line="1" w:lineRule="atLeast"/>
      <w:ind w:hanging="360" w:hangingChars="1" w:left="360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styleId="BlockText" w:type="paragraph">
    <w:name w:val="Block Text"/>
    <w:basedOn w:val="Normal"/>
    <w:pPr>
      <w:tabs>
        <w:tab w:pos="8820" w:val="left"/>
      </w:tabs>
      <w:suppressAutoHyphens/>
      <w:spacing w:before="0" w:line="1" w:lineRule="atLeast"/>
      <w:ind w:hanging="1" w:hangingChars="1" w:left="720" w:leftChars="-1" w:right="22"/>
      <w:jc w:val="both"/>
      <w:textDirection w:val="btLr"/>
      <w:textAlignment w:val="top"/>
      <w:outlineLvl w:val="0"/>
    </w:pPr>
    <w:rPr>
      <w:rFonts w:ascii=".VnTime" w:hAnsi=".VnTime"/>
      <w:snapToGrid w:val="0"/>
      <w:position w:val="-1"/>
      <w:lang w:eastAsia="en-US" w:val="en-US"/>
    </w:rPr>
  </w:style>
  <w:style w:styleId="TOC4" w:type="paragraph">
    <w:name w:val="toc 4"/>
    <w:basedOn w:val="Normal"/>
    <w:next w:val="Normal"/>
    <w:pPr>
      <w:tabs>
        <w:tab w:pos="1600" w:val="left"/>
        <w:tab w:leader="dot" w:pos="8280" w:val="right"/>
      </w:tabs>
      <w:suppressAutoHyphens/>
      <w:spacing w:after="20" w:before="20" w:line="1" w:lineRule="atLeast"/>
      <w:ind w:hanging="1" w:hangingChars="1" w:left="576" w:leftChars="-1"/>
      <w:textDirection w:val="btLr"/>
      <w:textAlignment w:val="top"/>
      <w:outlineLvl w:val="0"/>
    </w:pPr>
    <w:rPr>
      <w:rFonts w:ascii="Arial" w:hAnsi="Arial"/>
      <w:i/>
      <w:noProof/>
      <w:snapToGrid w:val="0"/>
      <w:position w:val="-1"/>
    </w:rPr>
  </w:style>
  <w:style w:styleId="TOC5" w:type="paragraph">
    <w:name w:val="toc 5"/>
    <w:basedOn w:val="Normal"/>
    <w:next w:val="Normal"/>
    <w:pPr>
      <w:suppressAutoHyphens/>
      <w:spacing w:before="0" w:line="1" w:lineRule="atLeast"/>
      <w:ind w:hanging="1" w:hangingChars="1" w:left="8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TOC6" w:type="paragraph">
    <w:name w:val="toc 6"/>
    <w:basedOn w:val="Normal"/>
    <w:next w:val="Normal"/>
    <w:pPr>
      <w:suppressAutoHyphens/>
      <w:spacing w:before="0" w:line="1" w:lineRule="atLeast"/>
      <w:ind w:hanging="1" w:hangingChars="1" w:left="10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TOC7" w:type="paragraph">
    <w:name w:val="toc 7"/>
    <w:basedOn w:val="Normal"/>
    <w:next w:val="Normal"/>
    <w:pPr>
      <w:suppressAutoHyphens/>
      <w:spacing w:before="0" w:line="1" w:lineRule="atLeast"/>
      <w:ind w:hanging="1" w:hangingChars="1" w:left="12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TOC8" w:type="paragraph">
    <w:name w:val="toc 8"/>
    <w:basedOn w:val="Normal"/>
    <w:next w:val="Normal"/>
    <w:pPr>
      <w:suppressAutoHyphens/>
      <w:spacing w:before="0" w:line="1" w:lineRule="atLeast"/>
      <w:ind w:hanging="1" w:hangingChars="1" w:left="14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TOC9" w:type="paragraph">
    <w:name w:val="toc 9"/>
    <w:basedOn w:val="Normal"/>
    <w:next w:val="Normal"/>
    <w:pPr>
      <w:suppressAutoHyphens/>
      <w:spacing w:before="0" w:line="1" w:lineRule="atLeast"/>
      <w:ind w:hanging="1" w:hangingChars="1" w:left="1600" w:leftChars="-1"/>
      <w:textDirection w:val="btLr"/>
      <w:textAlignment w:val="top"/>
      <w:outlineLvl w:val="0"/>
    </w:pPr>
    <w:rPr>
      <w:snapToGrid w:val="0"/>
      <w:position w:val="-1"/>
      <w:sz w:val="18"/>
      <w:lang w:eastAsia="en-US" w:val="en-US"/>
    </w:rPr>
  </w:style>
  <w:style w:styleId="BodyText" w:type="paragraph">
    <w:name w:val="Body Text"/>
    <w:basedOn w:val="NormalIndent"/>
    <w:pPr>
      <w:tabs>
        <w:tab w:pos="1224" w:val="left"/>
      </w:tabs>
      <w:spacing w:before="40" w:line="300" w:lineRule="atLeast"/>
      <w:ind w:left="432"/>
    </w:pPr>
  </w:style>
  <w:style w:customStyle="1" w:styleId="NormalTB" w:type="paragraph">
    <w:name w:val="NormalTB"/>
    <w:pPr>
      <w:suppressAutoHyphens/>
      <w:spacing w:line="1" w:lineRule="atLeast"/>
      <w:ind w:hanging="1" w:hangingChars="1" w:left="-1" w:leftChars="-1"/>
      <w:jc w:val="center"/>
      <w:textDirection w:val="btLr"/>
      <w:textAlignment w:val="top"/>
      <w:outlineLvl w:val="0"/>
    </w:pPr>
    <w:rPr>
      <w:b/>
      <w:snapToGrid w:val="0"/>
      <w:position w:val="-1"/>
      <w:sz w:val="22"/>
      <w:lang w:eastAsia="en-US" w:val="en-US"/>
    </w:rPr>
  </w:style>
  <w:style w:customStyle="1" w:styleId="Vidu" w:type="paragraph">
    <w:name w:val="Vidu"/>
    <w:basedOn w:val="Normal"/>
    <w:pPr>
      <w:widowControl/>
      <w:numPr>
        <w:numId w:val="4"/>
      </w:numPr>
      <w:suppressAutoHyphens/>
      <w:spacing w:before="0" w:line="1" w:lineRule="atLeast"/>
      <w:jc w:val="both"/>
      <w:textDirection w:val="btLr"/>
      <w:textAlignment w:val="top"/>
      <w:outlineLvl w:val="0"/>
    </w:pPr>
    <w:rPr>
      <w:rFonts w:ascii="Arial" w:hAnsi="Arial"/>
      <w:position w:val="-1"/>
      <w:lang w:eastAsia="en-US" w:val="en-US"/>
    </w:rPr>
  </w:style>
  <w:style w:customStyle="1" w:styleId="Mucvidu" w:type="paragraph">
    <w:name w:val="Mucvidu"/>
    <w:basedOn w:val="Vidu"/>
    <w:pPr>
      <w:numPr>
        <w:numId w:val="1"/>
      </w:numPr>
      <w:ind w:hanging="1" w:hangingChars="1" w:left="1080" w:leftChars="-1"/>
    </w:pPr>
  </w:style>
  <w:style w:customStyle="1" w:styleId="Tailieu" w:type="paragraph">
    <w:name w:val="Tailieu"/>
    <w:basedOn w:val="Refer"/>
    <w:pPr>
      <w:numPr>
        <w:numId w:val="3"/>
      </w:numPr>
      <w:ind w:firstLine="720" w:left="547"/>
    </w:pPr>
    <w:rPr>
      <w:sz w:val="28"/>
    </w:rPr>
  </w:style>
  <w:style w:customStyle="1" w:styleId="Refer" w:type="paragraph">
    <w:name w:val="Refer"/>
    <w:basedOn w:val="Normal"/>
    <w:pPr>
      <w:widowControl/>
      <w:suppressAutoHyphens/>
      <w:spacing w:after="120" w:before="0"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rFonts w:ascii="Arial" w:hAnsi="Arial"/>
      <w:position w:val="-1"/>
      <w:lang w:eastAsia="en-US" w:val="en-US"/>
    </w:rPr>
  </w:style>
  <w:style w:customStyle="1" w:styleId="Point" w:type="paragraph">
    <w:name w:val="Point"/>
    <w:basedOn w:val="Header1"/>
    <w:pPr>
      <w:widowControl/>
      <w:numPr>
        <w:numId w:val="2"/>
      </w:numPr>
      <w:tabs>
        <w:tab w:pos="4320" w:val="clear"/>
        <w:tab w:pos="8640" w:val="clear"/>
      </w:tabs>
      <w:spacing w:before="0"/>
      <w:ind w:hanging="1" w:left="0"/>
      <w:jc w:val="both"/>
    </w:pPr>
    <w:rPr>
      <w:snapToGrid/>
    </w:rPr>
  </w:style>
  <w:style w:styleId="CommentReference" w:type="character">
    <w:name w:val="annotation reference"/>
    <w:rPr>
      <w:w w:val="100"/>
      <w:position w:val="-1"/>
      <w:sz w:val="16"/>
      <w:effect w:val="none"/>
      <w:vertAlign w:val="baseline"/>
      <w:cs w:val="0"/>
      <w:em w:val="none"/>
    </w:rPr>
  </w:style>
  <w:style w:styleId="CommentText" w:type="paragraph">
    <w:name w:val="annotation text"/>
    <w:basedOn w:val="Normal"/>
    <w:pPr>
      <w:widowControl/>
      <w:suppressAutoHyphens/>
      <w:spacing w:before="0"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rFonts w:ascii=".VnTime" w:hAnsi=".VnTime"/>
      <w:position w:val="-1"/>
      <w:lang w:eastAsia="en-US" w:val="en-US"/>
    </w:rPr>
  </w:style>
  <w:style w:customStyle="1" w:styleId="Bang" w:type="paragraph">
    <w:name w:val="Bang"/>
    <w:basedOn w:val="Normal"/>
    <w:pPr>
      <w:suppressAutoHyphens/>
      <w:spacing w:after="60" w:before="60" w:line="1" w:lineRule="atLeast"/>
      <w:ind w:hanging="1" w:hangingChars="1" w:left="0" w:leftChars="-1"/>
      <w:jc w:val="both"/>
      <w:textDirection w:val="btLr"/>
      <w:textAlignment w:val="top"/>
      <w:outlineLvl w:val="0"/>
    </w:pPr>
    <w:rPr>
      <w:rFonts w:ascii="Arial" w:hAnsi="Arial"/>
      <w:position w:val="-1"/>
      <w:sz w:val="18"/>
      <w:lang w:eastAsia="en-US" w:val="en-US"/>
    </w:rPr>
  </w:style>
  <w:style w:styleId="BodyText3" w:type="paragraph">
    <w:name w:val="Body Text 3"/>
    <w:basedOn w:val="Normal"/>
    <w:pPr>
      <w:widowControl/>
      <w:suppressAutoHyphens/>
      <w:spacing w:before="0" w:line="1" w:lineRule="atLeast"/>
      <w:ind w:hanging="1" w:hangingChars="1" w:left="-1" w:leftChars="-1"/>
      <w:textDirection w:val="btLr"/>
      <w:textAlignment w:val="top"/>
      <w:outlineLvl w:val="0"/>
    </w:pPr>
    <w:rPr>
      <w:rFonts w:ascii=".VnTime" w:hAnsi=".VnTime"/>
      <w:i/>
      <w:position w:val="-1"/>
      <w:lang w:eastAsia="en-US" w:val="en-US"/>
    </w:rPr>
  </w:style>
  <w:style w:customStyle="1" w:styleId="Content" w:type="paragraph">
    <w:name w:val="Content"/>
    <w:basedOn w:val="Normal"/>
    <w:pPr>
      <w:widowControl/>
      <w:suppressAutoHyphens/>
      <w:spacing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rFonts w:ascii=".VnTime" w:hAnsi=".VnTime"/>
      <w:position w:val="-1"/>
      <w:lang w:eastAsia="en-US" w:val="en-US"/>
    </w:rPr>
  </w:style>
  <w:style w:styleId="TableofFigures" w:type="paragraph">
    <w:name w:val="table of figures"/>
    <w:basedOn w:val="Normal"/>
    <w:next w:val="Normal"/>
    <w:pPr>
      <w:tabs>
        <w:tab w:leader="dot" w:pos="8642" w:val="right"/>
      </w:tabs>
      <w:suppressAutoHyphens/>
      <w:spacing w:before="0" w:line="1" w:lineRule="atLeast"/>
      <w:ind w:hanging="480" w:hangingChars="1" w:left="480" w:leftChars="-1"/>
      <w:textDirection w:val="btLr"/>
      <w:textAlignment w:val="top"/>
      <w:outlineLvl w:val="0"/>
    </w:pPr>
    <w:rPr>
      <w:rFonts w:ascii="Arial" w:hAnsi="Arial"/>
      <w:smallCaps/>
      <w:position w:val="-1"/>
      <w:lang w:eastAsia="en-US" w:val="en-US"/>
    </w:rPr>
  </w:style>
  <w:style w:customStyle="1" w:styleId="NormalH" w:type="paragraph">
    <w:name w:val="NormalH"/>
    <w:basedOn w:val="Normal"/>
    <w:pPr>
      <w:pageBreakBefore/>
      <w:widowControl/>
      <w:tabs>
        <w:tab w:pos="2160" w:val="left"/>
        <w:tab w:pos="5040" w:val="right"/>
        <w:tab w:pos="5760" w:val="left"/>
        <w:tab w:pos="8640" w:val="right"/>
      </w:tabs>
      <w:suppressAutoHyphens/>
      <w:spacing w:before="0" w:line="1" w:lineRule="atLeast"/>
      <w:ind w:hanging="1" w:hangingChars="1" w:left="-1" w:leftChars="-1"/>
      <w:textDirection w:val="btLr"/>
      <w:textAlignment w:val="top"/>
      <w:outlineLvl w:val="0"/>
    </w:pPr>
    <w:rPr>
      <w:rFonts w:ascii=".VnHelvetIns" w:hAnsi=".VnHelvetIns"/>
      <w:position w:val="-1"/>
      <w:sz w:val="32"/>
      <w:lang w:eastAsia="en-US" w:val="en-US"/>
    </w:rPr>
  </w:style>
  <w:style w:customStyle="1" w:styleId="TableCaption" w:type="paragraph">
    <w:name w:val="TableCaption"/>
    <w:basedOn w:val="NormalIndent"/>
    <w:rPr>
      <w:b/>
    </w:rPr>
  </w:style>
  <w:style w:styleId="Strong" w:type="character">
    <w:name w:val="Strong"/>
    <w:rPr>
      <w:b/>
      <w:w w:val="100"/>
      <w:position w:val="-1"/>
      <w:effect w:val="none"/>
      <w:vertAlign w:val="baseline"/>
      <w:cs w:val="0"/>
      <w:em w:val="none"/>
    </w:rPr>
  </w:style>
  <w:style w:customStyle="1" w:styleId="TableTitle" w:type="paragraph">
    <w:name w:val="Table Title"/>
    <w:basedOn w:val="NormalIndent"/>
    <w:pPr>
      <w:keepNext/>
      <w:numPr>
        <w:numId w:val="5"/>
      </w:numPr>
      <w:ind w:hanging="1" w:left="0" w:right="29"/>
      <w:jc w:val="right"/>
    </w:pPr>
  </w:style>
  <w:style w:customStyle="1" w:styleId="Arial" w:type="paragraph">
    <w:name w:val="Arial"/>
    <w:basedOn w:val="NormalIndent"/>
  </w:style>
  <w:style w:styleId="BodyText2" w:type="paragraph">
    <w:name w:val="Body Text 2"/>
    <w:basedOn w:val="Normal"/>
    <w:pPr>
      <w:suppressAutoHyphens/>
      <w:spacing w:line="1" w:lineRule="atLeast"/>
      <w:ind w:hanging="1" w:hangingChars="1" w:left="0" w:leftChars="-1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customStyle="1" w:styleId="NormalNV" w:type="paragraph">
    <w:name w:val="NormalNV"/>
    <w:basedOn w:val="Normal"/>
    <w:pPr>
      <w:widowControl/>
      <w:tabs>
        <w:tab w:pos="720" w:val="left"/>
        <w:tab w:pos="2160" w:val="left"/>
        <w:tab w:leader="dot" w:pos="8640" w:val="right"/>
      </w:tabs>
      <w:suppressAutoHyphens/>
      <w:spacing w:line="1" w:lineRule="atLeast"/>
      <w:ind w:hanging="1" w:hangingChars="1" w:left="0" w:leftChars="-1"/>
      <w:textDirection w:val="btLr"/>
      <w:textAlignment w:val="top"/>
      <w:outlineLvl w:val="0"/>
    </w:pPr>
    <w:rPr>
      <w:snapToGrid w:val="0"/>
      <w:position w:val="-1"/>
      <w:lang w:eastAsia="en-US" w:val="en-GB"/>
    </w:rPr>
  </w:style>
  <w:style w:customStyle="1" w:styleId="TableText" w:type="paragraph">
    <w:name w:val="Table Text"/>
    <w:basedOn w:val="Normal"/>
    <w:pPr>
      <w:widowControl/>
      <w:suppressAutoHyphens/>
      <w:spacing w:after="60" w:before="60" w:line="480" w:lineRule="auto"/>
      <w:ind w:hanging="1" w:hangingChars="1" w:left="0" w:leftChars="-1"/>
      <w:textDirection w:val="btLr"/>
      <w:textAlignment w:val="top"/>
      <w:outlineLvl w:val="0"/>
    </w:pPr>
    <w:rPr>
      <w:position w:val="-1"/>
      <w:lang w:eastAsia="en-US" w:val="en-US"/>
    </w:rPr>
  </w:style>
  <w:style w:styleId="FollowedHyperlink" w:type="character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styleId="BodyTextIndent3" w:type="paragraph">
    <w:name w:val="Body Text Indent 3"/>
    <w:basedOn w:val="Normal"/>
    <w:pPr>
      <w:suppressAutoHyphens/>
      <w:spacing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rFonts w:ascii="Arial" w:hAnsi="Arial"/>
      <w:snapToGrid w:val="0"/>
      <w:position w:val="-1"/>
      <w:lang w:eastAsia="en-US" w:val="en-US"/>
    </w:rPr>
  </w:style>
  <w:style w:customStyle="1" w:styleId="Table" w:type="paragraph">
    <w:name w:val="Table"/>
    <w:pPr>
      <w:numPr>
        <w:numId w:val="6"/>
      </w:numPr>
      <w:tabs>
        <w:tab w:pos="1080" w:val="left"/>
      </w:tabs>
      <w:suppressAutoHyphens/>
      <w:spacing w:after="60" w:before="60" w:line="1" w:lineRule="atLeast"/>
      <w:ind w:hanging="1" w:hangingChars="1" w:left="-1" w:leftChars="-1"/>
      <w:jc w:val="center"/>
      <w:textDirection w:val="btLr"/>
      <w:textAlignment w:val="top"/>
      <w:outlineLvl w:val="0"/>
    </w:pPr>
    <w:rPr>
      <w:noProof/>
      <w:position w:val="-1"/>
      <w:sz w:val="24"/>
    </w:rPr>
  </w:style>
  <w:style w:customStyle="1" w:styleId="Name" w:type="paragraph">
    <w:name w:val="Name"/>
    <w:basedOn w:val="Normal"/>
    <w:pPr>
      <w:widowControl/>
      <w:suppressAutoHyphens/>
      <w:spacing w:line="1" w:lineRule="atLeast"/>
      <w:ind w:hanging="1" w:hangingChars="1" w:left="0" w:leftChars="-1"/>
      <w:jc w:val="both"/>
      <w:textDirection w:val="btLr"/>
      <w:textAlignment w:val="top"/>
      <w:outlineLvl w:val="0"/>
    </w:pPr>
    <w:rPr>
      <w:rFonts w:ascii=".VnTimeH" w:hAnsi=".VnTimeH"/>
      <w:position w:val="-1"/>
      <w:lang w:eastAsia="en-US" w:val="en-US"/>
    </w:rPr>
  </w:style>
  <w:style w:customStyle="1" w:styleId="Bullet1" w:type="paragraph">
    <w:name w:val="Bullet1"/>
    <w:pPr>
      <w:numPr>
        <w:numId w:val="7"/>
      </w:numPr>
      <w:suppressAutoHyphens/>
      <w:spacing w:after="60"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noProof/>
      <w:position w:val="-1"/>
      <w:sz w:val="24"/>
    </w:rPr>
  </w:style>
  <w:style w:customStyle="1" w:styleId="Bullet2" w:type="paragraph">
    <w:name w:val="Bullet2"/>
    <w:pPr>
      <w:numPr>
        <w:numId w:val="10"/>
      </w:numPr>
      <w:suppressAutoHyphens/>
      <w:spacing w:after="60" w:line="1" w:lineRule="atLeast"/>
      <w:ind w:hanging="1" w:hangingChars="1" w:left="-1" w:leftChars="-1"/>
      <w:jc w:val="both"/>
      <w:textDirection w:val="btLr"/>
      <w:textAlignment w:val="top"/>
      <w:outlineLvl w:val="0"/>
    </w:pPr>
    <w:rPr>
      <w:noProof/>
      <w:position w:val="-1"/>
      <w:sz w:val="24"/>
    </w:rPr>
  </w:style>
  <w:style w:customStyle="1" w:styleId="Tabletext0" w:type="paragraph">
    <w:name w:val="Tabletext"/>
    <w:basedOn w:val="Normal"/>
    <w:pPr>
      <w:keepLines/>
      <w:suppressAutoHyphens/>
      <w:spacing w:after="120" w:before="0" w:line="240" w:lineRule="atLeast"/>
      <w:ind w:hanging="1" w:hangingChars="1" w:left="0" w:leftChars="-1"/>
      <w:textDirection w:val="btLr"/>
      <w:textAlignment w:val="top"/>
      <w:outlineLvl w:val="0"/>
    </w:pPr>
    <w:rPr>
      <w:position w:val="-1"/>
      <w:lang w:eastAsia="en-US" w:val="en-US"/>
    </w:rPr>
  </w:style>
  <w:style w:customStyle="1" w:styleId="requirement" w:type="paragraph">
    <w:name w:val="requirement"/>
    <w:basedOn w:val="Normal"/>
    <w:pPr>
      <w:widowControl/>
      <w:tabs>
        <w:tab w:pos="720" w:val="left"/>
        <w:tab w:pos="1440" w:val="left"/>
      </w:tabs>
      <w:suppressAutoHyphens/>
      <w:spacing w:before="240" w:line="1" w:lineRule="atLeast"/>
      <w:ind w:hanging="1440" w:hangingChars="1" w:left="2160" w:leftChars="-1"/>
      <w:jc w:val="both"/>
      <w:textDirection w:val="btLr"/>
      <w:textAlignment w:val="top"/>
      <w:outlineLvl w:val="0"/>
    </w:pPr>
    <w:rPr>
      <w:position w:val="-1"/>
      <w:szCs w:val="24"/>
      <w:lang w:eastAsia="en-US" w:val="en-US"/>
    </w:rPr>
  </w:style>
  <w:style w:styleId="List" w:type="paragraph">
    <w:name w:val="List"/>
    <w:basedOn w:val="Normal"/>
    <w:pPr>
      <w:widowControl/>
      <w:tabs>
        <w:tab w:pos="720" w:val="num"/>
      </w:tabs>
      <w:suppressAutoHyphens/>
      <w:spacing w:line="1" w:lineRule="atLeast"/>
      <w:ind w:hanging="357" w:hangingChars="1" w:left="714" w:leftChars="-1"/>
      <w:textDirection w:val="btLr"/>
      <w:textAlignment w:val="top"/>
      <w:outlineLvl w:val="0"/>
    </w:pPr>
    <w:rPr>
      <w:position w:val="-1"/>
      <w:szCs w:val="24"/>
      <w:lang w:eastAsia="en-US" w:val="en-US"/>
    </w:rPr>
  </w:style>
  <w:style w:styleId="ListNumber" w:type="paragraph">
    <w:name w:val="List Number"/>
    <w:pPr>
      <w:tabs>
        <w:tab w:pos="720" w:val="num"/>
      </w:tabs>
      <w:suppressAutoHyphens/>
      <w:spacing w:before="40" w:line="1" w:lineRule="atLeast"/>
      <w:ind w:hanging="1" w:hangingChars="1" w:left="-1" w:leftChars="-1"/>
      <w:textDirection w:val="btLr"/>
      <w:textAlignment w:val="top"/>
      <w:outlineLvl w:val="0"/>
    </w:pPr>
    <w:rPr>
      <w:position w:val="-1"/>
      <w:lang w:eastAsia="en-US" w:val="en-US"/>
    </w:rPr>
  </w:style>
  <w:style w:customStyle="1" w:styleId="docemphroman" w:type="character">
    <w:name w:val="docemph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customStyle="1" w:styleId="comment" w:type="paragraph">
    <w:name w:val="comment"/>
    <w:basedOn w:val="Normal"/>
    <w:pPr>
      <w:widowControl/>
      <w:suppressAutoHyphens/>
      <w:spacing w:line="360" w:lineRule="auto"/>
      <w:ind w:hanging="1" w:hangingChars="1" w:left="720" w:leftChars="-1"/>
      <w:textDirection w:val="btLr"/>
      <w:textAlignment w:val="top"/>
      <w:outlineLvl w:val="0"/>
    </w:pPr>
    <w:rPr>
      <w:rFonts w:ascii="Arial" w:eastAsia="MS Mincho" w:hAnsi="Arial"/>
      <w:bCs/>
      <w:i/>
      <w:snapToGrid w:val="0"/>
      <w:position w:val="-1"/>
      <w:lang w:eastAsia="ja-JP" w:val="en-US"/>
    </w:rPr>
  </w:style>
  <w:style w:customStyle="1" w:styleId="NormalTableHeader" w:type="paragraph">
    <w:name w:val="Normal Table Header"/>
    <w:basedOn w:val="NormalIndent"/>
    <w:pPr>
      <w:keepNext/>
      <w:keepLines/>
      <w:widowControl/>
      <w:tabs>
        <w:tab w:pos="702" w:val="left"/>
        <w:tab w:pos="1080" w:val="left"/>
      </w:tabs>
      <w:spacing w:after="120" w:line="360" w:lineRule="auto"/>
      <w:ind w:right="0"/>
      <w:jc w:val="center"/>
    </w:pPr>
    <w:rPr>
      <w:rFonts w:eastAsia="MS Mincho"/>
      <w:b/>
      <w:lang w:eastAsia="ja-JP"/>
    </w:rPr>
  </w:style>
  <w:style w:customStyle="1" w:styleId="TableNormal1" w:type="paragraph">
    <w:name w:val="Table Normal1"/>
    <w:basedOn w:val="Table"/>
    <w:pPr>
      <w:numPr>
        <w:numId w:val="0"/>
      </w:numPr>
      <w:tabs>
        <w:tab w:pos="1080" w:val="clear"/>
      </w:tabs>
      <w:spacing w:after="40" w:before="40"/>
      <w:ind w:hanging="1" w:hangingChars="1" w:left="-1" w:leftChars="-1"/>
      <w:jc w:val="left"/>
    </w:pPr>
    <w:rPr>
      <w:rFonts w:ascii="Tahoma" w:cs="Tahoma" w:eastAsia="MS Mincho" w:hAnsi="Tahoma"/>
      <w:bCs/>
      <w:noProof w:val="0"/>
      <w:color w:val="000000"/>
      <w:sz w:val="20"/>
      <w:szCs w:val="24"/>
      <w:lang w:eastAsia="ja-JP" w:val="en-GB"/>
    </w:rPr>
  </w:style>
  <w:style w:customStyle="1" w:styleId="Heading10" w:type="paragraph">
    <w:name w:val="Heading 10"/>
    <w:basedOn w:val="Heading4"/>
    <w:pPr>
      <w:widowControl/>
      <w:numPr>
        <w:ilvl w:val="3"/>
        <w:numId w:val="13"/>
      </w:numPr>
      <w:tabs>
        <w:tab w:pos="700" w:val="left"/>
      </w:tabs>
      <w:suppressAutoHyphens/>
      <w:spacing w:after="120" w:line="360" w:lineRule="auto"/>
      <w:ind w:hanging="1" w:hangingChars="1" w:left="547" w:leftChars="-1"/>
      <w:textDirection w:val="btLr"/>
      <w:textAlignment w:val="top"/>
    </w:pPr>
    <w:rPr>
      <w:rFonts w:ascii=".VnTime" w:cs="Tahoma" w:eastAsia="MS Mincho" w:hAnsi=".VnTime"/>
      <w:b w:val="0"/>
      <w:noProof/>
      <w:snapToGrid w:val="0"/>
      <w:position w:val="-1"/>
      <w:sz w:val="22"/>
      <w:szCs w:val="22"/>
    </w:rPr>
  </w:style>
  <w:style w:styleId="ListBullet2" w:type="paragraph">
    <w:name w:val="List Bullet 2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Bullet" w:type="paragraph">
    <w:name w:val="List Bullet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customStyle="1" w:styleId="ListBullet0" w:type="paragraph">
    <w:name w:val="List Bullet 0"/>
    <w:basedOn w:val="Normal"/>
    <w:pPr>
      <w:keepLines/>
      <w:widowControl/>
      <w:numPr>
        <w:ilvl w:val="1"/>
        <w:numId w:val="16"/>
      </w:numPr>
      <w:suppressAutoHyphens/>
      <w:spacing w:line="360" w:lineRule="auto"/>
      <w:ind w:hanging="1" w:hangingChars="1" w:left="547" w:leftChars="-1"/>
      <w:textDirection w:val="btLr"/>
      <w:textAlignment w:val="top"/>
      <w:outlineLvl w:val="0"/>
    </w:pPr>
    <w:rPr>
      <w:rFonts w:ascii="Tahoma" w:cs="Tahoma" w:eastAsia="MS Mincho" w:hAnsi="Tahoma"/>
      <w:noProof/>
      <w:snapToGrid w:val="0"/>
      <w:position w:val="-1"/>
      <w:szCs w:val="18"/>
    </w:rPr>
  </w:style>
  <w:style w:styleId="ListBullet3" w:type="paragraph">
    <w:name w:val="List Bullet 3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Bullet4" w:type="paragraph">
    <w:name w:val="List Bullet 4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Bullet5" w:type="paragraph">
    <w:name w:val="List Bullet 5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customStyle="1" w:styleId="ListContent" w:type="paragraph">
    <w:name w:val="List Content"/>
    <w:basedOn w:val="Normal"/>
    <w:pPr>
      <w:widowControl/>
      <w:tabs>
        <w:tab w:pos="720" w:val="num"/>
        <w:tab w:pos="1000" w:val="left"/>
      </w:tabs>
      <w:suppressAutoHyphens/>
      <w:spacing w:line="360" w:lineRule="auto"/>
      <w:ind w:hanging="1" w:hangingChars="1" w:left="-1" w:leftChars="-1"/>
      <w:jc w:val="both"/>
      <w:textDirection w:val="btLr"/>
      <w:textAlignment w:val="top"/>
      <w:outlineLvl w:val="0"/>
    </w:pPr>
    <w:rPr>
      <w:rFonts w:ascii="Tahoma" w:eastAsia="MS Mincho" w:hAnsi="Tahoma"/>
      <w:snapToGrid w:val="0"/>
      <w:position w:val="-1"/>
      <w:lang w:eastAsia="en-US" w:val="en-US"/>
    </w:rPr>
  </w:style>
  <w:style w:styleId="ListNumber2" w:type="paragraph">
    <w:name w:val="List Number 2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Number3" w:type="paragraph">
    <w:name w:val="List Number 3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Number4" w:type="paragraph">
    <w:name w:val="List Number 4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styleId="ListNumber5" w:type="paragraph">
    <w:name w:val="List Number 5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noProof/>
      <w:snapToGrid w:val="0"/>
      <w:position w:val="-1"/>
    </w:rPr>
  </w:style>
  <w:style w:customStyle="1" w:styleId="list123" w:type="paragraph">
    <w:name w:val="list_123"/>
    <w:basedOn w:val="NormalIndent"/>
    <w:pPr>
      <w:widowControl/>
      <w:tabs>
        <w:tab w:pos="702" w:val="left"/>
        <w:tab w:pos="1080" w:val="left"/>
      </w:tabs>
      <w:spacing w:before="60" w:line="288" w:lineRule="auto"/>
      <w:ind w:right="0"/>
    </w:pPr>
    <w:rPr>
      <w:rFonts w:eastAsia="MS Mincho"/>
      <w:bCs/>
      <w:noProof/>
    </w:rPr>
  </w:style>
  <w:style w:customStyle="1" w:styleId="NormalFirstIndex" w:type="paragraph">
    <w:name w:val="Normal First Index"/>
    <w:basedOn w:val="Normal"/>
    <w:pPr>
      <w:widowControl/>
      <w:tabs>
        <w:tab w:pos="492" w:val="num"/>
        <w:tab w:pos="720" w:val="num"/>
      </w:tabs>
      <w:suppressAutoHyphens/>
      <w:spacing w:line="360" w:lineRule="auto"/>
      <w:ind w:hanging="460" w:hangingChars="1" w:left="478" w:leftChars="-1"/>
      <w:textDirection w:val="btLr"/>
      <w:textAlignment w:val="top"/>
      <w:outlineLvl w:val="0"/>
    </w:pPr>
    <w:rPr>
      <w:rFonts w:ascii="Tahoma" w:eastAsia="MS Mincho" w:hAnsi="Tahoma"/>
      <w:snapToGrid w:val="0"/>
      <w:position w:val="-1"/>
      <w:lang w:eastAsia="ja-JP" w:val="en-US"/>
    </w:rPr>
  </w:style>
  <w:style w:customStyle="1" w:styleId="Secondindex" w:type="paragraph">
    <w:name w:val="Second index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bCs/>
      <w:snapToGrid w:val="0"/>
      <w:position w:val="-1"/>
      <w:lang w:eastAsia="en-US" w:val="en-US"/>
    </w:rPr>
  </w:style>
  <w:style w:customStyle="1" w:styleId="StyleListSubContent" w:type="paragraph">
    <w:name w:val="Style List Sub Content"/>
    <w:basedOn w:val="Normal"/>
    <w:pPr>
      <w:widowControl/>
      <w:tabs>
        <w:tab w:pos="720" w:val="num"/>
      </w:tabs>
      <w:suppressAutoHyphens/>
      <w:spacing w:line="360" w:lineRule="auto"/>
      <w:ind w:hanging="1" w:hangingChars="1" w:left="-1" w:leftChars="-1"/>
      <w:textDirection w:val="btLr"/>
      <w:textAlignment w:val="top"/>
      <w:outlineLvl w:val="0"/>
    </w:pPr>
    <w:rPr>
      <w:rFonts w:ascii="Tahoma" w:eastAsia="MS Mincho" w:hAnsi="Tahoma"/>
      <w:bCs/>
      <w:snapToGrid w:val="0"/>
      <w:position w:val="-1"/>
      <w:lang w:eastAsia="en-US" w:val="en-US"/>
    </w:rPr>
  </w:style>
  <w:style w:styleId="DocumentMap" w:type="paragraph">
    <w:name w:val="Document Map"/>
    <w:basedOn w:val="Normal"/>
    <w:pPr>
      <w:shd w:color="auto" w:fill="000080" w:val="clear"/>
      <w:suppressAutoHyphens/>
      <w:spacing w:line="1" w:lineRule="atLeast"/>
      <w:ind w:hanging="1" w:hangingChars="1" w:left="-1" w:leftChars="-1"/>
      <w:textDirection w:val="btLr"/>
      <w:textAlignment w:val="top"/>
      <w:outlineLvl w:val="0"/>
    </w:pPr>
    <w:rPr>
      <w:rFonts w:ascii="Tahoma" w:cs="Tahoma" w:hAnsi="Tahoma"/>
      <w:snapToGrid w:val="0"/>
      <w:position w:val="-1"/>
      <w:lang w:eastAsia="en-US" w:val="en-US"/>
    </w:rPr>
  </w:style>
  <w:style w:customStyle="1" w:styleId="normaltableheader0" w:type="paragraph">
    <w:name w:val="normaltableheader"/>
    <w:basedOn w:val="Normal"/>
    <w:pPr>
      <w:keepNext/>
      <w:widowControl/>
      <w:suppressAutoHyphens/>
      <w:spacing w:after="120" w:line="360" w:lineRule="auto"/>
      <w:ind w:hanging="1" w:hangingChars="1" w:left="0" w:leftChars="-1"/>
      <w:jc w:val="center"/>
      <w:textDirection w:val="btLr"/>
      <w:textAlignment w:val="top"/>
      <w:outlineLvl w:val="0"/>
    </w:pPr>
    <w:rPr>
      <w:rFonts w:ascii="Tahoma" w:cs="Tahoma" w:eastAsia="Calibri" w:hAnsi="Tahoma"/>
      <w:b/>
      <w:bCs/>
      <w:position w:val="-1"/>
      <w:lang w:eastAsia="en-US" w:val="en-US"/>
    </w:rPr>
  </w:style>
  <w:style w:customStyle="1" w:styleId="normaltable" w:type="paragraph">
    <w:name w:val="normaltable"/>
    <w:basedOn w:val="Normal"/>
    <w:pPr>
      <w:widowControl/>
      <w:suppressAutoHyphens/>
      <w:spacing w:after="40" w:before="40" w:line="1" w:lineRule="atLeast"/>
      <w:ind w:hanging="1" w:hangingChars="1" w:left="0" w:leftChars="-1"/>
      <w:textDirection w:val="btLr"/>
      <w:textAlignment w:val="top"/>
      <w:outlineLvl w:val="0"/>
    </w:pPr>
    <w:rPr>
      <w:rFonts w:ascii="Tahoma" w:cs="Tahoma" w:eastAsia="Calibri" w:hAnsi="Tahoma"/>
      <w:color w:val="000000"/>
      <w:position w:val="-1"/>
      <w:lang w:eastAsia="en-US" w:val="en-US"/>
    </w:rPr>
  </w:style>
  <w:style w:styleId="BalloonText" w:type="paragraph">
    <w:name w:val="Balloon Text"/>
    <w:basedOn w:val="Normal"/>
    <w:pPr>
      <w:suppressAutoHyphens/>
      <w:spacing w:before="0" w:line="1" w:lineRule="atLeast"/>
      <w:ind w:hanging="1" w:hangingChars="1" w:left="-1" w:leftChars="-1"/>
      <w:textDirection w:val="btLr"/>
      <w:textAlignment w:val="top"/>
      <w:outlineLvl w:val="0"/>
    </w:pPr>
    <w:rPr>
      <w:rFonts w:ascii="Tahoma" w:cs="Tahoma" w:hAnsi="Tahoma"/>
      <w:snapToGrid w:val="0"/>
      <w:position w:val="-1"/>
      <w:sz w:val="16"/>
      <w:szCs w:val="16"/>
      <w:lang w:eastAsia="en-US" w:val="en-US"/>
    </w:rPr>
  </w:style>
  <w:style w:customStyle="1" w:styleId="BalloonTextChar" w:type="character">
    <w:name w:val="Balloon Text Char"/>
    <w:rPr>
      <w:rFonts w:ascii="Tahoma" w:cs="Tahoma" w:hAnsi="Tahoma"/>
      <w:snapToGrid/>
      <w:w w:val="100"/>
      <w:position w:val="-1"/>
      <w:sz w:val="16"/>
      <w:szCs w:val="16"/>
      <w:effect w:val="none"/>
      <w:vertAlign w:val="baseline"/>
      <w:cs w:val="0"/>
      <w:em w:val="none"/>
    </w:rPr>
  </w:style>
  <w:style w:styleId="TableGrid" w:type="table">
    <w:name w:val="Table Grid"/>
    <w:basedOn w:val="TableNormal"/>
    <w:pPr>
      <w:suppressAutoHyphens/>
      <w:spacing w:line="1" w:lineRule="atLeast"/>
      <w:ind w:hanging="1" w:hangingChars="1" w:left="-1" w:leftChars="-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ListParagraph1" w:type="paragraph">
    <w:name w:val="List Paragraph1"/>
    <w:aliases w:val="List Paragraph12,Thang2,List Paragraph111,Bullet List"/>
    <w:basedOn w:val="Normal"/>
    <w:pPr>
      <w:widowControl/>
      <w:suppressAutoHyphens/>
      <w:spacing w:before="0" w:line="312" w:lineRule="auto"/>
      <w:ind w:hanging="1" w:hangingChars="1" w:left="720" w:leftChars="-1"/>
      <w:contextualSpacing/>
      <w:textDirection w:val="btLr"/>
      <w:textAlignment w:val="top"/>
      <w:outlineLvl w:val="0"/>
    </w:pPr>
    <w:rPr>
      <w:position w:val="-1"/>
      <w:sz w:val="26"/>
      <w:szCs w:val="24"/>
      <w:lang w:eastAsia="en-US" w:val="en-US"/>
    </w:rPr>
  </w:style>
  <w:style w:customStyle="1" w:styleId="ListParagraphChar" w:type="character">
    <w:name w:val="List Paragraph Char"/>
    <w:aliases w:val="List Paragraph12 Char,Thang2 Char,List Paragraph111 Char,Bullet List Char"/>
    <w:rPr>
      <w:w w:val="100"/>
      <w:position w:val="-1"/>
      <w:sz w:val="26"/>
      <w:szCs w:val="24"/>
      <w:effect w:val="none"/>
      <w:vertAlign w:val="baseline"/>
      <w:cs w:val="0"/>
      <w:em w:val="none"/>
    </w:rPr>
  </w:style>
  <w:style w:customStyle="1" w:styleId="BangChar" w:type="character">
    <w:name w:val="Bang Char"/>
    <w:rPr>
      <w:rFonts w:ascii="Arial" w:hAnsi="Arial"/>
      <w:w w:val="100"/>
      <w:position w:val="-1"/>
      <w:sz w:val="18"/>
      <w:effect w:val="none"/>
      <w:vertAlign w:val="baseline"/>
      <w:cs w:val="0"/>
      <w:em w:val="none"/>
    </w:rPr>
  </w:style>
  <w:style w:customStyle="1" w:styleId="tvHeading" w:type="paragraph">
    <w:name w:val="tvHeading"/>
    <w:basedOn w:val="Normal"/>
    <w:pPr>
      <w:keepLines/>
      <w:pageBreakBefore/>
      <w:widowControl/>
      <w:tabs>
        <w:tab w:pos="2160" w:val="left"/>
        <w:tab w:pos="5040" w:val="right"/>
        <w:tab w:pos="5760" w:val="left"/>
        <w:tab w:pos="8640" w:val="right"/>
      </w:tabs>
      <w:suppressAutoHyphens/>
      <w:spacing w:after="240" w:before="480" w:line="312" w:lineRule="auto"/>
      <w:ind w:hanging="1" w:hangingChars="1" w:left="0" w:leftChars="-1"/>
      <w:jc w:val="center"/>
      <w:textDirection w:val="btLr"/>
      <w:textAlignment w:val="top"/>
      <w:outlineLvl w:val="0"/>
    </w:pPr>
    <w:rPr>
      <w:b/>
      <w:bCs/>
      <w:caps/>
      <w:color w:val="003400"/>
      <w:position w:val="-1"/>
      <w:sz w:val="28"/>
      <w:szCs w:val="24"/>
      <w:lang w:eastAsia="en-US" w:val="en-US"/>
    </w:rPr>
  </w:style>
  <w:style w:styleId="Subtitle" w:type="paragraph">
    <w:name w:val="Subtitle"/>
    <w:basedOn w:val="Normal"/>
    <w:next w:val="Normal"/>
    <w:uiPriority w:val="11"/>
    <w:qFormat/>
    <w:pPr>
      <w:keepNext/>
      <w:keepLines/>
      <w:spacing w:after="80" w:before="360"/>
    </w:pPr>
    <w:rPr>
      <w:rFonts w:ascii="Georgia" w:cs="Georgia" w:eastAsia="Georgia" w:hAnsi="Georgia"/>
      <w:i/>
      <w:iCs/>
      <w:color w:val="666666"/>
      <w:sz w:val="48"/>
      <w:szCs w:val="48"/>
    </w:rPr>
  </w:style>
  <w:style w:customStyle="1" w:styleId="a" w:type="table">
    <w:basedOn w:val="TableNormal"/>
    <w:tblPr>
      <w:tblStyleRowBandSize w:val="1"/>
      <w:tblStyleColBandSize w:val="1"/>
    </w:tblPr>
  </w:style>
  <w:style w:customStyle="1" w:styleId="a0" w:type="table">
    <w:basedOn w:val="TableNormal"/>
    <w:tblPr>
      <w:tblStyleRowBandSize w:val="1"/>
      <w:tblStyleColBandSize w:val="1"/>
    </w:tblPr>
  </w:style>
  <w:style w:customStyle="1" w:styleId="a1" w:type="table">
    <w:basedOn w:val="TableNormal"/>
    <w:tblPr>
      <w:tblStyleRowBandSize w:val="1"/>
      <w:tblStyleColBandSize w:val="1"/>
      <w:tblCellMar>
        <w:left w:type="dxa" w:w="80"/>
        <w:right w:type="dxa" w:w="80"/>
      </w:tblCellMar>
    </w:tblPr>
  </w:style>
  <w:style w:customStyle="1" w:styleId="a2" w:type="table">
    <w:basedOn w:val="TableNormal"/>
    <w:tblPr>
      <w:tblStyleRowBandSize w:val="1"/>
      <w:tblStyleColBandSize w:val="1"/>
    </w:tblPr>
  </w:style>
  <w:style w:customStyle="1" w:styleId="a3" w:type="table">
    <w:basedOn w:val="TableNormal"/>
    <w:tblPr>
      <w:tblStyleRowBandSize w:val="1"/>
      <w:tblStyleColBandSize w:val="1"/>
    </w:tblPr>
  </w:style>
  <w:style w:customStyle="1" w:styleId="a4" w:type="table">
    <w:basedOn w:val="TableNormal"/>
    <w:tblPr>
      <w:tblStyleRowBandSize w:val="1"/>
      <w:tblStyleColBandSize w:val="1"/>
    </w:tblPr>
  </w:style>
  <w:style w:customStyle="1" w:styleId="a5" w:type="table">
    <w:basedOn w:val="TableNormal"/>
    <w:tblPr>
      <w:tblStyleRowBandSize w:val="1"/>
      <w:tblStyleColBandSize w:val="1"/>
    </w:tblPr>
  </w:style>
  <w:style w:customStyle="1" w:styleId="a6" w:type="table">
    <w:basedOn w:val="TableNormal"/>
    <w:tblPr>
      <w:tblStyleRowBandSize w:val="1"/>
      <w:tblStyleColBandSize w:val="1"/>
    </w:tblPr>
  </w:style>
  <w:style w:customStyle="1" w:styleId="a7" w:type="table">
    <w:basedOn w:val="TableNormal"/>
    <w:tblPr>
      <w:tblStyleRowBandSize w:val="1"/>
      <w:tblStyleColBandSize w:val="1"/>
    </w:tblPr>
  </w:style>
  <w:style w:customStyle="1" w:styleId="a8" w:type="table">
    <w:basedOn w:val="TableNormal"/>
    <w:tblPr>
      <w:tblStyleRowBandSize w:val="1"/>
      <w:tblStyleColBandSize w:val="1"/>
    </w:tblPr>
  </w:style>
  <w:style w:customStyle="1" w:styleId="a9" w:type="table">
    <w:basedOn w:val="TableNormal"/>
    <w:tblPr>
      <w:tblStyleRowBandSize w:val="1"/>
      <w:tblStyleColBandSize w:val="1"/>
    </w:tblPr>
  </w:style>
  <w:style w:customStyle="1" w:styleId="aa" w:type="table">
    <w:basedOn w:val="TableNormal"/>
    <w:tblPr>
      <w:tblStyleRowBandSize w:val="1"/>
      <w:tblStyleColBandSize w:val="1"/>
    </w:tblPr>
  </w:style>
  <w:style w:customStyle="1" w:styleId="ab" w:type="table">
    <w:basedOn w:val="TableNormal"/>
    <w:tblPr>
      <w:tblStyleRowBandSize w:val="1"/>
      <w:tblStyleColBandSize w:val="1"/>
    </w:tblPr>
  </w:style>
  <w:style w:customStyle="1" w:styleId="ac" w:type="table">
    <w:basedOn w:val="TableNormal"/>
    <w:tblPr>
      <w:tblStyleRowBandSize w:val="1"/>
      <w:tblStyleColBandSize w:val="1"/>
    </w:tblPr>
  </w:style>
  <w:style w:customStyle="1" w:styleId="ad" w:type="table">
    <w:basedOn w:val="TableNormal"/>
    <w:tblPr>
      <w:tblStyleRowBandSize w:val="1"/>
      <w:tblStyleColBandSize w:val="1"/>
    </w:tblPr>
  </w:style>
  <w:style w:customStyle="1" w:styleId="ae" w:type="table">
    <w:basedOn w:val="TableNormal"/>
    <w:tblPr>
      <w:tblStyleRowBandSize w:val="1"/>
      <w:tblStyleColBandSize w:val="1"/>
    </w:tblPr>
  </w:style>
  <w:style w:customStyle="1" w:styleId="af" w:type="table">
    <w:basedOn w:val="TableNormal"/>
    <w:tblPr>
      <w:tblStyleRowBandSize w:val="1"/>
      <w:tblStyleColBandSize w:val="1"/>
    </w:tblPr>
  </w:style>
  <w:style w:customStyle="1" w:styleId="af0" w:type="table">
    <w:basedOn w:val="TableNormal"/>
    <w:tblPr>
      <w:tblStyleRowBandSize w:val="1"/>
      <w:tblStyleColBandSize w:val="1"/>
    </w:tblPr>
  </w:style>
  <w:style w:customStyle="1" w:styleId="af1" w:type="table">
    <w:basedOn w:val="TableNormal"/>
    <w:tblPr>
      <w:tblStyleRowBandSize w:val="1"/>
      <w:tblStyleColBandSize w:val="1"/>
    </w:tblPr>
  </w:style>
  <w:style w:customStyle="1" w:styleId="af2" w:type="table">
    <w:basedOn w:val="TableNormal"/>
    <w:tblPr>
      <w:tblStyleRowBandSize w:val="1"/>
      <w:tblStyleColBandSize w:val="1"/>
    </w:tblPr>
  </w:style>
  <w:style w:customStyle="1" w:styleId="af3" w:type="table">
    <w:basedOn w:val="TableNormal"/>
    <w:tblPr>
      <w:tblStyleRowBandSize w:val="1"/>
      <w:tblStyleColBandSize w:val="1"/>
    </w:tblPr>
  </w:style>
  <w:style w:styleId="Header" w:type="paragraph">
    <w:name w:val="header"/>
    <w:basedOn w:val="Normal"/>
    <w:link w:val="HeaderChar"/>
    <w:uiPriority w:val="99"/>
    <w:unhideWhenUsed/>
    <w:rsid w:val="00EA6A29"/>
    <w:pPr>
      <w:tabs>
        <w:tab w:pos="4513" w:val="center"/>
        <w:tab w:pos="9026" w:val="right"/>
      </w:tabs>
      <w:spacing w:before="0"/>
    </w:pPr>
  </w:style>
  <w:style w:customStyle="1" w:styleId="HeaderChar" w:type="character">
    <w:name w:val="Header Char"/>
    <w:basedOn w:val="DefaultParagraphFont"/>
    <w:link w:val="Header"/>
    <w:uiPriority w:val="99"/>
    <w:rsid w:val="00EA6A29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3.xml"/><Relationship Id="rId10" Type="http://schemas.openxmlformats.org/officeDocument/2006/relationships/header" Target="header2.xml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2611</Words>
  <Characters>14889</Characters>
  <Application>Microsoft Office Word</Application>
  <DocSecurity>0</DocSecurity>
  <Lines>124</Lines>
  <Paragraphs>34</Paragraphs>
  <ScaleCrop>false</ScaleCrop>
  <Company/>
  <LinksUpToDate>false</LinksUpToDate>
  <CharactersWithSpaces>17466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2026-08-28T09:38:25Z</dcterms:created>
  <dcterms:modified xsi:type="dcterms:W3CDTF">2026-08-28T09:38:25Z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