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cơ-sở-dữ-liệu-oltp"/>
    <w:p>
      <w:pPr>
        <w:pStyle w:val="Heading1"/>
      </w:pPr>
      <w:r>
        <w:t xml:space="preserve">2. CƠ SỞ DỮ LIỆU (OLTP)</w:t>
      </w:r>
    </w:p>
    <w:bookmarkStart w:id="63" w:name="mdds"/>
    <w:p>
      <w:pPr>
        <w:pStyle w:val="Heading2"/>
      </w:pPr>
      <w:r>
        <w:t>2.1</w:t>
        <w:tab/>
        <w:t>MDDS —</w:t>
      </w:r>
    </w:p>
    <w:bookmarkStart w:id="32" w:name="các-mô-hình-quan-hệ-dữ-liệu"/>
    <w:p>
      <w:pPr>
        <w:pStyle w:val="Heading3"/>
      </w:pPr>
      <w:r>
        <w:t>2.1.1</w:t>
        <w:tab/>
        <w:t>Các mô hình quan hệ dữ liệu</w:t>
      </w:r>
    </w:p>
    <w:p>
      <w:pPr>
        <w:pStyle w:val="Compact"/>
        <w:ind w:left="0" w:firstLine="0"/>
      </w:pPr>
      <w:r>
        <w:t xml:space="preserve">DBML tổng hợp (tất cả bảng):</w:t>
      </w:r>
      <w:r>
        <w:t xml:space="preserve"> </w:t>
      </w:r>
      <w:hyperlink r:id="rId28">
        <w:r>
          <w:rPr>
            <w:rStyle w:val="VerbatimChar"/>
          </w:rPr>
          <w:t xml:space="preserve">MDDS.dbml</w:t>
        </w:r>
      </w:hyperlink>
      <w:r>
        <w:t xml:space="preserve"> </w:t>
      </w:r>
      <w:r>
        <w:t xml:space="preserve">— paste vào https://dbdiagram.io để render.</w:t>
      </w:r>
    </w:p>
    <w:p>
      <w:pPr>
        <w:pStyle w:val="Compact"/>
        <w:ind w:left="0" w:firstLine="0"/>
      </w:pPr>
      <w:r>
        <w:t xml:space="preserve">Diagram theo mảng nghiệp vụ:</w:t>
      </w:r>
    </w:p>
    <w:p>
      <w:pPr>
        <w:pStyle w:val="Compact"/>
        <w:ind w:left="0" w:firstLine="0"/>
      </w:pPr>
      <w:r>
        <w:rPr>
          <w:b/>
          <w:bCs/>
        </w:rPr>
        <w:t xml:space="preserve">UID01 — Thị trường và chỉ số tổng hợp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MDDS_UID01.dbml</w:t>
        </w:r>
      </w:hyperlink>
    </w:p>
    <w:p>
      <w:pPr>
        <w:pStyle w:val="Compact"/>
        <w:ind w:left="0" w:firstLine="0"/>
      </w:pPr>
      <w:r>
        <w:rPr>
          <w:b/>
          <w:bCs/>
        </w:rPr>
        <w:t xml:space="preserve">UID02 — Bảng giá chứng khoán và khớp lệnh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MDDS_UID02.dbml</w:t>
        </w:r>
      </w:hyperlink>
    </w:p>
    <w:p>
      <w:pPr>
        <w:pStyle w:val="Compact"/>
        <w:ind w:left="0" w:firstLine="0"/>
      </w:pPr>
      <w:r>
        <w:rPr>
          <w:b/>
          <w:bCs/>
        </w:rPr>
        <w:t xml:space="preserve">UID03 — Trái phiếu doanh nghiệp</w:t>
      </w:r>
      <w:r>
        <w:t xml:space="preserve">:</w:t>
      </w:r>
      <w:r>
        <w:t xml:space="preserve"> </w:t>
      </w:r>
      <w:hyperlink r:id="rId31">
        <w:r>
          <w:rPr>
            <w:rStyle w:val="VerbatimChar"/>
          </w:rPr>
          <w:t xml:space="preserve">MDDS_UID03.dbml</w:t>
        </w:r>
      </w:hyperlink>
    </w:p>
    <w:p>
      <w:pPr>
        <w:pStyle w:val="FirstParagraph"/>
        <w:ind w:left="0" w:firstLine="0"/>
      </w:pPr>
      <w:r>
        <w:rPr>
          <w:b/>
          <w:bCs/>
        </w:rPr>
        <w:t xml:space="preserve">Danh sách bảng: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bảng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mkt_snpst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Snapshot trạng thái tổng hợp toàn sàn giao dịch (HOSE/HNX/UPCOM) tại mỗi thời điểm: điểm chỉ số sàn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Snapshot thông tin chỉ số thị trường chứng khoán (VN30/VNINDEX/HNX30…) tại thời điểm phát sinh: giá trị chỉ số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Snapshot trạng thái giao dịch đa loại chứng khoán (cổ phiếu/CCQ/chứng quyền/phái sinh) tại thời điểm có thay đổi lệnh/khớp lệnh: giá tham chiếu/trần/sàn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Snapshot trạng thái giao dịch trái phiếu doanh nghiệp niêm yết HNX tại thời điểm phát sinh thay đổi: giá tham chiếu/trần/sàn/khớp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scr_mtch_log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Log tick-by-tick từng lần khớp lệnh chứng khoán theo thứ tự sequenceMsg. Grain: 1 dòng = 1 lần khớp (symbol × ngày × sequenceMsg). Insert-only. Chứa chiều giao dịch chủ động (lastColor) và tích lũy KL/GT từ đầu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corp_bond_mtch_log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Log tick-by-tick từng lần khớp lệnh trái phiếu doanh nghiệp theo thứ tự ConfirmNoCorpBond. Grain: 1 dòng = 1 lần khớp (symbol × ngày × confirm_no). Insert-only.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indx_constituent_snpst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Snapshot thành phần rổ chỉ số thị trường: mã chứng khoán thuộc rổ nào (IndexCode × Symbol × ngày giao dịch). Có attribute nghiệp vụ: tỷ trọng (Weighted) và ngày vào rổ (AddDate).</w:t>
            </w:r>
          </w:p>
        </w:tc>
      </w:tr>
    </w:tbl>
    <w:bookmarkEnd w:id="32"/>
    <w:bookmarkStart w:id="36" w:name="bảng-mkt_snpst"/>
    <w:p>
      <w:pPr>
        <w:pStyle w:val="Heading3"/>
      </w:pPr>
      <w:r>
        <w:t>2.1.2</w:t>
        <w:tab/>
        <w:t>Bảng mkt_snpst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tin tổng quan thị trường.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mkt_snpst_code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‘MDDS.MarketInfor’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ID sàn/chỉ số: 10=HOSE / 02=HNX / 04=UPCOM / 06=Corp Bond / VN30 / HNX30…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chỉ số tương ứng với marketId.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seq_msg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tăng dần trong ngày — đảm bảo thứ tự xử lý bản tin.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cập nhật chỉ số.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phiên giao dịch (ATO / Continuous / ATC / Closed…).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Điểm chỉ số thị trường hiện tại.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điểm chỉ số so với đầu ngày (tham chiếu).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indx_chg_pct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Phần trăm thay đổi điểm chỉ số so với đầu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indx_color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Màu hiển thị chỉ số (tăng/giảm/đứng).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prev_mkt_indx_val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Chỉ số tham chiếu — giá trị đóng cửa phiên giao dịch gần nhất.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av_mkt_indx_val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Chỉ số trung bình của thị trường trong phiên.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av_prev_mkt_indx_val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Chỉ số trung bình đóng cửa phiên giao dịch gần nhất.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av_indx_chg_val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của chỉ số trung bình.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av_indx_chg_pct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Phần trăm thay đổi của chỉ số trung bình.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tot_mtch_trd_cnt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lệnh khớp (FloorCode=02: cổ phiếu; FloorCode=03: trái phiếu).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lệnh thường toàn thị trường.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khớp lệnh thường toàn thị trường.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advnc_cnt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mã tăng giá.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decline_cnt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mã giảm giá.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no_chg_cnt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mã không đổi giá.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advnc_vol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chứng khoán tăng giá (bao gồm giao dịch thỏa thuận).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decline_vol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chứng khoán giảm giá (bao gồm giao dịch thỏa thuận).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no_chg_vol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chứng khoán đứng giá (bao gồm giao dịch thỏa thuận).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ceiling_cnt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mã tăng trần.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mã giảm sàn.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pt_tot_trd_cnt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lệnh giao dịch thỏa thuận.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giao dịch thỏa thuận.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thỏa thuận.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odd_lot_tot_vol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giao dịch lô lẻ.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odd_lot_tval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lô lẻ.</w:t>
            </w:r>
          </w:p>
        </w:tc>
      </w:tr>
    </w:tbl>
    <w:bookmarkStart w:id="33" w:name="constraint"/>
    <w:p>
      <w:pPr>
        <w:pStyle w:val="Heading4"/>
      </w:pPr>
      <w:r>
        <w:t>2.1.2.1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mkt_snpst_id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p>
      <w:pPr>
        <w:pStyle w:val="Normal"/>
        <w:ind w:left="0" w:firstLine="0"/>
      </w:pPr>
      <w:r>
        <w:rPr>
          <w:i/>
          <w:iCs/>
        </w:rPr>
        <w:t xml:space="preserve">Không có Foreign Key.</w:t>
      </w:r>
    </w:p>
    <w:bookmarkEnd w:id="33"/>
    <w:bookmarkStart w:id="34" w:name="index"/>
    <w:p>
      <w:pPr>
        <w:pStyle w:val="Heading4"/>
      </w:pPr>
      <w:r>
        <w:t>2.1.2.2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34"/>
    <w:bookmarkStart w:id="35" w:name="trigger"/>
    <w:p>
      <w:pPr>
        <w:pStyle w:val="Heading4"/>
      </w:pPr>
      <w:r>
        <w:t>2.1.2.3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35"/>
    <w:bookmarkEnd w:id="36"/>
    <w:bookmarkStart w:id="40" w:name="bảng-mkt_indx_snpst"/>
    <w:p>
      <w:pPr>
        <w:pStyle w:val="Heading3"/>
      </w:pPr>
      <w:r>
        <w:t>2.1.3</w:t>
        <w:tab/>
        <w:t>Bảng mkt_indx_snpst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tin thông tin chỉ số thị trường.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‘MDDS.IDXInfor’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chỉ số (VNINDEX / HNXINDEX / VN30 / HNX30 / UPCOMINDEX…).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udt_tm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cập nhật theo giờ máy chủ.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đầy đủ của chỉ số.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sàn giao dịch của chỉ số.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chỉ số: 0=Toàn thị trường / 1=Bảng giao dịch / 2=Phức hợp / 3=Ngành / 4=Top ranking.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crn_st_code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chỉ số (=1 bình thường).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ID số của sàn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trị chỉ số hiện tại.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prev_indx_val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trị chỉ số tham chiếu (đóng cửa phiên gần nhất).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high_indx_val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trị chỉ số cao nhất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lws_indx_val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trị chỉ số thấp nhất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cls_indx_val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trị chỉ số đóng cửa (cập nhật sau khi kết thúc phiên).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giá trị chỉ số so với phiên trước (tuyệt đối).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indx_chg_rto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lệ phần trăm thay đổi so với phiên trước.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lệnh thường (lô chẵn)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khớp lệnh thường (lô chẵn)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lệnh thỏa thuận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khớp lệnh thỏa thuận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tot_stk_cnt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mã chứng khoán trong rổ tính chỉ số.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advnc_cnt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mã chứng khoán tăng giá trong rổ.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decline_cnt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mã chứng khoán giảm giá trong rổ.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no_chg_cnt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mã chứng khoán đứng giá trong rổ.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ceiling_cnt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mã chứng khoán tăng trần trong rổ.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flr_lmt_cnt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số mã chứng khoán giảm sàn trong rổ.</w:t>
            </w:r>
          </w:p>
        </w:tc>
      </w:tr>
    </w:tbl>
    <w:bookmarkStart w:id="37" w:name="constraint-1"/>
    <w:p>
      <w:pPr>
        <w:pStyle w:val="Heading4"/>
      </w:pPr>
      <w:r>
        <w:t>2.1.3.1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p>
      <w:pPr>
        <w:pStyle w:val="Normal"/>
        <w:ind w:left="0" w:firstLine="0"/>
      </w:pPr>
      <w:r>
        <w:rPr>
          <w:i/>
          <w:iCs/>
        </w:rPr>
        <w:t xml:space="preserve">Không có Foreign Key.</w:t>
      </w:r>
    </w:p>
    <w:bookmarkEnd w:id="37"/>
    <w:bookmarkStart w:id="38" w:name="index-1"/>
    <w:p>
      <w:pPr>
        <w:pStyle w:val="Heading4"/>
      </w:pPr>
      <w:r>
        <w:t>2.1.3.2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38"/>
    <w:bookmarkStart w:id="39" w:name="trigger-1"/>
    <w:p>
      <w:pPr>
        <w:pStyle w:val="Heading4"/>
      </w:pPr>
      <w:r>
        <w:t>2.1.3.3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39"/>
    <w:bookmarkEnd w:id="40"/>
    <w:bookmarkStart w:id="44" w:name="bảng-scr_tdg_snpst"/>
    <w:p>
      <w:pPr>
        <w:pStyle w:val="Heading3"/>
      </w:pPr>
      <w:r>
        <w:t>2.1.4</w:t>
        <w:tab/>
        <w:t>Bảng scr_tdg_snpst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tin thông tin giao dịch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‘MDDS.StockInfor’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 (VCB / HPG / VNM…).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(dd/mm/yyyy).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stk_id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ID nội bộ duy nhất của chứng khoán trong hệ thống MDDS.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full_nm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đầy đủ của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sàn giao dịch: 02=HNX / 04=UPCOM / 10=HOSE / 03=FDS (phái sinh) / 06=Corp Bond.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stk_tp_code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chứng khoán theo sàn. HNX: BO/ST/MF/FU/OP/EF. HOSE: B=Trái phiếu / S=Cổ phiếu / U/E=CCQ / D=TP chuyển đổi / W=Chứng quyền. Parse kết hợp FloorCode.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tdg_ssn_id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phiên giao dịch (ATO / Continuous / ATC…).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ceiling_prc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trần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sàn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tham chiếu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cls_prc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lệnh gần nhất (giá thị trường hiện tại).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cls_vol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tại lần khớp gần nhất.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prc_chg_val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của giá khớp gần nhất so với giá tham chiếu (+/-).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prev_prc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gần nhất (trước lần cập nhật hiện tại).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opn_prc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mở cửa (giá khớp ATO).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high_prc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cao nhất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low_prc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thấp nhất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av_prc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trung bình (VWAP)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bid_prc_1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mua bước 1 (tốt nhất).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bid_vol_1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mua tại bước giá 1.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bid_prc_2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mua bước 2.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bid_vol_2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mua tại bước giá 2.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bid_prc_3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mua bước 3 (xa nhất).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bid_vol_3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mua tại bước giá 3.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ofr_prc_1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bán bước 1 (tốt nhất).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ofr_vol_1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bán tại bước giá 1.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ofr_prc_2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bán bước 2.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ofr_vol_2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bán tại bước giá 2.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ofr_prc_3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bán bước 3 (xa nhất).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ofr_vol_3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bán tại bước giá 3.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tot_bid_vol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chào mua cộng dồn.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tot_ofr_vol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chào bán cộng dồn.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lệnh tích lũy từ đầu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khớp lệnh tích lũy từ đầu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giao dịch thông thường (không tính thỏa thuận).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pt_mtch_prc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của lệnh thỏa thuận hiện thời.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giao dịch thỏa thuận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pt_tot_mtch_val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thỏa thuận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frgn_buy_vol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mua của nhà đầu tư nước ngoài.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frgn_sell_vol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bán của nhà đầu tư nước ngoài.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frgn_rman_room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lượng còn lại nhà đầu tư nước ngoài được phép mua (cập nhật sau mỗi giao dịch NĐTNN).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frgn_tot_room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room nhà đầu tư nước ngoài được phép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refr_prc_1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tham chiếu phụ 1 (dùng nội bộ bảng giá).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refr_prc_2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tham chiếu phụ 2 (dùng nội bộ bảng giá).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tot_listing_vol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niêm yết — dùng cho HNX/UPCOM.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fnd_tp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chứng khoán theo nguyên văn sở trả về (chưa convert).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hnx_listing_st_code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niêm yết HNX/UPCOM: parse từ Status (vị trí 1) — chỉ áp dụng FloorCode=02/04.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hnx_adj_vol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chỉnh khối lượng HNX/UPCOM: parse từ Status (vị trí 2) — chỉ áp dụng FloorCode=02/04.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hnx_refr_st_code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tham chiếu HNX/UPCOM: parse từ Status (vị trí 3) — chỉ áp dụng FloorCode=02/04.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hnx_adj_rate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lệ điều chỉnh HNX/UPCOM: parse từ Status (vị trí 4) — chỉ áp dụng FloorCode=02/04.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hnx_dvdn_rate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lệ cổ tức HNX/UPCOM: parse từ Status (vị trí 5) — chỉ áp dụng FloorCode=02/04.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hnx_st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tổng hợp HNX/UPCOM: parse từ Status (vị trí 6) — chỉ áp dụng FloorCode=02/04.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hose_delist_f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hủy niêm yết HOSE: parse từ Status (vị trí 1)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hose_susp_f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đình chỉ giao dịch HOSE: parse từ Status (vị trí 2)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hose_halt_resume_f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tạm ngừng/khôi phục HOSE: parse từ Status (vị trí 3)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hose_split_f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chia tách HOSE: parse từ Status (vị trí 4)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hose_bnft_f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quyền lợi HOSE: parse từ Status (vị trí 5)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hose_mtg_f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đại hội cổ đông HOSE: parse từ Status (vị trí 6)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hose_ntc_f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thông báo HOSE: parse từ Status (vị trí 7)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hose_odd_lot_halt_resume_f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tạm ngừng/khôi phục lô lẻ HOSE: parse từ Status (vị trí 8) — chỉ áp dụng FloorCode=10.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ulyg_imt_id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Security Trading Snapshot của tài sản cơ sở — dùng cho phái sinh và chứng quyền.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ulyg_symb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tài sản cơ sở (VN30…) — dùng cho phái sinh và chứng quyền.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opn_int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hợp đồng mở (Open Interest) — chỉ dùng cho phái sinh.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opn_int_chg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khối lượng hợp đồng mở so với phiên trước.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frst_tdg_dt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đầu tiên — dùng cho phái sinh và chứng quyền.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last_tdg_dt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cuối cùng — dùng cho phái sinh và chứng quyền.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mat_dt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đáo hạn — dùng cho chứng quyền và phái sinh.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cvrd_wrnt_tp_code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chứng quyền — chỉ áp dụng khi StockType=W.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exrc_prc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— dùng cho chứng quyền.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exrc_rto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lệ chuyển đổi — dùng cho chứng quyền.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list_shr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chứng quyền niêm yết.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issur_nm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tổ chức phát hành chứng quyền.</w:t>
            </w:r>
          </w:p>
        </w:tc>
      </w:tr>
    </w:tbl>
    <w:bookmarkStart w:id="41" w:name="constraint-2"/>
    <w:p>
      <w:pPr>
        <w:pStyle w:val="Heading4"/>
      </w:pPr>
      <w:r>
        <w:t>2.1.4.1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ulyg_imt_id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</w:tr>
    </w:tbl>
    <w:bookmarkEnd w:id="41"/>
    <w:bookmarkStart w:id="42" w:name="index-2"/>
    <w:p>
      <w:pPr>
        <w:pStyle w:val="Heading4"/>
      </w:pPr>
      <w:r>
        <w:t>2.1.4.2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42"/>
    <w:bookmarkStart w:id="43" w:name="trigger-2"/>
    <w:p>
      <w:pPr>
        <w:pStyle w:val="Heading4"/>
      </w:pPr>
      <w:r>
        <w:t>2.1.4.3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43"/>
    <w:bookmarkEnd w:id="44"/>
    <w:bookmarkStart w:id="48" w:name="bảng-corp_bond_tdg_snpst"/>
    <w:p>
      <w:pPr>
        <w:pStyle w:val="Heading3"/>
      </w:pPr>
      <w:r>
        <w:t>2.1.5</w:t>
        <w:tab/>
        <w:t>Bảng corp_bond_tdg_snpst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tin thông tin giao dịch trái phiếu doanh nghiệp.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‘MDDS.CorpBondInfor’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trái phiếu doanh nghiệp (ví dụ: BHB12104).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(dd/mm/yyyy).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full_nm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đầy đủ của trái phiếu.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‘06’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sàn giao dịch — luôn = 06 (thị trường trái phiếu doanh nghiệp HNX).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stk_tp_code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‘12’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chứng khoán — luôn = 12 cho TPDN.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tdg_ssn_id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trạng thái giao dịch theo quy định kết cấu phiên HNX.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trái phiếu: 0=Bình thường / 1=Tạm ngừng nghỉ lễ / 2=Ngừng GD / 10=Tạm ngừng GD / 11=Hạn chế GD / 25=GD đặc biệt.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tdg_ssn_st_code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phiên giao dịch: 1=Đang nhận lệnh / 2=Tạm dừng / 13=Kết thúc nhận lệnh / 90=Chờ nhận lệnh / 97=Đóng cửa.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ceiling_prc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trần giao dịch khớp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sàn giao dịch khớp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tham chiếu.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cls_prc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đóng cửa (giá khớp gần nhất).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cls_vol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tại lần khớp gần nhất.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prc_chg_val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của giá khớp gần nhất so với giá tham chiếu.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opn_prc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mở cửa.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high_prc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cao nhất của giao dịch khớp lệnh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low_prc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thấp nhất của giao dịch khớp lệnh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av_prc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trung bình trong ngày (totalTradingValue / totalTrading).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giao dịch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thực hiện gần nhất của giao dịch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pt_mtch_prc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gần nhất của giao dịch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giao dịch thỏa thuận Outright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pt_tot_mtch_val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thỏa thuận Outright tích lũy.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pt_best_bid_vol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chào mua cao nhất trên order book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pt_best_bid_prc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chào mua cao nhất trên order book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pt_best_ofr_vol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chào bán thấp nhất trên order book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pt_best_ofr_prc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chào bán thấp nhất trên order book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pt_tot_bid_vol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chào mua toàn bộ order book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pt_tot_ofr_vol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chào bán toàn bộ order book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pt_max_vol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thực hiện tương ứng với giá cao nhất — giao dịch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pt_max_prc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cao nhất — giao dịch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pt_min_vol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thực hiện tương ứng với giá thấp nhất — giao dịch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pt_min_prc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thực hiện thấp nhất — giao dịch thỏa thuận Outright.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frgn_rman_room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lượng còn lại nhà đầu tư nước ngoài được phép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issur_nm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tổ chức phát hành trái phiếu.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mat_dt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đáo hạn trái phiếu.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issu_dt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phát hành trái phiếu.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tot_listing_vol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trái phiếu niêm yết.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par_val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Mệnh giá trái phiếu (thường 100.000 VND/trái phiếu).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bond_prd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Kỳ hạn gốc của trái phiếu.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prd_unit_code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kỳ hạn: 1=Ngày / 2=Tuần / 3=Tháng / 4=Năm.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prd_rman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Kỳ hạn còn lại tính bằng ngày (tính toán lại hàng ngày).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bond_int_tp_code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hình lãi suất: 1=Coupon / 2=Zero Coupon.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int_rate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DECIMAL(8,5)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Lãi suất danh nghĩa (coupon rate).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dbt_int_tp_code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lãi suất: 1=Cố định / 2=Thả nổi.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int_prd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Kỳ hạn trả lãi.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int_prd_unit_code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kỳ hạn trả lãi: 1=Ngày / 2=Tuần / 3=Tháng / 4=Năm.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int_cpn_tp_code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Kiểu coupon: 1=Standard / 2=Long Coupon / 3=Short Coupon / 4=Khác.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int_pymt_tp_code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Phương thức trả lãi: 1=Định kỳ cuối kỳ / 2=Định kỳ đầu kỳ.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char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Đặc điểm của trái phiếu.</w:t>
            </w:r>
          </w:p>
        </w:tc>
      </w:tr>
    </w:tbl>
    <w:bookmarkStart w:id="45" w:name="constraint-3"/>
    <w:p>
      <w:pPr>
        <w:pStyle w:val="Heading4"/>
      </w:pPr>
      <w:r>
        <w:t>2.1.5.1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p>
      <w:pPr>
        <w:pStyle w:val="Normal"/>
        <w:ind w:left="0" w:firstLine="0"/>
      </w:pPr>
      <w:r>
        <w:rPr>
          <w:i/>
          <w:iCs/>
        </w:rPr>
        <w:t xml:space="preserve">Không có Foreign Key.</w:t>
      </w:r>
    </w:p>
    <w:bookmarkEnd w:id="45"/>
    <w:bookmarkStart w:id="46" w:name="index-3"/>
    <w:p>
      <w:pPr>
        <w:pStyle w:val="Heading4"/>
      </w:pPr>
      <w:r>
        <w:t>2.1.5.2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46"/>
    <w:bookmarkStart w:id="47" w:name="trigger-3"/>
    <w:p>
      <w:pPr>
        <w:pStyle w:val="Heading4"/>
      </w:pPr>
      <w:r>
        <w:t>2.1.5.3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47"/>
    <w:bookmarkEnd w:id="48"/>
    <w:bookmarkStart w:id="52" w:name="bảng-scr_mtch_log"/>
    <w:p>
      <w:pPr>
        <w:pStyle w:val="Heading3"/>
      </w:pPr>
      <w:r>
        <w:t>2.1.6</w:t>
        <w:tab/>
        <w:t>Bảng scr_mtch_log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scr_mtch_log_id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ghi khớp lệnh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scr_mtch_log_code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‘MDDS.TransLog’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bản tin thông tin giao dịch chứng khoán tương ứng.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seq_msg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tăng dần trong ngày — đảm bảo thứ tự xử lý và phát hiện mất gói.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Giờ khớp lệnh (HH:mm:ss) theo giờ máy chủ sở giao dịch. Nhiều tick có thể cùng timestamp trong ATO/ATC (batch matching).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mtch_drc_code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Chiều giao dịch chủ động: B=Mua chủ động / S=Bán chủ động / O=Khớp phiên ATO / C=Khớp phiên ATC. B/S trong MDDS là chiều của bên đặt lệnh đối ứng — ngược với hiển thị bảng giá thông thường.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lệnh (VND — số nguyên không có dấu phẩy).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của lần khớp này.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prc_chg_val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của giá khớp so với giá tham chiếu tại thời điểm khớp (+/-).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chg_color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Style hiển thị của giá thay đổi (tăng/giảm/đứng).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acm_vol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tích lũy từ đầu ngày đến thời điểm này (cho mã đó).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acm_val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khớp tích lũy từ đầu ngày đến thời điểm này (VND). formattedAccVal / formattedAccVol = VWAP tại thời điểm.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tot_buy_vol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mua chủ động (lastColor=B) tích lũy trong ngày cho mã đó.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tot_sell_vol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bán chủ động (lastColor=S) tích lũy trong ngày cho mã đó.</w:t>
            </w:r>
          </w:p>
        </w:tc>
      </w:tr>
    </w:tbl>
    <w:bookmarkStart w:id="49" w:name="constraint-4"/>
    <w:p>
      <w:pPr>
        <w:pStyle w:val="Heading4"/>
      </w:pPr>
      <w:r>
        <w:t>2.1.6.1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scr_mtch_log_id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</w:tr>
    </w:tbl>
    <w:bookmarkEnd w:id="49"/>
    <w:bookmarkStart w:id="50" w:name="index-4"/>
    <w:p>
      <w:pPr>
        <w:pStyle w:val="Heading4"/>
      </w:pPr>
      <w:r>
        <w:t>2.1.6.2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50"/>
    <w:bookmarkStart w:id="51" w:name="trigger-4"/>
    <w:p>
      <w:pPr>
        <w:pStyle w:val="Heading4"/>
      </w:pPr>
      <w:r>
        <w:t>2.1.6.3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51"/>
    <w:bookmarkEnd w:id="52"/>
    <w:bookmarkStart w:id="56" w:name="bảng-corp_bond_mtch_log"/>
    <w:p>
      <w:pPr>
        <w:pStyle w:val="Heading3"/>
      </w:pPr>
      <w:r>
        <w:t>2.1.7</w:t>
        <w:tab/>
        <w:t>Bảng corp_bond_mtch_log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corp_bond_mtch_log_id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ghi khớp lệnh trái phiếu doanh nghiệp.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corp_bond_mtch_log_code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‘MDDS.CorpBondMatch’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bản tin thông tin giao dịch trái phiếu doanh nghiệp tương ứng.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trái phiếu doanh nghiệp.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tdg_dt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cfrm_no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xác nhận/số thứ tự giao dịch TPDN (thay cho sequenceMsg trong TransLog).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Giờ khớp lệnh (HH:mm:ss).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mtch_drc_code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Chiều giao dịch chủ động: B=Mua chủ động / S=Bán chủ động / O=ATO / C=ATC.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(thường theo % mệnh giá nhân mệnh giá cho TPDN).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của lần khớp này.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prc_chg_val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Thay đổi so với giá tham chiếu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chg_color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Style hiển thị của giá thay đổi.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acm_vol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tích lũy từ đầu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acm_val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khớp tích lũy từ đầu ngày (VND).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tot_buy_vol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mua chủ động (lastColor=B) tích lũy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tot_sell_vol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bán chủ động (lastColor=S) tích lũy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‘06’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ID thị trường — luôn = 06 (trái phiếu doanh nghiệp HNX).</w:t>
            </w:r>
          </w:p>
        </w:tc>
      </w:tr>
    </w:tbl>
    <w:bookmarkStart w:id="53" w:name="constraint-5"/>
    <w:p>
      <w:pPr>
        <w:pStyle w:val="Heading4"/>
      </w:pPr>
      <w:r>
        <w:t>2.1.7.1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corp_bond_mtch_log_id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corp_bond_tdg_snpst_id</w:t>
            </w:r>
          </w:p>
        </w:tc>
      </w:tr>
    </w:tbl>
    <w:bookmarkEnd w:id="53"/>
    <w:bookmarkStart w:id="54" w:name="index-5"/>
    <w:p>
      <w:pPr>
        <w:pStyle w:val="Heading4"/>
      </w:pPr>
      <w:r>
        <w:t>2.1.7.2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54"/>
    <w:bookmarkStart w:id="55" w:name="trigger-5"/>
    <w:p>
      <w:pPr>
        <w:pStyle w:val="Heading4"/>
      </w:pPr>
      <w:r>
        <w:t>2.1.7.3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55"/>
    <w:bookmarkEnd w:id="56"/>
    <w:bookmarkStart w:id="60" w:name="bảng-indx_constituent_snpst"/>
    <w:p>
      <w:pPr>
        <w:pStyle w:val="Heading3"/>
      </w:pPr>
      <w:r>
        <w:t>2.1.8</w:t>
        <w:tab/>
        <w:t>Bảng indx_constituent_snpst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indx_constituent_snpst_id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bản ghi thành phần rổ chỉ số.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indx_constituent_snpst_code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Định danh duy nhất bản tin (GUID).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‘MDDS.CSIDXInfor’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nguồn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bản tin thông tin chỉ số tương ứng.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chỉ số (VN30 / HNX30 / VNFINSELECT…).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bản tin thông tin giao dịch chứng khoán thành viên.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 thành viên trong rổ chỉ số. BK.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snpst_tm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điểm snapshot trong ngày. BK. Nguồn ghi là TradingDate nhưng tài liệu gốc mô tả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“định dạng HHmmss”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— ngữ nghĩa là timestamp nội ngày, không phải ngày giao dịch. Cần xác nhận lại với đội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flr_code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sàn giao dịch của mã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ID số của sàn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wght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trọng (weight) của mã trong rổ chỉ số (dạng thập phân — ví dụ 0.0513 = 5.13%).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add_dt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mã được thêm vào rổ chỉ số.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stk_ctb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trị chỉ số tại thời điểm hiện tại (dùng để tính index contribution).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tot_mtch_vol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khớp lệnh của mã này trong ngày (lô chẵn).</w:t>
            </w:r>
          </w:p>
        </w:tc>
      </w:tr>
    </w:tbl>
    <w:bookmarkStart w:id="57" w:name="constraint-6"/>
    <w:p>
      <w:pPr>
        <w:pStyle w:val="Heading4"/>
      </w:pPr>
      <w:r>
        <w:t>2.1.8.1</w:t>
        <w:tab/>
        <w:t>Constraint</w:t>
      </w:r>
    </w:p>
    <w:p>
      <w:pPr>
        <w:pStyle w:val="FirstParagraph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indx_constituent_snpst_id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mkt_indx_snpst_id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scr_tdg_snpst_id</w:t>
            </w:r>
          </w:p>
        </w:tc>
      </w:tr>
    </w:tbl>
    <w:bookmarkEnd w:id="57"/>
    <w:bookmarkStart w:id="58" w:name="index-6"/>
    <w:p>
      <w:pPr>
        <w:pStyle w:val="Heading4"/>
      </w:pPr>
      <w:r>
        <w:t>2.1.8.2</w:t>
        <w:tab/>
        <w:t>Index</w:t>
      </w:r>
    </w:p>
    <w:p>
      <w:pPr>
        <w:pStyle w:val="FirstParagraph"/>
        <w:ind w:left="0" w:firstLine="0"/>
      </w:pPr>
      <w:r>
        <w:t xml:space="preserve">N/A</w:t>
      </w:r>
    </w:p>
    <w:bookmarkEnd w:id="58"/>
    <w:bookmarkStart w:id="59" w:name="trigger-6"/>
    <w:p>
      <w:pPr>
        <w:pStyle w:val="Heading4"/>
      </w:pPr>
      <w:r>
        <w:t>2.1.8.3</w:t>
        <w:tab/>
        <w:t>Trigger</w:t>
      </w:r>
    </w:p>
    <w:p>
      <w:pPr>
        <w:pStyle w:val="FirstParagraph"/>
        <w:ind w:left="0" w:firstLine="0"/>
      </w:pPr>
      <w:r>
        <w:t xml:space="preserve">N/A</w:t>
      </w:r>
    </w:p>
    <w:bookmarkEnd w:id="59"/>
    <w:bookmarkEnd w:id="60"/>
    <w:bookmarkStart w:id="61" w:name="stored-procedurefunction"/>
    <w:p>
      <w:pPr>
        <w:pStyle w:val="Heading3"/>
      </w:pPr>
      <w:r>
        <w:t>2.1.9</w:t>
        <w:tab/>
        <w:t>Stored Procedure/Function</w:t>
      </w:r>
    </w:p>
    <w:p>
      <w:pPr>
        <w:pStyle w:val="FirstParagraph"/>
        <w:ind w:left="0" w:firstLine="0"/>
      </w:pPr>
      <w:r>
        <w:t xml:space="preserve">N/A</w:t>
      </w:r>
    </w:p>
    <w:bookmarkEnd w:id="61"/>
    <w:bookmarkStart w:id="62" w:name="package"/>
    <w:p>
      <w:pPr>
        <w:pStyle w:val="Heading3"/>
      </w:pPr>
      <w:r>
        <w:t>2.1.10</w:t>
        <w:tab/>
        <w:t>Package</w:t>
      </w:r>
    </w:p>
    <w:p>
      <w:pPr>
        <w:pStyle w:val="FirstParagraph"/>
        <w:ind w:left="0" w:firstLine="0"/>
      </w:pPr>
      <w:r>
        <w:t xml:space="preserve">N/A</w:t>
      </w:r>
    </w:p>
    <w:bookmarkEnd w:id="62"/>
    <w:bookmarkEnd w:id="63"/>
    <w:bookmarkEnd w:id="64"/>
    <w:sectPr w:rsidR="00CD2C58">
      <w:headerReference r:id="rId14" w:type="even"/>
      <w:headerReference r:id="rId15" w:type="default"/>
      <w:footerReference r:id="rId16" w:type="even"/>
      <w:footerReference r:id="rId17" w:type="default"/>
      <w:headerReference r:id="rId18" w:type="first"/>
      <w:footerReference r:id="rId19" w:type="first"/>
      <w:pgSz w:h="16838" w:w="11906"/>
      <w:pgMar w:bottom="1417" w:footer="720" w:gutter="0" w:header="720" w:left="1701" w:right="1134" w:top="1417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7" Type="http://schemas.openxmlformats.org/officeDocument/2006/relationships/numbering" Target="numbering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webSettings" Target="webSetting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notes" Target="footnotes.xml"/><Relationship Id="rId20" Type="http://schemas.openxmlformats.org/officeDocument/2006/relationships/comments" Target="comments.xml"/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11" Type="http://schemas.openxmlformats.org/officeDocument/2006/relationships/image" Target="media/image3.png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9" Type="http://schemas.openxmlformats.org/officeDocument/2006/relationships/image" Target="media/image2.wmf"/><Relationship Id="rId14" Type="http://schemas.openxmlformats.org/officeDocument/2006/relationships/header" Target="header1.xml"/><Relationship Id="rId28" Type="http://schemas.openxmlformats.org/officeDocument/2006/relationships/hyperlink" Target="MDDS.dbml" TargetMode="External"/><Relationship Id="rId29" Type="http://schemas.openxmlformats.org/officeDocument/2006/relationships/hyperlink" Target="MDDS_UID01.dbml" TargetMode="External"/><Relationship Id="rId30" Type="http://schemas.openxmlformats.org/officeDocument/2006/relationships/hyperlink" Target="MDDS_UID02.dbml" TargetMode="External"/><Relationship Id="rId31" Type="http://schemas.openxmlformats.org/officeDocument/2006/relationships/hyperlink" Target="MDDS_UID03.dbml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MDDS.dbml" TargetMode="External"/><Relationship Id="rId29" Type="http://schemas.openxmlformats.org/officeDocument/2006/relationships/hyperlink" Target="MDDS_UID01.dbml" TargetMode="External"/><Relationship Id="rId30" Type="http://schemas.openxmlformats.org/officeDocument/2006/relationships/hyperlink" Target="MDDS_UID02.dbml" TargetMode="External"/><Relationship Id="rId31" Type="http://schemas.openxmlformats.org/officeDocument/2006/relationships/hyperlink" Target="MDDS_UID03.db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2026-05-11T03:32:59Z</dcterms:created>
  <dcterms:modified xsi:type="dcterms:W3CDTF">2026-05-11T03:32:59Z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