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Capstone Project: Christmas Season Sales Analysis</w:t>
      </w:r>
    </w:p>
    <w:p>
      <w:pPr>
        <w:spacing w:after="200"/>
      </w:pPr>
      <w:r>
        <w:rPr>
          <w:b/>
          <w:sz w:val="26"/>
        </w:rPr>
        <w:t>What caused the 2020–2021 decline in Christmas revenue and profit, and what the team should examine next</w:t>
      </w:r>
    </w:p>
    <w:p>
      <w:pPr>
        <w:spacing w:after="20"/>
      </w:pPr>
      <w:r>
        <w:rPr>
          <w:b/>
        </w:rPr>
        <w:t>Author:</w:t>
      </w:r>
      <w:r>
        <w:t xml:space="preserve"> Nguyen Khanh Linh</w:t>
      </w:r>
    </w:p>
    <w:p>
      <w:pPr>
        <w:spacing w:after="20"/>
      </w:pPr>
      <w:r>
        <w:rPr>
          <w:b/>
        </w:rPr>
        <w:t>Data source:</w:t>
      </w:r>
      <w:r>
        <w:t xml:space="preserve"> FP20 Analytics Challenge 12 (database </w:t>
      </w:r>
      <w:r>
        <w:rPr>
          <w:color w:val="1E7B34"/>
        </w:rPr>
        <w:t>fp20c12</w:t>
      </w:r>
      <w:r>
        <w:t xml:space="preserve">, table </w:t>
      </w:r>
      <w:r>
        <w:rPr>
          <w:color w:val="1E7B34"/>
        </w:rPr>
        <w:t>dbo.xmas_sales</w:t>
      </w:r>
      <w:r>
        <w:t>)</w:t>
      </w:r>
    </w:p>
    <w:p>
      <w:pPr>
        <w:spacing w:after="20"/>
      </w:pPr>
      <w:r>
        <w:rPr>
          <w:b/>
        </w:rPr>
        <w:t>Seasons compared:</w:t>
      </w:r>
      <w:r>
        <w:t xml:space="preserve"> 2019–2020 (baseline), 2020–2021 (decline), 2021–2022 (recovery)</w:t>
      </w:r>
    </w:p>
    <w:p>
      <w:pPr>
        <w:spacing w:after="20"/>
      </w:pPr>
      <w:r>
        <w:rPr>
          <w:b/>
        </w:rPr>
        <w:t>Tool:</w:t>
      </w:r>
      <w:r>
        <w:t xml:space="preserve"> Microsoft SQL Server (T-SQL)</w:t>
      </w:r>
    </w:p>
    <w:p>
      <w:pPr>
        <w:spacing w:after="20"/>
      </w:pPr>
      <w:r>
        <w:rPr>
          <w:b/>
        </w:rPr>
        <w:t>Source files:</w:t>
      </w:r>
      <w:r>
        <w:t xml:space="preserve"> </w:t>
      </w:r>
      <w:r>
        <w:rPr>
          <w:color w:val="1E7B34"/>
        </w:rPr>
        <w:t>xmas.sql</w:t>
      </w:r>
      <w:r>
        <w:t xml:space="preserve"> (all queries) and </w:t>
      </w:r>
      <w:r>
        <w:rPr>
          <w:color w:val="1E7B34"/>
        </w:rPr>
        <w:t>xmas_results.txt</w:t>
      </w:r>
      <w:r>
        <w:t xml:space="preserve"> (their output)</w:t>
      </w:r>
    </w:p>
    <w:p>
      <w:pPr>
        <w:pStyle w:val="Heading1"/>
      </w:pPr>
      <w:r>
        <w:t>Executive Summary</w:t>
      </w:r>
    </w:p>
    <w:p>
      <w:r>
        <w:t>Christmas-season revenue fell from $7.18M in 2019–2020 to $6.95M in 2020–2021, a drop of $227,000 (-3.2%). Profit fell by the same percentage (-$177,000), and the profit margin stayed at 76.9%.</w:t>
      </w:r>
    </w:p>
    <w:p>
      <w:r>
        <w:t>The number of sales records did not fall (+1.0%), and the price paid per item barely moved (-0.4%). What changed was the number of items in each sales record, which fell 3.7%. The loss was concentrated in adult customers (18 and over), whose revenue fell $353,000 (-15.2%) across all three sales channels, and in clothing and wearable tech. Growth in children's products offset part of it. Costs and product mix were tested and ruled out as causes of the profit decline.</w:t>
      </w:r>
    </w:p>
    <w:p>
      <w:r>
        <w:t>The 2021–2022 season recovered $135,000 of the lost revenue but ended 1.3% below the baseline. In-store sales recovered fully, while the Xmas Market and online channels both declined that season.</w:t>
      </w:r>
    </w:p>
    <w:p>
      <w:r>
        <w:t>The data shows what changed and where, but not why adults bought less. Section 07 lists the follow-up analyses that would answer that and the decision each one supports.</w:t>
      </w:r>
    </w:p>
    <w:p>
      <w:pPr>
        <w:keepNext/>
        <w:spacing w:before="120" w:after="60"/>
      </w:pPr>
      <w:r>
        <w:rPr>
          <w:b/>
          <w:sz w:val="19"/>
        </w:rPr>
        <w:t>Key figures, decline season compared with baseline</w:t>
      </w:r>
    </w:p>
    <w:tbl>
      <w:tblPr>
        <w:tblW w:type="dxa" w:w="9072"/>
        <w:jc w:val="center"/>
        <w:tblLayout w:type="fixed"/>
        <w:tblLook w:firstColumn="1" w:firstRow="1" w:lastColumn="0" w:lastRow="0" w:noHBand="0" w:noVBand="1" w:val="04A0"/>
        <w:tblCellMar>
          <w:top w:w="70" w:type="dxa"/>
          <w:left w:w="90" w:type="dxa"/>
          <w:bottom w:w="70" w:type="dxa"/>
          <w:right w:w="90" w:type="dxa"/>
        </w:tblCellMar>
        <w:tblLayout w:type="fixed"/>
      </w:tblPr>
      <w:tblGrid>
        <w:gridCol w:w="2811"/>
        <w:gridCol w:w="2300"/>
        <w:gridCol w:w="2300"/>
        <w:gridCol w:w="1661"/>
      </w:tblGrid>
      <w:tr>
        <w:trPr>
          <w:cantSplit/>
          <w:tblHeader/>
        </w:trPr>
        <w:tc>
          <w:tcPr>
            <w:tcW w:type="dxa" w:w="2811"/>
            <w:tcBorders>
              <w:top w:val="nil"/>
              <w:left w:val="nil"/>
              <w:right w:val="nil"/>
              <w:bottom w:val="single" w:sz="4" w:space="0" w:color="D9DEE5"/>
            </w:tcBorders>
            <w:shd w:val="clear" w:color="auto" w:fill="F1F4F8"/>
          </w:tcPr>
          <w:p>
            <w:pPr>
              <w:keepNext/>
              <w:spacing w:after="0" w:line="276" w:lineRule="auto"/>
              <w:jc w:val="left"/>
            </w:pPr>
            <w:r>
              <w:rPr>
                <w:b/>
                <w:sz w:val="19"/>
              </w:rPr>
              <w:t>Measure</w:t>
            </w:r>
          </w:p>
        </w:tc>
        <w:tc>
          <w:tcPr>
            <w:tcW w:type="dxa" w:w="2300"/>
            <w:tcBorders>
              <w:top w:val="nil"/>
              <w:left w:val="nil"/>
              <w:right w:val="nil"/>
              <w:bottom w:val="single" w:sz="4" w:space="0" w:color="D9DEE5"/>
            </w:tcBorders>
            <w:shd w:val="clear" w:color="auto" w:fill="F1F4F8"/>
          </w:tcPr>
          <w:p>
            <w:pPr>
              <w:keepNext/>
              <w:spacing w:after="0" w:line="276" w:lineRule="auto"/>
              <w:jc w:val="left"/>
            </w:pPr>
            <w:r>
              <w:rPr>
                <w:b/>
                <w:sz w:val="19"/>
              </w:rPr>
              <w:t>Baseline 2019–2020</w:t>
            </w:r>
          </w:p>
        </w:tc>
        <w:tc>
          <w:tcPr>
            <w:tcW w:type="dxa" w:w="2300"/>
            <w:tcBorders>
              <w:top w:val="nil"/>
              <w:left w:val="nil"/>
              <w:right w:val="nil"/>
              <w:bottom w:val="single" w:sz="4" w:space="0" w:color="D9DEE5"/>
            </w:tcBorders>
            <w:shd w:val="clear" w:color="auto" w:fill="F1F4F8"/>
          </w:tcPr>
          <w:p>
            <w:pPr>
              <w:keepNext/>
              <w:spacing w:after="0" w:line="276" w:lineRule="auto"/>
              <w:jc w:val="left"/>
            </w:pPr>
            <w:r>
              <w:rPr>
                <w:b/>
                <w:sz w:val="19"/>
              </w:rPr>
              <w:t>Decline 2020–2021</w:t>
            </w:r>
          </w:p>
        </w:tc>
        <w:tc>
          <w:tcPr>
            <w:tcW w:type="dxa" w:w="1661"/>
            <w:tcBorders>
              <w:top w:val="nil"/>
              <w:left w:val="nil"/>
              <w:right w:val="nil"/>
              <w:bottom w:val="single" w:sz="4" w:space="0" w:color="D9DEE5"/>
            </w:tcBorders>
            <w:shd w:val="clear" w:color="auto" w:fill="F1F4F8"/>
          </w:tcPr>
          <w:p>
            <w:pPr>
              <w:keepNext/>
              <w:spacing w:after="0" w:line="276" w:lineRule="auto"/>
              <w:jc w:val="left"/>
            </w:pPr>
            <w:r>
              <w:rPr>
                <w:b/>
                <w:sz w:val="19"/>
              </w:rPr>
              <w:t>Change</w:t>
            </w:r>
          </w:p>
        </w:tc>
      </w:tr>
      <w:tr>
        <w:trPr>
          <w:cantSplit/>
        </w:trPr>
        <w:tc>
          <w:tcPr>
            <w:tcW w:type="dxa" w:w="2811"/>
            <w:tcBorders>
              <w:top w:val="nil"/>
              <w:left w:val="nil"/>
              <w:right w:val="nil"/>
              <w:bottom w:val="single" w:sz="4" w:space="0" w:color="D9DEE5"/>
            </w:tcBorders>
          </w:tcPr>
          <w:p>
            <w:pPr>
              <w:keepNext/>
              <w:spacing w:after="0" w:line="276" w:lineRule="auto"/>
              <w:jc w:val="left"/>
            </w:pPr>
            <w:r>
              <w:rPr>
                <w:sz w:val="19"/>
              </w:rPr>
              <w:t>Revenue</w:t>
            </w:r>
          </w:p>
        </w:tc>
        <w:tc>
          <w:tcPr>
            <w:tcW w:type="dxa" w:w="2300"/>
            <w:tcBorders>
              <w:top w:val="nil"/>
              <w:left w:val="nil"/>
              <w:right w:val="nil"/>
              <w:bottom w:val="single" w:sz="4" w:space="0" w:color="D9DEE5"/>
            </w:tcBorders>
          </w:tcPr>
          <w:p>
            <w:pPr>
              <w:keepNext/>
              <w:spacing w:after="0" w:line="276" w:lineRule="auto"/>
              <w:jc w:val="left"/>
            </w:pPr>
            <w:r>
              <w:rPr>
                <w:sz w:val="19"/>
              </w:rPr>
              <w:t>$7.18M</w:t>
            </w:r>
          </w:p>
        </w:tc>
        <w:tc>
          <w:tcPr>
            <w:tcW w:type="dxa" w:w="2300"/>
            <w:tcBorders>
              <w:top w:val="nil"/>
              <w:left w:val="nil"/>
              <w:right w:val="nil"/>
              <w:bottom w:val="single" w:sz="4" w:space="0" w:color="D9DEE5"/>
            </w:tcBorders>
          </w:tcPr>
          <w:p>
            <w:pPr>
              <w:keepNext/>
              <w:spacing w:after="0" w:line="276" w:lineRule="auto"/>
              <w:jc w:val="left"/>
            </w:pPr>
            <w:r>
              <w:rPr>
                <w:sz w:val="19"/>
              </w:rPr>
              <w:t>$6.95M</w:t>
            </w:r>
          </w:p>
        </w:tc>
        <w:tc>
          <w:tcPr>
            <w:tcW w:type="dxa" w:w="1661"/>
            <w:tcBorders>
              <w:top w:val="nil"/>
              <w:left w:val="nil"/>
              <w:right w:val="nil"/>
              <w:bottom w:val="single" w:sz="4" w:space="0" w:color="D9DEE5"/>
            </w:tcBorders>
          </w:tcPr>
          <w:p>
            <w:pPr>
              <w:keepNext/>
              <w:spacing w:after="0" w:line="276" w:lineRule="auto"/>
              <w:jc w:val="left"/>
            </w:pPr>
            <w:r>
              <w:rPr>
                <w:sz w:val="19"/>
              </w:rPr>
              <w:t>-3.2%</w:t>
            </w:r>
          </w:p>
        </w:tc>
      </w:tr>
      <w:tr>
        <w:trPr>
          <w:cantSplit/>
        </w:trPr>
        <w:tc>
          <w:tcPr>
            <w:tcW w:type="dxa" w:w="2811"/>
            <w:tcBorders>
              <w:top w:val="nil"/>
              <w:left w:val="nil"/>
              <w:right w:val="nil"/>
              <w:bottom w:val="single" w:sz="4" w:space="0" w:color="D9DEE5"/>
            </w:tcBorders>
          </w:tcPr>
          <w:p>
            <w:pPr>
              <w:keepNext/>
              <w:spacing w:after="0" w:line="276" w:lineRule="auto"/>
              <w:jc w:val="left"/>
            </w:pPr>
            <w:r>
              <w:rPr>
                <w:sz w:val="19"/>
              </w:rPr>
              <w:t>Profit</w:t>
            </w:r>
          </w:p>
        </w:tc>
        <w:tc>
          <w:tcPr>
            <w:tcW w:type="dxa" w:w="2300"/>
            <w:tcBorders>
              <w:top w:val="nil"/>
              <w:left w:val="nil"/>
              <w:right w:val="nil"/>
              <w:bottom w:val="single" w:sz="4" w:space="0" w:color="D9DEE5"/>
            </w:tcBorders>
          </w:tcPr>
          <w:p>
            <w:pPr>
              <w:keepNext/>
              <w:spacing w:after="0" w:line="276" w:lineRule="auto"/>
              <w:jc w:val="left"/>
            </w:pPr>
            <w:r>
              <w:rPr>
                <w:sz w:val="19"/>
              </w:rPr>
              <w:t>$5.52M</w:t>
            </w:r>
          </w:p>
        </w:tc>
        <w:tc>
          <w:tcPr>
            <w:tcW w:type="dxa" w:w="2300"/>
            <w:tcBorders>
              <w:top w:val="nil"/>
              <w:left w:val="nil"/>
              <w:right w:val="nil"/>
              <w:bottom w:val="single" w:sz="4" w:space="0" w:color="D9DEE5"/>
            </w:tcBorders>
          </w:tcPr>
          <w:p>
            <w:pPr>
              <w:keepNext/>
              <w:spacing w:after="0" w:line="276" w:lineRule="auto"/>
              <w:jc w:val="left"/>
            </w:pPr>
            <w:r>
              <w:rPr>
                <w:sz w:val="19"/>
              </w:rPr>
              <w:t>$5.35M</w:t>
            </w:r>
          </w:p>
        </w:tc>
        <w:tc>
          <w:tcPr>
            <w:tcW w:type="dxa" w:w="1661"/>
            <w:tcBorders>
              <w:top w:val="nil"/>
              <w:left w:val="nil"/>
              <w:right w:val="nil"/>
              <w:bottom w:val="single" w:sz="4" w:space="0" w:color="D9DEE5"/>
            </w:tcBorders>
          </w:tcPr>
          <w:p>
            <w:pPr>
              <w:keepNext/>
              <w:spacing w:after="0" w:line="276" w:lineRule="auto"/>
              <w:jc w:val="left"/>
            </w:pPr>
            <w:r>
              <w:rPr>
                <w:sz w:val="19"/>
              </w:rPr>
              <w:t>-3.2%</w:t>
            </w:r>
          </w:p>
        </w:tc>
      </w:tr>
      <w:tr>
        <w:trPr>
          <w:cantSplit/>
        </w:trPr>
        <w:tc>
          <w:tcPr>
            <w:tcW w:type="dxa" w:w="2811"/>
            <w:tcBorders>
              <w:top w:val="nil"/>
              <w:left w:val="nil"/>
              <w:right w:val="nil"/>
              <w:bottom w:val="single" w:sz="4" w:space="0" w:color="D9DEE5"/>
            </w:tcBorders>
          </w:tcPr>
          <w:p>
            <w:pPr>
              <w:keepNext/>
              <w:spacing w:after="0" w:line="276" w:lineRule="auto"/>
              <w:jc w:val="left"/>
            </w:pPr>
            <w:r>
              <w:rPr>
                <w:sz w:val="19"/>
              </w:rPr>
              <w:t>Profit margin</w:t>
            </w:r>
          </w:p>
        </w:tc>
        <w:tc>
          <w:tcPr>
            <w:tcW w:type="dxa" w:w="2300"/>
            <w:tcBorders>
              <w:top w:val="nil"/>
              <w:left w:val="nil"/>
              <w:right w:val="nil"/>
              <w:bottom w:val="single" w:sz="4" w:space="0" w:color="D9DEE5"/>
            </w:tcBorders>
          </w:tcPr>
          <w:p>
            <w:pPr>
              <w:keepNext/>
              <w:spacing w:after="0" w:line="276" w:lineRule="auto"/>
              <w:jc w:val="left"/>
            </w:pPr>
            <w:r>
              <w:rPr>
                <w:sz w:val="19"/>
              </w:rPr>
              <w:t>76.93%</w:t>
            </w:r>
          </w:p>
        </w:tc>
        <w:tc>
          <w:tcPr>
            <w:tcW w:type="dxa" w:w="2300"/>
            <w:tcBorders>
              <w:top w:val="nil"/>
              <w:left w:val="nil"/>
              <w:right w:val="nil"/>
              <w:bottom w:val="single" w:sz="4" w:space="0" w:color="D9DEE5"/>
            </w:tcBorders>
          </w:tcPr>
          <w:p>
            <w:pPr>
              <w:keepNext/>
              <w:spacing w:after="0" w:line="276" w:lineRule="auto"/>
              <w:jc w:val="left"/>
            </w:pPr>
            <w:r>
              <w:rPr>
                <w:sz w:val="19"/>
              </w:rPr>
              <w:t>76.89%</w:t>
            </w:r>
          </w:p>
        </w:tc>
        <w:tc>
          <w:tcPr>
            <w:tcW w:type="dxa" w:w="1661"/>
            <w:tcBorders>
              <w:top w:val="nil"/>
              <w:left w:val="nil"/>
              <w:right w:val="nil"/>
              <w:bottom w:val="single" w:sz="4" w:space="0" w:color="D9DEE5"/>
            </w:tcBorders>
          </w:tcPr>
          <w:p>
            <w:pPr>
              <w:keepNext/>
              <w:spacing w:after="0" w:line="276" w:lineRule="auto"/>
              <w:jc w:val="left"/>
            </w:pPr>
            <w:r>
              <w:rPr>
                <w:sz w:val="19"/>
              </w:rPr>
              <w:t>-0.04 points</w:t>
            </w:r>
          </w:p>
        </w:tc>
      </w:tr>
      <w:tr>
        <w:trPr>
          <w:cantSplit/>
        </w:trPr>
        <w:tc>
          <w:tcPr>
            <w:tcW w:type="dxa" w:w="2811"/>
            <w:tcBorders>
              <w:top w:val="nil"/>
              <w:left w:val="nil"/>
              <w:right w:val="nil"/>
              <w:bottom w:val="single" w:sz="4" w:space="0" w:color="D9DEE5"/>
            </w:tcBorders>
          </w:tcPr>
          <w:p>
            <w:pPr>
              <w:keepNext/>
              <w:spacing w:after="0" w:line="276" w:lineRule="auto"/>
              <w:jc w:val="left"/>
            </w:pPr>
            <w:r>
              <w:rPr>
                <w:sz w:val="19"/>
              </w:rPr>
              <w:t>Sales records</w:t>
            </w:r>
          </w:p>
        </w:tc>
        <w:tc>
          <w:tcPr>
            <w:tcW w:type="dxa" w:w="2300"/>
            <w:tcBorders>
              <w:top w:val="nil"/>
              <w:left w:val="nil"/>
              <w:right w:val="nil"/>
              <w:bottom w:val="single" w:sz="4" w:space="0" w:color="D9DEE5"/>
            </w:tcBorders>
          </w:tcPr>
          <w:p>
            <w:pPr>
              <w:keepNext/>
              <w:spacing w:after="0" w:line="276" w:lineRule="auto"/>
              <w:jc w:val="left"/>
            </w:pPr>
            <w:r>
              <w:rPr>
                <w:sz w:val="19"/>
              </w:rPr>
              <w:t>9,924</w:t>
            </w:r>
          </w:p>
        </w:tc>
        <w:tc>
          <w:tcPr>
            <w:tcW w:type="dxa" w:w="2300"/>
            <w:tcBorders>
              <w:top w:val="nil"/>
              <w:left w:val="nil"/>
              <w:right w:val="nil"/>
              <w:bottom w:val="single" w:sz="4" w:space="0" w:color="D9DEE5"/>
            </w:tcBorders>
          </w:tcPr>
          <w:p>
            <w:pPr>
              <w:keepNext/>
              <w:spacing w:after="0" w:line="276" w:lineRule="auto"/>
              <w:jc w:val="left"/>
            </w:pPr>
            <w:r>
              <w:rPr>
                <w:sz w:val="19"/>
              </w:rPr>
              <w:t>10,023</w:t>
            </w:r>
          </w:p>
        </w:tc>
        <w:tc>
          <w:tcPr>
            <w:tcW w:type="dxa" w:w="1661"/>
            <w:tcBorders>
              <w:top w:val="nil"/>
              <w:left w:val="nil"/>
              <w:right w:val="nil"/>
              <w:bottom w:val="single" w:sz="4" w:space="0" w:color="D9DEE5"/>
            </w:tcBorders>
          </w:tcPr>
          <w:p>
            <w:pPr>
              <w:keepNext/>
              <w:spacing w:after="0" w:line="276" w:lineRule="auto"/>
              <w:jc w:val="left"/>
            </w:pPr>
            <w:r>
              <w:rPr>
                <w:sz w:val="19"/>
              </w:rPr>
              <w:t>+1.0%</w:t>
            </w:r>
          </w:p>
        </w:tc>
      </w:tr>
      <w:tr>
        <w:trPr>
          <w:cantSplit/>
        </w:trPr>
        <w:tc>
          <w:tcPr>
            <w:tcW w:type="dxa" w:w="2811"/>
            <w:tcBorders>
              <w:top w:val="nil"/>
              <w:left w:val="nil"/>
              <w:right w:val="nil"/>
              <w:bottom w:val="single" w:sz="4" w:space="0" w:color="D9DEE5"/>
            </w:tcBorders>
          </w:tcPr>
          <w:p>
            <w:pPr>
              <w:keepNext/>
              <w:spacing w:after="0" w:line="276" w:lineRule="auto"/>
              <w:jc w:val="left"/>
            </w:pPr>
            <w:r>
              <w:rPr>
                <w:sz w:val="19"/>
              </w:rPr>
              <w:t>Average value per record</w:t>
            </w:r>
          </w:p>
        </w:tc>
        <w:tc>
          <w:tcPr>
            <w:tcW w:type="dxa" w:w="2300"/>
            <w:tcBorders>
              <w:top w:val="nil"/>
              <w:left w:val="nil"/>
              <w:right w:val="nil"/>
              <w:bottom w:val="single" w:sz="4" w:space="0" w:color="D9DEE5"/>
            </w:tcBorders>
          </w:tcPr>
          <w:p>
            <w:pPr>
              <w:keepNext/>
              <w:spacing w:after="0" w:line="276" w:lineRule="auto"/>
              <w:jc w:val="left"/>
            </w:pPr>
            <w:r>
              <w:rPr>
                <w:sz w:val="19"/>
              </w:rPr>
              <w:t>$723.41</w:t>
            </w:r>
          </w:p>
        </w:tc>
        <w:tc>
          <w:tcPr>
            <w:tcW w:type="dxa" w:w="2300"/>
            <w:tcBorders>
              <w:top w:val="nil"/>
              <w:left w:val="nil"/>
              <w:right w:val="nil"/>
              <w:bottom w:val="single" w:sz="4" w:space="0" w:color="D9DEE5"/>
            </w:tcBorders>
          </w:tcPr>
          <w:p>
            <w:pPr>
              <w:keepNext/>
              <w:spacing w:after="0" w:line="276" w:lineRule="auto"/>
              <w:jc w:val="left"/>
            </w:pPr>
            <w:r>
              <w:rPr>
                <w:sz w:val="19"/>
              </w:rPr>
              <w:t>$693.62</w:t>
            </w:r>
          </w:p>
        </w:tc>
        <w:tc>
          <w:tcPr>
            <w:tcW w:type="dxa" w:w="1661"/>
            <w:tcBorders>
              <w:top w:val="nil"/>
              <w:left w:val="nil"/>
              <w:right w:val="nil"/>
              <w:bottom w:val="single" w:sz="4" w:space="0" w:color="D9DEE5"/>
            </w:tcBorders>
          </w:tcPr>
          <w:p>
            <w:pPr>
              <w:keepNext/>
              <w:spacing w:after="0" w:line="276" w:lineRule="auto"/>
              <w:jc w:val="left"/>
            </w:pPr>
            <w:r>
              <w:rPr>
                <w:sz w:val="19"/>
              </w:rPr>
              <w:t>-4.1%</w:t>
            </w:r>
          </w:p>
        </w:tc>
      </w:tr>
      <w:tr>
        <w:trPr>
          <w:cantSplit/>
        </w:trPr>
        <w:tc>
          <w:tcPr>
            <w:tcW w:type="dxa" w:w="2811"/>
            <w:tcBorders>
              <w:top w:val="nil"/>
              <w:left w:val="nil"/>
              <w:right w:val="nil"/>
              <w:bottom w:val="single" w:sz="4" w:space="0" w:color="D9DEE5"/>
            </w:tcBorders>
          </w:tcPr>
          <w:p>
            <w:pPr>
              <w:spacing w:after="0" w:line="276" w:lineRule="auto"/>
              <w:jc w:val="left"/>
            </w:pPr>
            <w:r>
              <w:rPr>
                <w:sz w:val="19"/>
              </w:rPr>
              <w:t>Units per record</w:t>
            </w:r>
          </w:p>
        </w:tc>
        <w:tc>
          <w:tcPr>
            <w:tcW w:type="dxa" w:w="2300"/>
            <w:tcBorders>
              <w:top w:val="nil"/>
              <w:left w:val="nil"/>
              <w:right w:val="nil"/>
              <w:bottom w:val="single" w:sz="4" w:space="0" w:color="D9DEE5"/>
            </w:tcBorders>
          </w:tcPr>
          <w:p>
            <w:pPr>
              <w:spacing w:after="0" w:line="276" w:lineRule="auto"/>
              <w:jc w:val="left"/>
            </w:pPr>
            <w:r>
              <w:rPr>
                <w:sz w:val="19"/>
              </w:rPr>
              <w:t>4.30</w:t>
            </w:r>
          </w:p>
        </w:tc>
        <w:tc>
          <w:tcPr>
            <w:tcW w:type="dxa" w:w="2300"/>
            <w:tcBorders>
              <w:top w:val="nil"/>
              <w:left w:val="nil"/>
              <w:right w:val="nil"/>
              <w:bottom w:val="single" w:sz="4" w:space="0" w:color="D9DEE5"/>
            </w:tcBorders>
          </w:tcPr>
          <w:p>
            <w:pPr>
              <w:spacing w:after="0" w:line="276" w:lineRule="auto"/>
              <w:jc w:val="left"/>
            </w:pPr>
            <w:r>
              <w:rPr>
                <w:sz w:val="19"/>
              </w:rPr>
              <w:t>4.14</w:t>
            </w:r>
          </w:p>
        </w:tc>
        <w:tc>
          <w:tcPr>
            <w:tcW w:type="dxa" w:w="1661"/>
            <w:tcBorders>
              <w:top w:val="nil"/>
              <w:left w:val="nil"/>
              <w:right w:val="nil"/>
              <w:bottom w:val="single" w:sz="4" w:space="0" w:color="D9DEE5"/>
            </w:tcBorders>
          </w:tcPr>
          <w:p>
            <w:pPr>
              <w:spacing w:after="0" w:line="276" w:lineRule="auto"/>
              <w:jc w:val="left"/>
            </w:pPr>
            <w:r>
              <w:rPr>
                <w:sz w:val="19"/>
              </w:rPr>
              <w:t>-3.7%</w:t>
            </w:r>
          </w:p>
        </w:tc>
      </w:tr>
    </w:tbl>
    <w:p>
      <w:pPr>
        <w:spacing w:after="80" w:line="144" w:lineRule="auto"/>
      </w:pPr>
    </w:p>
    <w:p>
      <w:pPr>
        <w:pStyle w:val="Heading1"/>
      </w:pPr>
      <w:r>
        <w:t>01. Background and Objective</w:t>
      </w:r>
    </w:p>
    <w:p>
      <w:r>
        <w:t>The dataset records Christmas-season sales (November, December and January) for a supermarket operating in ten European countries. A first look at revenue by season shows steady growth until 2020–2021, when revenue and profit both fell.</w:t>
      </w:r>
    </w:p>
    <w:p>
      <w:r>
        <w:t>This report has three objectives:</w:t>
      </w:r>
    </w:p>
    <w:p>
      <w:pPr>
        <w:pStyle w:val="ListBullet"/>
      </w:pPr>
      <w:r>
        <w:t>Identify what kind of change caused the decline, and which customers, channels, products and places it came from.</w:t>
      </w:r>
    </w:p>
    <w:p>
      <w:pPr>
        <w:pStyle w:val="ListBullet"/>
      </w:pPr>
      <w:r>
        <w:t>Establish whether profit fell for the same reason as revenue or for a separate one.</w:t>
      </w:r>
    </w:p>
    <w:p>
      <w:pPr>
        <w:pStyle w:val="ListBullet"/>
      </w:pPr>
      <w:r>
        <w:t>Recommend the follow-up analyses the team should run before deciding how to respond.</w:t>
      </w:r>
    </w:p>
    <w:p>
      <w:pPr>
        <w:pStyle w:val="Heading1"/>
      </w:pPr>
      <w:r>
        <w:t>02. Data and Technical Approach</w:t>
      </w:r>
    </w:p>
    <w:p>
      <w:pPr>
        <w:pStyle w:val="Heading2"/>
      </w:pPr>
      <w:r>
        <w:t>The dataset</w:t>
      </w:r>
    </w:p>
    <w:p>
      <w:pPr>
        <w:pStyle w:val="ListBullet"/>
      </w:pPr>
      <w:r>
        <w:rPr>
          <w:b/>
        </w:rPr>
        <w:t>Size:</w:t>
      </w:r>
      <w:r>
        <w:t xml:space="preserve"> 41,163 rows and 19 columns, dated 1 January 2018 to 28 January 2022. All rows fall in November, December or January.</w:t>
      </w:r>
    </w:p>
    <w:p>
      <w:pPr>
        <w:pStyle w:val="ListBullet"/>
      </w:pPr>
      <w:r>
        <w:rPr>
          <w:b/>
        </w:rPr>
        <w:t>Contents:</w:t>
      </w:r>
      <w:r>
        <w:t xml:space="preserve"> each row holds a date and time, the customer's age range and gender, country and city, sales channel, payment method, product, quantity, unit price, cost, total sales and profit.</w:t>
      </w:r>
    </w:p>
    <w:p>
      <w:pPr>
        <w:pStyle w:val="ListBullet"/>
      </w:pPr>
      <w:r>
        <w:rPr>
          <w:b/>
        </w:rPr>
        <w:t>Coverage:</w:t>
      </w:r>
      <w:r>
        <w:t xml:space="preserve"> 10 countries, 36 cities, 3 channels (in-store, Xmas Market, online), 3 age groups, 5 payment methods, 13 product categories and 18 products.</w:t>
      </w:r>
    </w:p>
    <w:p>
      <w:pPr>
        <w:pStyle w:val="ListBullet"/>
      </w:pPr>
      <w:r>
        <w:rPr>
          <w:b/>
        </w:rPr>
        <w:t>What one row means:</w:t>
      </w:r>
      <w:r>
        <w:t xml:space="preserve"> the table has no order ID. A row is one product line (one customer buying some quantity of one product), so the report counts "sales records", not transactions or customers.</w:t>
      </w:r>
    </w:p>
    <w:p>
      <w:pPr>
        <w:pStyle w:val="ListBullet"/>
      </w:pPr>
      <w:r>
        <w:rPr>
          <w:b/>
        </w:rPr>
        <w:t>Rows analysed:</w:t>
      </w:r>
      <w:r>
        <w:t xml:space="preserve"> January 2018 is excluded because its season has no November or December data. That leaves four complete seasons (39,957 rows), of which the three compared seasons hold 29,981.</w:t>
      </w:r>
    </w:p>
    <w:p>
      <w:pPr>
        <w:pStyle w:val="Heading2"/>
      </w:pPr>
      <w:r>
        <w:t>SQL techniques used</w:t>
      </w:r>
    </w:p>
    <w:p>
      <w:pPr>
        <w:keepNext/>
      </w:pPr>
      <w:r>
        <w:t>The script is written in T-SQL. Preparation logic is written once in two views, and every analytical query is built from them using the techniques below.</w:t>
      </w:r>
    </w:p>
    <w:tbl>
      <w:tblPr>
        <w:tblW w:type="dxa" w:w="9072"/>
        <w:jc w:val="center"/>
        <w:tblLayout w:type="fixed"/>
        <w:tblLook w:firstColumn="1" w:firstRow="1" w:lastColumn="0" w:lastRow="0" w:noHBand="0" w:noVBand="1" w:val="04A0"/>
        <w:tblCellMar>
          <w:top w:w="70" w:type="dxa"/>
          <w:left w:w="90" w:type="dxa"/>
          <w:bottom w:w="70" w:type="dxa"/>
          <w:right w:w="90" w:type="dxa"/>
        </w:tblCellMar>
        <w:tblLayout w:type="fixed"/>
      </w:tblPr>
      <w:tblGrid>
        <w:gridCol w:w="3700"/>
        <w:gridCol w:w="1790"/>
        <w:gridCol w:w="3581"/>
      </w:tblGrid>
      <w:tr>
        <w:trPr>
          <w:cantSplit/>
          <w:tblHeader/>
        </w:trPr>
        <w:tc>
          <w:tcPr>
            <w:tcW w:type="dxa" w:w="3700"/>
            <w:tcBorders>
              <w:top w:val="nil"/>
              <w:left w:val="nil"/>
              <w:right w:val="nil"/>
              <w:bottom w:val="single" w:sz="4" w:space="0" w:color="D9DEE5"/>
            </w:tcBorders>
            <w:shd w:val="clear" w:color="auto" w:fill="F1F4F8"/>
          </w:tcPr>
          <w:p>
            <w:pPr>
              <w:spacing w:after="0" w:line="276" w:lineRule="auto"/>
              <w:jc w:val="left"/>
            </w:pPr>
            <w:r>
              <w:rPr>
                <w:b/>
                <w:sz w:val="18"/>
              </w:rPr>
              <w:t>Technique</w:t>
            </w:r>
          </w:p>
        </w:tc>
        <w:tc>
          <w:tcPr>
            <w:tcW w:type="dxa" w:w="1790"/>
            <w:tcBorders>
              <w:top w:val="nil"/>
              <w:left w:val="nil"/>
              <w:right w:val="nil"/>
              <w:bottom w:val="single" w:sz="4" w:space="0" w:color="D9DEE5"/>
            </w:tcBorders>
            <w:shd w:val="clear" w:color="auto" w:fill="F1F4F8"/>
          </w:tcPr>
          <w:p>
            <w:pPr>
              <w:spacing w:after="0" w:line="276" w:lineRule="auto"/>
              <w:jc w:val="left"/>
            </w:pPr>
            <w:r>
              <w:rPr>
                <w:b/>
                <w:sz w:val="18"/>
              </w:rPr>
              <w:t>Where it is used</w:t>
            </w:r>
          </w:p>
        </w:tc>
        <w:tc>
          <w:tcPr>
            <w:tcW w:type="dxa" w:w="3581"/>
            <w:tcBorders>
              <w:top w:val="nil"/>
              <w:left w:val="nil"/>
              <w:right w:val="nil"/>
              <w:bottom w:val="single" w:sz="4" w:space="0" w:color="D9DEE5"/>
            </w:tcBorders>
            <w:shd w:val="clear" w:color="auto" w:fill="F1F4F8"/>
          </w:tcPr>
          <w:p>
            <w:pPr>
              <w:spacing w:after="0" w:line="276" w:lineRule="auto"/>
              <w:jc w:val="left"/>
            </w:pPr>
            <w:r>
              <w:rPr>
                <w:b/>
                <w:sz w:val="18"/>
              </w:rPr>
              <w:t>Purpose</w:t>
            </w:r>
          </w:p>
        </w:tc>
      </w:tr>
      <w:tr>
        <w:trPr>
          <w:cantSplit/>
        </w:trPr>
        <w:tc>
          <w:tcPr>
            <w:tcW w:type="dxa" w:w="3700"/>
            <w:tcBorders>
              <w:top w:val="nil"/>
              <w:left w:val="nil"/>
              <w:right w:val="nil"/>
              <w:bottom w:val="single" w:sz="4" w:space="0" w:color="D9DEE5"/>
            </w:tcBorders>
          </w:tcPr>
          <w:p>
            <w:pPr>
              <w:spacing w:after="0" w:line="276" w:lineRule="auto"/>
              <w:jc w:val="left"/>
            </w:pPr>
            <w:r>
              <w:rPr>
                <w:sz w:val="18"/>
              </w:rPr>
              <w:t>Views (</w:t>
            </w:r>
            <w:r>
              <w:rPr>
                <w:color w:val="1E7B34"/>
                <w:sz w:val="18"/>
              </w:rPr>
              <w:t>CREATE OR ALTER VIEW</w:t>
            </w:r>
            <w:r>
              <w:rPr>
                <w:sz w:val="18"/>
              </w:rPr>
              <w:t xml:space="preserve">, batches separated by </w:t>
            </w:r>
            <w:r>
              <w:rPr>
                <w:color w:val="1E7B34"/>
                <w:sz w:val="18"/>
              </w:rPr>
              <w:t>GO</w:t>
            </w:r>
            <w:r>
              <w:rPr>
                <w:sz w:val="18"/>
              </w:rPr>
              <w:t>)</w:t>
            </w:r>
          </w:p>
        </w:tc>
        <w:tc>
          <w:tcPr>
            <w:tcW w:type="dxa" w:w="1790"/>
            <w:tcBorders>
              <w:top w:val="nil"/>
              <w:left w:val="nil"/>
              <w:right w:val="nil"/>
              <w:bottom w:val="single" w:sz="4" w:space="0" w:color="D9DEE5"/>
            </w:tcBorders>
          </w:tcPr>
          <w:p>
            <w:pPr>
              <w:spacing w:after="0" w:line="276" w:lineRule="auto"/>
              <w:jc w:val="left"/>
            </w:pPr>
            <w:r>
              <w:rPr>
                <w:sz w:val="18"/>
              </w:rPr>
              <w:t>Section 0.5</w:t>
            </w:r>
          </w:p>
        </w:tc>
        <w:tc>
          <w:tcPr>
            <w:tcW w:type="dxa" w:w="3581"/>
            <w:tcBorders>
              <w:top w:val="nil"/>
              <w:left w:val="nil"/>
              <w:right w:val="nil"/>
              <w:bottom w:val="single" w:sz="4" w:space="0" w:color="D9DEE5"/>
            </w:tcBorders>
          </w:tcPr>
          <w:p>
            <w:pPr>
              <w:spacing w:after="0" w:line="276" w:lineRule="auto"/>
              <w:jc w:val="left"/>
            </w:pPr>
            <w:r>
              <w:rPr>
                <w:sz w:val="18"/>
              </w:rPr>
              <w:t>Clean and label the data once, so all queries share the same definition of a season</w:t>
            </w:r>
          </w:p>
        </w:tc>
      </w:tr>
      <w:tr>
        <w:trPr>
          <w:cantSplit/>
        </w:trPr>
        <w:tc>
          <w:tcPr>
            <w:tcW w:type="dxa" w:w="3700"/>
            <w:tcBorders>
              <w:top w:val="nil"/>
              <w:left w:val="nil"/>
              <w:right w:val="nil"/>
              <w:bottom w:val="single" w:sz="4" w:space="0" w:color="D9DEE5"/>
            </w:tcBorders>
          </w:tcPr>
          <w:p>
            <w:pPr>
              <w:spacing w:after="0" w:line="276" w:lineRule="auto"/>
              <w:jc w:val="left"/>
            </w:pPr>
            <w:r>
              <w:rPr>
                <w:sz w:val="18"/>
              </w:rPr>
              <w:t>Common table expressions (</w:t>
            </w:r>
            <w:r>
              <w:rPr>
                <w:color w:val="1E7B34"/>
                <w:sz w:val="18"/>
              </w:rPr>
              <w:t>WITH ... AS</w:t>
            </w:r>
            <w:r>
              <w:rPr>
                <w:sz w:val="18"/>
              </w:rPr>
              <w:t>), chained</w:t>
            </w:r>
          </w:p>
        </w:tc>
        <w:tc>
          <w:tcPr>
            <w:tcW w:type="dxa" w:w="1790"/>
            <w:tcBorders>
              <w:top w:val="nil"/>
              <w:left w:val="nil"/>
              <w:right w:val="nil"/>
              <w:bottom w:val="single" w:sz="4" w:space="0" w:color="D9DEE5"/>
            </w:tcBorders>
          </w:tcPr>
          <w:p>
            <w:pPr>
              <w:spacing w:after="0" w:line="276" w:lineRule="auto"/>
              <w:jc w:val="left"/>
            </w:pPr>
            <w:r>
              <w:rPr>
                <w:sz w:val="18"/>
              </w:rPr>
              <w:t>Every query</w:t>
            </w:r>
          </w:p>
        </w:tc>
        <w:tc>
          <w:tcPr>
            <w:tcW w:type="dxa" w:w="3581"/>
            <w:tcBorders>
              <w:top w:val="nil"/>
              <w:left w:val="nil"/>
              <w:right w:val="nil"/>
              <w:bottom w:val="single" w:sz="4" w:space="0" w:color="D9DEE5"/>
            </w:tcBorders>
          </w:tcPr>
          <w:p>
            <w:pPr>
              <w:spacing w:after="0" w:line="276" w:lineRule="auto"/>
              <w:jc w:val="left"/>
            </w:pPr>
            <w:r>
              <w:rPr>
                <w:sz w:val="18"/>
              </w:rPr>
              <w:t>Split a query into named steps: total, derive averages, then compare</w:t>
            </w:r>
          </w:p>
        </w:tc>
      </w:tr>
      <w:tr>
        <w:trPr>
          <w:cantSplit/>
        </w:trPr>
        <w:tc>
          <w:tcPr>
            <w:tcW w:type="dxa" w:w="3700"/>
            <w:tcBorders>
              <w:top w:val="nil"/>
              <w:left w:val="nil"/>
              <w:right w:val="nil"/>
              <w:bottom w:val="single" w:sz="4" w:space="0" w:color="D9DEE5"/>
            </w:tcBorders>
          </w:tcPr>
          <w:p>
            <w:pPr>
              <w:spacing w:after="0" w:line="276" w:lineRule="auto"/>
              <w:jc w:val="left"/>
            </w:pPr>
            <w:r>
              <w:rPr>
                <w:sz w:val="18"/>
              </w:rPr>
              <w:t>Aggregation (</w:t>
            </w:r>
            <w:r>
              <w:rPr>
                <w:color w:val="1E7B34"/>
                <w:sz w:val="18"/>
              </w:rPr>
              <w:t>GROUP BY</w:t>
            </w:r>
            <w:r>
              <w:rPr>
                <w:sz w:val="18"/>
              </w:rPr>
              <w:t xml:space="preserve">, </w:t>
            </w:r>
            <w:r>
              <w:rPr>
                <w:color w:val="1E7B34"/>
                <w:sz w:val="18"/>
              </w:rPr>
              <w:t>SUM</w:t>
            </w:r>
            <w:r>
              <w:rPr>
                <w:sz w:val="18"/>
              </w:rPr>
              <w:t xml:space="preserve">, </w:t>
            </w:r>
            <w:r>
              <w:rPr>
                <w:color w:val="1E7B34"/>
                <w:sz w:val="18"/>
              </w:rPr>
              <w:t>COUNT</w:t>
            </w:r>
            <w:r>
              <w:rPr>
                <w:sz w:val="18"/>
              </w:rPr>
              <w:t xml:space="preserve">, </w:t>
            </w:r>
            <w:r>
              <w:rPr>
                <w:color w:val="1E7B34"/>
                <w:sz w:val="18"/>
              </w:rPr>
              <w:t>AVG</w:t>
            </w:r>
            <w:r>
              <w:rPr>
                <w:sz w:val="18"/>
              </w:rPr>
              <w:t xml:space="preserve">, </w:t>
            </w:r>
            <w:r>
              <w:rPr>
                <w:color w:val="1E7B34"/>
                <w:sz w:val="18"/>
              </w:rPr>
              <w:t>HAVING</w:t>
            </w:r>
            <w:r>
              <w:rPr>
                <w:sz w:val="18"/>
              </w:rPr>
              <w:t>)</w:t>
            </w:r>
          </w:p>
        </w:tc>
        <w:tc>
          <w:tcPr>
            <w:tcW w:type="dxa" w:w="1790"/>
            <w:tcBorders>
              <w:top w:val="nil"/>
              <w:left w:val="nil"/>
              <w:right w:val="nil"/>
              <w:bottom w:val="single" w:sz="4" w:space="0" w:color="D9DEE5"/>
            </w:tcBorders>
          </w:tcPr>
          <w:p>
            <w:pPr>
              <w:spacing w:after="0" w:line="276" w:lineRule="auto"/>
              <w:jc w:val="left"/>
            </w:pPr>
            <w:r>
              <w:rPr>
                <w:sz w:val="18"/>
              </w:rPr>
              <w:t>Throughout</w:t>
            </w:r>
          </w:p>
        </w:tc>
        <w:tc>
          <w:tcPr>
            <w:tcW w:type="dxa" w:w="3581"/>
            <w:tcBorders>
              <w:top w:val="nil"/>
              <w:left w:val="nil"/>
              <w:right w:val="nil"/>
              <w:bottom w:val="single" w:sz="4" w:space="0" w:color="D9DEE5"/>
            </w:tcBorders>
          </w:tcPr>
          <w:p>
            <w:pPr>
              <w:spacing w:after="0" w:line="276" w:lineRule="auto"/>
              <w:jc w:val="left"/>
            </w:pPr>
            <w:r>
              <w:rPr>
                <w:sz w:val="18"/>
              </w:rPr>
              <w:t xml:space="preserve">Totals per season and segment; </w:t>
            </w:r>
            <w:r>
              <w:rPr>
                <w:color w:val="1E7B34"/>
                <w:sz w:val="18"/>
              </w:rPr>
              <w:t>HAVING</w:t>
            </w:r>
            <w:r>
              <w:rPr>
                <w:sz w:val="18"/>
              </w:rPr>
              <w:t xml:space="preserve"> finds duplicates and tests month coverage</w:t>
            </w:r>
          </w:p>
        </w:tc>
      </w:tr>
      <w:tr>
        <w:trPr>
          <w:cantSplit/>
        </w:trPr>
        <w:tc>
          <w:tcPr>
            <w:tcW w:type="dxa" w:w="3700"/>
            <w:tcBorders>
              <w:top w:val="nil"/>
              <w:left w:val="nil"/>
              <w:right w:val="nil"/>
              <w:bottom w:val="single" w:sz="4" w:space="0" w:color="D9DEE5"/>
            </w:tcBorders>
          </w:tcPr>
          <w:p>
            <w:pPr>
              <w:spacing w:after="0" w:line="276" w:lineRule="auto"/>
              <w:jc w:val="left"/>
            </w:pPr>
            <w:r>
              <w:rPr>
                <w:sz w:val="18"/>
              </w:rPr>
              <w:t>Self-join on the previous season</w:t>
            </w:r>
          </w:p>
        </w:tc>
        <w:tc>
          <w:tcPr>
            <w:tcW w:type="dxa" w:w="1790"/>
            <w:tcBorders>
              <w:top w:val="nil"/>
              <w:left w:val="nil"/>
              <w:right w:val="nil"/>
              <w:bottom w:val="single" w:sz="4" w:space="0" w:color="D9DEE5"/>
            </w:tcBorders>
          </w:tcPr>
          <w:p>
            <w:pPr>
              <w:spacing w:after="0" w:line="276" w:lineRule="auto"/>
              <w:jc w:val="left"/>
            </w:pPr>
            <w:r>
              <w:rPr>
                <w:sz w:val="18"/>
              </w:rPr>
              <w:t>Questions 2 and 3, Tasks 2 and 5</w:t>
            </w:r>
          </w:p>
        </w:tc>
        <w:tc>
          <w:tcPr>
            <w:tcW w:type="dxa" w:w="3581"/>
            <w:tcBorders>
              <w:top w:val="nil"/>
              <w:left w:val="nil"/>
              <w:right w:val="nil"/>
              <w:bottom w:val="single" w:sz="4" w:space="0" w:color="D9DEE5"/>
            </w:tcBorders>
          </w:tcPr>
          <w:p>
            <w:pPr>
              <w:spacing w:after="0" w:line="276" w:lineRule="auto"/>
              <w:jc w:val="left"/>
            </w:pPr>
            <w:r>
              <w:rPr>
                <w:sz w:val="18"/>
              </w:rPr>
              <w:t>Place each season beside the one before it to calculate change</w:t>
            </w:r>
          </w:p>
        </w:tc>
      </w:tr>
      <w:tr>
        <w:trPr>
          <w:cantSplit/>
        </w:trPr>
        <w:tc>
          <w:tcPr>
            <w:tcW w:type="dxa" w:w="3700"/>
            <w:tcBorders>
              <w:top w:val="nil"/>
              <w:left w:val="nil"/>
              <w:right w:val="nil"/>
              <w:bottom w:val="single" w:sz="4" w:space="0" w:color="D9DEE5"/>
            </w:tcBorders>
          </w:tcPr>
          <w:p>
            <w:pPr>
              <w:spacing w:after="0" w:line="276" w:lineRule="auto"/>
              <w:jc w:val="left"/>
            </w:pPr>
            <w:r>
              <w:rPr>
                <w:color w:val="1E7B34"/>
                <w:sz w:val="18"/>
              </w:rPr>
              <w:t>FULL OUTER JOIN</w:t>
            </w:r>
            <w:r>
              <w:rPr>
                <w:sz w:val="18"/>
              </w:rPr>
              <w:t xml:space="preserve"> with </w:t>
            </w:r>
            <w:r>
              <w:rPr>
                <w:color w:val="1E7B34"/>
                <w:sz w:val="18"/>
              </w:rPr>
              <w:t>COALESCE</w:t>
            </w:r>
            <w:r>
              <w:rPr>
                <w:sz w:val="18"/>
              </w:rPr>
              <w:t xml:space="preserve"> and </w:t>
            </w:r>
            <w:r>
              <w:rPr>
                <w:color w:val="1E7B34"/>
                <w:sz w:val="18"/>
              </w:rPr>
              <w:t>ISNULL</w:t>
            </w:r>
          </w:p>
        </w:tc>
        <w:tc>
          <w:tcPr>
            <w:tcW w:type="dxa" w:w="1790"/>
            <w:tcBorders>
              <w:top w:val="nil"/>
              <w:left w:val="nil"/>
              <w:right w:val="nil"/>
              <w:bottom w:val="single" w:sz="4" w:space="0" w:color="D9DEE5"/>
            </w:tcBorders>
          </w:tcPr>
          <w:p>
            <w:pPr>
              <w:spacing w:after="0" w:line="276" w:lineRule="auto"/>
              <w:jc w:val="left"/>
            </w:pPr>
            <w:r>
              <w:rPr>
                <w:sz w:val="18"/>
              </w:rPr>
              <w:t>Tasks 3, 4 and 5</w:t>
            </w:r>
          </w:p>
        </w:tc>
        <w:tc>
          <w:tcPr>
            <w:tcW w:type="dxa" w:w="3581"/>
            <w:tcBorders>
              <w:top w:val="nil"/>
              <w:left w:val="nil"/>
              <w:right w:val="nil"/>
              <w:bottom w:val="single" w:sz="4" w:space="0" w:color="D9DEE5"/>
            </w:tcBorders>
          </w:tcPr>
          <w:p>
            <w:pPr>
              <w:spacing w:after="0" w:line="276" w:lineRule="auto"/>
              <w:jc w:val="left"/>
            </w:pPr>
            <w:r>
              <w:rPr>
                <w:sz w:val="18"/>
              </w:rPr>
              <w:t>Put seasons side by side without dropping a segment that is missing from one season</w:t>
            </w:r>
          </w:p>
        </w:tc>
      </w:tr>
      <w:tr>
        <w:trPr>
          <w:cantSplit/>
        </w:trPr>
        <w:tc>
          <w:tcPr>
            <w:tcW w:type="dxa" w:w="3700"/>
            <w:tcBorders>
              <w:top w:val="nil"/>
              <w:left w:val="nil"/>
              <w:right w:val="nil"/>
              <w:bottom w:val="single" w:sz="4" w:space="0" w:color="D9DEE5"/>
            </w:tcBorders>
          </w:tcPr>
          <w:p>
            <w:pPr>
              <w:spacing w:after="0" w:line="276" w:lineRule="auto"/>
              <w:jc w:val="left"/>
            </w:pPr>
            <w:r>
              <w:rPr>
                <w:color w:val="1E7B34"/>
                <w:sz w:val="18"/>
              </w:rPr>
              <w:t>NULLIF</w:t>
            </w:r>
            <w:r>
              <w:rPr>
                <w:sz w:val="18"/>
              </w:rPr>
              <w:t xml:space="preserve"> on every denominator</w:t>
            </w:r>
          </w:p>
        </w:tc>
        <w:tc>
          <w:tcPr>
            <w:tcW w:type="dxa" w:w="1790"/>
            <w:tcBorders>
              <w:top w:val="nil"/>
              <w:left w:val="nil"/>
              <w:right w:val="nil"/>
              <w:bottom w:val="single" w:sz="4" w:space="0" w:color="D9DEE5"/>
            </w:tcBorders>
          </w:tcPr>
          <w:p>
            <w:pPr>
              <w:spacing w:after="0" w:line="276" w:lineRule="auto"/>
              <w:jc w:val="left"/>
            </w:pPr>
            <w:r>
              <w:rPr>
                <w:sz w:val="18"/>
              </w:rPr>
              <w:t>Every ratio</w:t>
            </w:r>
          </w:p>
        </w:tc>
        <w:tc>
          <w:tcPr>
            <w:tcW w:type="dxa" w:w="3581"/>
            <w:tcBorders>
              <w:top w:val="nil"/>
              <w:left w:val="nil"/>
              <w:right w:val="nil"/>
              <w:bottom w:val="single" w:sz="4" w:space="0" w:color="D9DEE5"/>
            </w:tcBorders>
          </w:tcPr>
          <w:p>
            <w:pPr>
              <w:spacing w:after="0" w:line="276" w:lineRule="auto"/>
              <w:jc w:val="left"/>
            </w:pPr>
            <w:r>
              <w:rPr>
                <w:sz w:val="18"/>
              </w:rPr>
              <w:t>Return an empty result instead of a divide-by-zero error</w:t>
            </w:r>
          </w:p>
        </w:tc>
      </w:tr>
      <w:tr>
        <w:trPr>
          <w:cantSplit/>
        </w:trPr>
        <w:tc>
          <w:tcPr>
            <w:tcW w:type="dxa" w:w="3700"/>
            <w:tcBorders>
              <w:top w:val="nil"/>
              <w:left w:val="nil"/>
              <w:right w:val="nil"/>
              <w:bottom w:val="single" w:sz="4" w:space="0" w:color="D9DEE5"/>
            </w:tcBorders>
          </w:tcPr>
          <w:p>
            <w:pPr>
              <w:spacing w:after="0" w:line="276" w:lineRule="auto"/>
              <w:jc w:val="left"/>
            </w:pPr>
            <w:r>
              <w:rPr>
                <w:color w:val="1E7B34"/>
                <w:sz w:val="18"/>
              </w:rPr>
              <w:t>CASE</w:t>
            </w:r>
            <w:r>
              <w:rPr>
                <w:sz w:val="18"/>
              </w:rPr>
              <w:t xml:space="preserve"> and date functions (</w:t>
            </w:r>
            <w:r>
              <w:rPr>
                <w:color w:val="1E7B34"/>
                <w:sz w:val="18"/>
              </w:rPr>
              <w:t>EOMONTH</w:t>
            </w:r>
            <w:r>
              <w:rPr>
                <w:sz w:val="18"/>
              </w:rPr>
              <w:t xml:space="preserve">, </w:t>
            </w:r>
            <w:r>
              <w:rPr>
                <w:color w:val="1E7B34"/>
                <w:sz w:val="18"/>
              </w:rPr>
              <w:t>DATEDIFF</w:t>
            </w:r>
            <w:r>
              <w:rPr>
                <w:sz w:val="18"/>
              </w:rPr>
              <w:t xml:space="preserve">, </w:t>
            </w:r>
            <w:r>
              <w:rPr>
                <w:color w:val="1E7B34"/>
                <w:sz w:val="18"/>
              </w:rPr>
              <w:t>DATEADD</w:t>
            </w:r>
            <w:r>
              <w:rPr>
                <w:sz w:val="18"/>
              </w:rPr>
              <w:t xml:space="preserve">, </w:t>
            </w:r>
            <w:r>
              <w:rPr>
                <w:color w:val="1E7B34"/>
                <w:sz w:val="18"/>
              </w:rPr>
              <w:t>DATEPART</w:t>
            </w:r>
            <w:r>
              <w:rPr>
                <w:sz w:val="18"/>
              </w:rPr>
              <w:t>)</w:t>
            </w:r>
          </w:p>
        </w:tc>
        <w:tc>
          <w:tcPr>
            <w:tcW w:type="dxa" w:w="1790"/>
            <w:tcBorders>
              <w:top w:val="nil"/>
              <w:left w:val="nil"/>
              <w:right w:val="nil"/>
              <w:bottom w:val="single" w:sz="4" w:space="0" w:color="D9DEE5"/>
            </w:tcBorders>
          </w:tcPr>
          <w:p>
            <w:pPr>
              <w:spacing w:after="0" w:line="276" w:lineRule="auto"/>
              <w:jc w:val="left"/>
            </w:pPr>
            <w:r>
              <w:rPr>
                <w:sz w:val="18"/>
              </w:rPr>
              <w:t>Section 0.5, Question 10</w:t>
            </w:r>
          </w:p>
        </w:tc>
        <w:tc>
          <w:tcPr>
            <w:tcW w:type="dxa" w:w="3581"/>
            <w:tcBorders>
              <w:top w:val="nil"/>
              <w:left w:val="nil"/>
              <w:right w:val="nil"/>
              <w:bottom w:val="single" w:sz="4" w:space="0" w:color="D9DEE5"/>
            </w:tcBorders>
          </w:tcPr>
          <w:p>
            <w:pPr>
              <w:spacing w:after="0" w:line="276" w:lineRule="auto"/>
              <w:jc w:val="left"/>
            </w:pPr>
            <w:r>
              <w:rPr>
                <w:sz w:val="18"/>
              </w:rPr>
              <w:t>Assign January to the season that began in November; derive weekday and hour</w:t>
            </w:r>
          </w:p>
        </w:tc>
      </w:tr>
      <w:tr>
        <w:trPr>
          <w:cantSplit/>
        </w:trPr>
        <w:tc>
          <w:tcPr>
            <w:tcW w:type="dxa" w:w="3700"/>
            <w:tcBorders>
              <w:top w:val="nil"/>
              <w:left w:val="nil"/>
              <w:right w:val="nil"/>
              <w:bottom w:val="single" w:sz="4" w:space="0" w:color="D9DEE5"/>
            </w:tcBorders>
          </w:tcPr>
          <w:p>
            <w:pPr>
              <w:spacing w:after="0" w:line="276" w:lineRule="auto"/>
              <w:jc w:val="left"/>
            </w:pPr>
            <w:r>
              <w:rPr>
                <w:color w:val="1E7B34"/>
                <w:sz w:val="18"/>
              </w:rPr>
              <w:t>UNION ALL</w:t>
            </w:r>
          </w:p>
        </w:tc>
        <w:tc>
          <w:tcPr>
            <w:tcW w:type="dxa" w:w="1790"/>
            <w:tcBorders>
              <w:top w:val="nil"/>
              <w:left w:val="nil"/>
              <w:right w:val="nil"/>
              <w:bottom w:val="single" w:sz="4" w:space="0" w:color="D9DEE5"/>
            </w:tcBorders>
          </w:tcPr>
          <w:p>
            <w:pPr>
              <w:spacing w:after="0" w:line="276" w:lineRule="auto"/>
              <w:jc w:val="left"/>
            </w:pPr>
            <w:r>
              <w:rPr>
                <w:sz w:val="18"/>
              </w:rPr>
              <w:t>Sections 0 and 0.5</w:t>
            </w:r>
          </w:p>
        </w:tc>
        <w:tc>
          <w:tcPr>
            <w:tcW w:type="dxa" w:w="3581"/>
            <w:tcBorders>
              <w:top w:val="nil"/>
              <w:left w:val="nil"/>
              <w:right w:val="nil"/>
              <w:bottom w:val="single" w:sz="4" w:space="0" w:color="D9DEE5"/>
            </w:tcBorders>
          </w:tcPr>
          <w:p>
            <w:pPr>
              <w:spacing w:after="0" w:line="276" w:lineRule="auto"/>
              <w:jc w:val="left"/>
            </w:pPr>
            <w:r>
              <w:rPr>
                <w:sz w:val="18"/>
              </w:rPr>
              <w:t>Build the season lookup table; stack the negative-value checks</w:t>
            </w:r>
          </w:p>
        </w:tc>
      </w:tr>
      <w:tr>
        <w:trPr>
          <w:cantSplit/>
        </w:trPr>
        <w:tc>
          <w:tcPr>
            <w:tcW w:type="dxa" w:w="3700"/>
            <w:tcBorders>
              <w:top w:val="nil"/>
              <w:left w:val="nil"/>
              <w:right w:val="nil"/>
              <w:bottom w:val="single" w:sz="4" w:space="0" w:color="D9DEE5"/>
            </w:tcBorders>
          </w:tcPr>
          <w:p>
            <w:pPr>
              <w:spacing w:after="0" w:line="276" w:lineRule="auto"/>
              <w:jc w:val="left"/>
            </w:pPr>
            <w:r>
              <w:rPr>
                <w:color w:val="1E7B34"/>
                <w:sz w:val="18"/>
              </w:rPr>
              <w:t>INFORMATION_SCHEMA.COLUMNS</w:t>
            </w:r>
          </w:p>
        </w:tc>
        <w:tc>
          <w:tcPr>
            <w:tcW w:type="dxa" w:w="1790"/>
            <w:tcBorders>
              <w:top w:val="nil"/>
              <w:left w:val="nil"/>
              <w:right w:val="nil"/>
              <w:bottom w:val="single" w:sz="4" w:space="0" w:color="D9DEE5"/>
            </w:tcBorders>
          </w:tcPr>
          <w:p>
            <w:pPr>
              <w:spacing w:after="0" w:line="276" w:lineRule="auto"/>
              <w:jc w:val="left"/>
            </w:pPr>
            <w:r>
              <w:rPr>
                <w:sz w:val="18"/>
              </w:rPr>
              <w:t>Section 0</w:t>
            </w:r>
          </w:p>
        </w:tc>
        <w:tc>
          <w:tcPr>
            <w:tcW w:type="dxa" w:w="3581"/>
            <w:tcBorders>
              <w:top w:val="nil"/>
              <w:left w:val="nil"/>
              <w:right w:val="nil"/>
              <w:bottom w:val="single" w:sz="4" w:space="0" w:color="D9DEE5"/>
            </w:tcBorders>
          </w:tcPr>
          <w:p>
            <w:pPr>
              <w:spacing w:after="0" w:line="276" w:lineRule="auto"/>
              <w:jc w:val="left"/>
            </w:pPr>
            <w:r>
              <w:rPr>
                <w:sz w:val="18"/>
              </w:rPr>
              <w:t>List the table's columns and data types</w:t>
            </w:r>
          </w:p>
        </w:tc>
      </w:tr>
    </w:tbl>
    <w:p>
      <w:pPr>
        <w:spacing w:after="80" w:line="144" w:lineRule="auto"/>
      </w:pPr>
    </w:p>
    <w:p>
      <w:r>
        <w:t>Two conventions apply throughout: percentages are stored as proportions (0.032 means 3.2%), and margins are calculated from season totals, not by averaging row-level margins.</w:t>
      </w:r>
    </w:p>
    <w:p>
      <w:pPr>
        <w:pStyle w:val="Heading1"/>
      </w:pPr>
      <w:r>
        <w:t>03. Analysis Approach</w:t>
      </w:r>
    </w:p>
    <w:p>
      <w:pPr>
        <w:keepNext/>
      </w:pPr>
      <w:r>
        <w:t>The analysis is divided into stages because each stage answers one question, and its answer decides what the next stage needs to ask. The headline number alone (revenue down 3.2%) cannot be acted on, so each stage narrows it down further.</w:t>
      </w:r>
    </w:p>
    <w:tbl>
      <w:tblPr>
        <w:tblW w:type="dxa" w:w="9072"/>
        <w:jc w:val="center"/>
        <w:tblLayout w:type="fixed"/>
        <w:tblLook w:firstColumn="1" w:firstRow="1" w:lastColumn="0" w:lastRow="0" w:noHBand="0" w:noVBand="1" w:val="04A0"/>
        <w:tblCellMar>
          <w:top w:w="70" w:type="dxa"/>
          <w:left w:w="90" w:type="dxa"/>
          <w:bottom w:w="70" w:type="dxa"/>
          <w:right w:w="90" w:type="dxa"/>
        </w:tblCellMar>
        <w:tblLayout w:type="fixed"/>
      </w:tblPr>
      <w:tblGrid>
        <w:gridCol w:w="1969"/>
        <w:gridCol w:w="2387"/>
        <w:gridCol w:w="4714"/>
      </w:tblGrid>
      <w:tr>
        <w:trPr>
          <w:cantSplit/>
          <w:tblHeader/>
        </w:trPr>
        <w:tc>
          <w:tcPr>
            <w:tcW w:type="dxa" w:w="1969"/>
            <w:tcBorders>
              <w:top w:val="nil"/>
              <w:left w:val="nil"/>
              <w:right w:val="nil"/>
              <w:bottom w:val="single" w:sz="4" w:space="0" w:color="D9DEE5"/>
            </w:tcBorders>
            <w:shd w:val="clear" w:color="auto" w:fill="F1F4F8"/>
          </w:tcPr>
          <w:p>
            <w:pPr>
              <w:spacing w:after="0" w:line="276" w:lineRule="auto"/>
              <w:jc w:val="left"/>
            </w:pPr>
            <w:r>
              <w:rPr>
                <w:b/>
                <w:sz w:val="18"/>
              </w:rPr>
              <w:t>Stage</w:t>
            </w:r>
          </w:p>
        </w:tc>
        <w:tc>
          <w:tcPr>
            <w:tcW w:type="dxa" w:w="2387"/>
            <w:tcBorders>
              <w:top w:val="nil"/>
              <w:left w:val="nil"/>
              <w:right w:val="nil"/>
              <w:bottom w:val="single" w:sz="4" w:space="0" w:color="D9DEE5"/>
            </w:tcBorders>
            <w:shd w:val="clear" w:color="auto" w:fill="F1F4F8"/>
          </w:tcPr>
          <w:p>
            <w:pPr>
              <w:spacing w:after="0" w:line="276" w:lineRule="auto"/>
              <w:jc w:val="left"/>
            </w:pPr>
            <w:r>
              <w:rPr>
                <w:b/>
                <w:sz w:val="18"/>
              </w:rPr>
              <w:t>Question</w:t>
            </w:r>
          </w:p>
        </w:tc>
        <w:tc>
          <w:tcPr>
            <w:tcW w:type="dxa" w:w="4714"/>
            <w:tcBorders>
              <w:top w:val="nil"/>
              <w:left w:val="nil"/>
              <w:right w:val="nil"/>
              <w:bottom w:val="single" w:sz="4" w:space="0" w:color="D9DEE5"/>
            </w:tcBorders>
            <w:shd w:val="clear" w:color="auto" w:fill="F1F4F8"/>
          </w:tcPr>
          <w:p>
            <w:pPr>
              <w:spacing w:after="0" w:line="276" w:lineRule="auto"/>
              <w:jc w:val="left"/>
            </w:pPr>
            <w:r>
              <w:rPr>
                <w:b/>
                <w:sz w:val="18"/>
              </w:rPr>
              <w:t>Method</w:t>
            </w:r>
          </w:p>
        </w:tc>
      </w:tr>
      <w:tr>
        <w:trPr>
          <w:cantSplit/>
        </w:trPr>
        <w:tc>
          <w:tcPr>
            <w:tcW w:type="dxa" w:w="1969"/>
            <w:tcBorders>
              <w:top w:val="nil"/>
              <w:left w:val="nil"/>
              <w:right w:val="nil"/>
              <w:bottom w:val="single" w:sz="4" w:space="0" w:color="D9DEE5"/>
            </w:tcBorders>
          </w:tcPr>
          <w:p>
            <w:pPr>
              <w:spacing w:after="0" w:line="276" w:lineRule="auto"/>
              <w:jc w:val="left"/>
            </w:pPr>
            <w:r>
              <w:rPr>
                <w:sz w:val="18"/>
              </w:rPr>
              <w:t>Section 0</w:t>
            </w:r>
          </w:p>
        </w:tc>
        <w:tc>
          <w:tcPr>
            <w:tcW w:type="dxa" w:w="2387"/>
            <w:tcBorders>
              <w:top w:val="nil"/>
              <w:left w:val="nil"/>
              <w:right w:val="nil"/>
              <w:bottom w:val="single" w:sz="4" w:space="0" w:color="D9DEE5"/>
            </w:tcBorders>
          </w:tcPr>
          <w:p>
            <w:pPr>
              <w:spacing w:after="0" w:line="276" w:lineRule="auto"/>
              <w:jc w:val="left"/>
            </w:pPr>
            <w:r>
              <w:rPr>
                <w:sz w:val="18"/>
              </w:rPr>
              <w:t>Can the data be trusted?</w:t>
            </w:r>
          </w:p>
        </w:tc>
        <w:tc>
          <w:tcPr>
            <w:tcW w:type="dxa" w:w="4714"/>
            <w:tcBorders>
              <w:top w:val="nil"/>
              <w:left w:val="nil"/>
              <w:right w:val="nil"/>
              <w:bottom w:val="single" w:sz="4" w:space="0" w:color="D9DEE5"/>
            </w:tcBorders>
          </w:tcPr>
          <w:p>
            <w:pPr>
              <w:spacing w:after="0" w:line="276" w:lineRule="auto"/>
              <w:jc w:val="left"/>
            </w:pPr>
            <w:r>
              <w:rPr>
                <w:sz w:val="18"/>
              </w:rPr>
              <w:t>Check for missing values, duplicate rows, sales that do not equal cost plus profit, and negative values</w:t>
            </w:r>
          </w:p>
        </w:tc>
      </w:tr>
      <w:tr>
        <w:trPr>
          <w:cantSplit/>
        </w:trPr>
        <w:tc>
          <w:tcPr>
            <w:tcW w:type="dxa" w:w="1969"/>
            <w:tcBorders>
              <w:top w:val="nil"/>
              <w:left w:val="nil"/>
              <w:right w:val="nil"/>
              <w:bottom w:val="single" w:sz="4" w:space="0" w:color="D9DEE5"/>
            </w:tcBorders>
          </w:tcPr>
          <w:p>
            <w:pPr>
              <w:spacing w:after="0" w:line="276" w:lineRule="auto"/>
              <w:jc w:val="left"/>
            </w:pPr>
            <w:r>
              <w:rPr>
                <w:sz w:val="18"/>
              </w:rPr>
              <w:t>Section 0.5 (Task 1)</w:t>
            </w:r>
          </w:p>
        </w:tc>
        <w:tc>
          <w:tcPr>
            <w:tcW w:type="dxa" w:w="2387"/>
            <w:tcBorders>
              <w:top w:val="nil"/>
              <w:left w:val="nil"/>
              <w:right w:val="nil"/>
              <w:bottom w:val="single" w:sz="4" w:space="0" w:color="D9DEE5"/>
            </w:tcBorders>
          </w:tcPr>
          <w:p>
            <w:pPr>
              <w:spacing w:after="0" w:line="276" w:lineRule="auto"/>
              <w:jc w:val="left"/>
            </w:pPr>
            <w:r>
              <w:rPr>
                <w:sz w:val="18"/>
              </w:rPr>
              <w:t>What data is analysed?</w:t>
            </w:r>
          </w:p>
        </w:tc>
        <w:tc>
          <w:tcPr>
            <w:tcW w:type="dxa" w:w="4714"/>
            <w:tcBorders>
              <w:top w:val="nil"/>
              <w:left w:val="nil"/>
              <w:right w:val="nil"/>
              <w:bottom w:val="single" w:sz="4" w:space="0" w:color="D9DEE5"/>
            </w:tcBorders>
          </w:tcPr>
          <w:p>
            <w:pPr>
              <w:spacing w:after="0" w:line="276" w:lineRule="auto"/>
              <w:jc w:val="left"/>
            </w:pPr>
            <w:r>
              <w:rPr>
                <w:sz w:val="18"/>
              </w:rPr>
              <w:t>Build a cleaned view (complete seasons only, each row tagged with its season) and a lookup naming the baseline, decline and recovery seasons</w:t>
            </w:r>
          </w:p>
        </w:tc>
      </w:tr>
      <w:tr>
        <w:trPr>
          <w:cantSplit/>
        </w:trPr>
        <w:tc>
          <w:tcPr>
            <w:tcW w:type="dxa" w:w="1969"/>
            <w:tcBorders>
              <w:top w:val="nil"/>
              <w:left w:val="nil"/>
              <w:right w:val="nil"/>
              <w:bottom w:val="single" w:sz="4" w:space="0" w:color="D9DEE5"/>
            </w:tcBorders>
          </w:tcPr>
          <w:p>
            <w:pPr>
              <w:spacing w:after="0" w:line="276" w:lineRule="auto"/>
              <w:jc w:val="left"/>
            </w:pPr>
            <w:r>
              <w:rPr>
                <w:sz w:val="18"/>
              </w:rPr>
              <w:t>Questions 1 to 3</w:t>
            </w:r>
          </w:p>
        </w:tc>
        <w:tc>
          <w:tcPr>
            <w:tcW w:type="dxa" w:w="2387"/>
            <w:tcBorders>
              <w:top w:val="nil"/>
              <w:left w:val="nil"/>
              <w:right w:val="nil"/>
              <w:bottom w:val="single" w:sz="4" w:space="0" w:color="D9DEE5"/>
            </w:tcBorders>
          </w:tcPr>
          <w:p>
            <w:pPr>
              <w:spacing w:after="0" w:line="276" w:lineRule="auto"/>
              <w:jc w:val="left"/>
            </w:pPr>
            <w:r>
              <w:rPr>
                <w:sz w:val="18"/>
              </w:rPr>
              <w:t>What happened, and how large was it?</w:t>
            </w:r>
          </w:p>
        </w:tc>
        <w:tc>
          <w:tcPr>
            <w:tcW w:type="dxa" w:w="4714"/>
            <w:tcBorders>
              <w:top w:val="nil"/>
              <w:left w:val="nil"/>
              <w:right w:val="nil"/>
              <w:bottom w:val="single" w:sz="4" w:space="0" w:color="D9DEE5"/>
            </w:tcBorders>
          </w:tcPr>
          <w:p>
            <w:pPr>
              <w:spacing w:after="0" w:line="276" w:lineRule="auto"/>
              <w:jc w:val="left"/>
            </w:pPr>
            <w:r>
              <w:rPr>
                <w:sz w:val="18"/>
              </w:rPr>
              <w:t>Total revenue, quantity, cost and profit per season; compare each season with the previous one</w:t>
            </w:r>
          </w:p>
        </w:tc>
      </w:tr>
      <w:tr>
        <w:trPr>
          <w:cantSplit/>
        </w:trPr>
        <w:tc>
          <w:tcPr>
            <w:tcW w:type="dxa" w:w="1969"/>
            <w:tcBorders>
              <w:top w:val="nil"/>
              <w:left w:val="nil"/>
              <w:right w:val="nil"/>
              <w:bottom w:val="single" w:sz="4" w:space="0" w:color="D9DEE5"/>
            </w:tcBorders>
          </w:tcPr>
          <w:p>
            <w:pPr>
              <w:spacing w:after="0" w:line="276" w:lineRule="auto"/>
              <w:jc w:val="left"/>
            </w:pPr>
            <w:r>
              <w:rPr>
                <w:sz w:val="18"/>
              </w:rPr>
              <w:t>Task 2</w:t>
            </w:r>
          </w:p>
        </w:tc>
        <w:tc>
          <w:tcPr>
            <w:tcW w:type="dxa" w:w="2387"/>
            <w:tcBorders>
              <w:top w:val="nil"/>
              <w:left w:val="nil"/>
              <w:right w:val="nil"/>
              <w:bottom w:val="single" w:sz="4" w:space="0" w:color="D9DEE5"/>
            </w:tcBorders>
          </w:tcPr>
          <w:p>
            <w:pPr>
              <w:spacing w:after="0" w:line="276" w:lineRule="auto"/>
              <w:jc w:val="left"/>
            </w:pPr>
            <w:r>
              <w:rPr>
                <w:sz w:val="18"/>
              </w:rPr>
              <w:t>What kind of change was it?</w:t>
            </w:r>
          </w:p>
        </w:tc>
        <w:tc>
          <w:tcPr>
            <w:tcW w:type="dxa" w:w="4714"/>
            <w:tcBorders>
              <w:top w:val="nil"/>
              <w:left w:val="nil"/>
              <w:right w:val="nil"/>
              <w:bottom w:val="single" w:sz="4" w:space="0" w:color="D9DEE5"/>
            </w:tcBorders>
          </w:tcPr>
          <w:p>
            <w:pPr>
              <w:spacing w:after="0" w:line="276" w:lineRule="auto"/>
              <w:jc w:val="left"/>
            </w:pPr>
            <w:r>
              <w:rPr>
                <w:sz w:val="18"/>
              </w:rPr>
              <w:t>Split revenue into number of records, units per record and revenue per unit, and see which one moved</w:t>
            </w:r>
          </w:p>
        </w:tc>
      </w:tr>
      <w:tr>
        <w:trPr>
          <w:cantSplit/>
        </w:trPr>
        <w:tc>
          <w:tcPr>
            <w:tcW w:type="dxa" w:w="1969"/>
            <w:tcBorders>
              <w:top w:val="nil"/>
              <w:left w:val="nil"/>
              <w:right w:val="nil"/>
              <w:bottom w:val="single" w:sz="4" w:space="0" w:color="D9DEE5"/>
            </w:tcBorders>
          </w:tcPr>
          <w:p>
            <w:pPr>
              <w:spacing w:after="0" w:line="276" w:lineRule="auto"/>
              <w:jc w:val="left"/>
            </w:pPr>
            <w:r>
              <w:rPr>
                <w:sz w:val="18"/>
              </w:rPr>
              <w:t>Task 3 (Questions 4 to 10)</w:t>
            </w:r>
          </w:p>
        </w:tc>
        <w:tc>
          <w:tcPr>
            <w:tcW w:type="dxa" w:w="2387"/>
            <w:tcBorders>
              <w:top w:val="nil"/>
              <w:left w:val="nil"/>
              <w:right w:val="nil"/>
              <w:bottom w:val="single" w:sz="4" w:space="0" w:color="D9DEE5"/>
            </w:tcBorders>
          </w:tcPr>
          <w:p>
            <w:pPr>
              <w:spacing w:after="0" w:line="276" w:lineRule="auto"/>
              <w:jc w:val="left"/>
            </w:pPr>
            <w:r>
              <w:rPr>
                <w:sz w:val="18"/>
              </w:rPr>
              <w:t>Where did it happen?</w:t>
            </w:r>
          </w:p>
        </w:tc>
        <w:tc>
          <w:tcPr>
            <w:tcW w:type="dxa" w:w="4714"/>
            <w:tcBorders>
              <w:top w:val="nil"/>
              <w:left w:val="nil"/>
              <w:right w:val="nil"/>
              <w:bottom w:val="single" w:sz="4" w:space="0" w:color="D9DEE5"/>
            </w:tcBorders>
          </w:tcPr>
          <w:p>
            <w:pPr>
              <w:spacing w:after="0" w:line="276" w:lineRule="auto"/>
              <w:jc w:val="left"/>
            </w:pPr>
            <w:r>
              <w:rPr>
                <w:sz w:val="18"/>
              </w:rPr>
              <w:t>Compare seasons one category at a time: channel, place, age, gender, payment method, product and time</w:t>
            </w:r>
          </w:p>
        </w:tc>
      </w:tr>
      <w:tr>
        <w:trPr>
          <w:cantSplit/>
        </w:trPr>
        <w:tc>
          <w:tcPr>
            <w:tcW w:type="dxa" w:w="1969"/>
            <w:tcBorders>
              <w:top w:val="nil"/>
              <w:left w:val="nil"/>
              <w:right w:val="nil"/>
              <w:bottom w:val="single" w:sz="4" w:space="0" w:color="D9DEE5"/>
            </w:tcBorders>
          </w:tcPr>
          <w:p>
            <w:pPr>
              <w:spacing w:after="0" w:line="276" w:lineRule="auto"/>
              <w:jc w:val="left"/>
            </w:pPr>
            <w:r>
              <w:rPr>
                <w:sz w:val="18"/>
              </w:rPr>
              <w:t>Task 4</w:t>
            </w:r>
          </w:p>
        </w:tc>
        <w:tc>
          <w:tcPr>
            <w:tcW w:type="dxa" w:w="2387"/>
            <w:tcBorders>
              <w:top w:val="nil"/>
              <w:left w:val="nil"/>
              <w:right w:val="nil"/>
              <w:bottom w:val="single" w:sz="4" w:space="0" w:color="D9DEE5"/>
            </w:tcBorders>
          </w:tcPr>
          <w:p>
            <w:pPr>
              <w:spacing w:after="0" w:line="276" w:lineRule="auto"/>
              <w:jc w:val="left"/>
            </w:pPr>
            <w:r>
              <w:rPr>
                <w:sz w:val="18"/>
              </w:rPr>
              <w:t>Do those findings overlap?</w:t>
            </w:r>
          </w:p>
        </w:tc>
        <w:tc>
          <w:tcPr>
            <w:tcW w:type="dxa" w:w="4714"/>
            <w:tcBorders>
              <w:top w:val="nil"/>
              <w:left w:val="nil"/>
              <w:right w:val="nil"/>
              <w:bottom w:val="single" w:sz="4" w:space="0" w:color="D9DEE5"/>
            </w:tcBorders>
          </w:tcPr>
          <w:p>
            <w:pPr>
              <w:spacing w:after="0" w:line="276" w:lineRule="auto"/>
              <w:jc w:val="left"/>
            </w:pPr>
            <w:r>
              <w:rPr>
                <w:sz w:val="18"/>
              </w:rPr>
              <w:t>Combine two categories at once, and compare units sold with price for each product</w:t>
            </w:r>
          </w:p>
        </w:tc>
      </w:tr>
      <w:tr>
        <w:trPr>
          <w:cantSplit/>
        </w:trPr>
        <w:tc>
          <w:tcPr>
            <w:tcW w:type="dxa" w:w="1969"/>
            <w:tcBorders>
              <w:top w:val="nil"/>
              <w:left w:val="nil"/>
              <w:right w:val="nil"/>
              <w:bottom w:val="single" w:sz="4" w:space="0" w:color="D9DEE5"/>
            </w:tcBorders>
          </w:tcPr>
          <w:p>
            <w:pPr>
              <w:spacing w:after="0" w:line="276" w:lineRule="auto"/>
              <w:jc w:val="left"/>
            </w:pPr>
            <w:r>
              <w:rPr>
                <w:sz w:val="18"/>
              </w:rPr>
              <w:t>Task 5</w:t>
            </w:r>
          </w:p>
        </w:tc>
        <w:tc>
          <w:tcPr>
            <w:tcW w:type="dxa" w:w="2387"/>
            <w:tcBorders>
              <w:top w:val="nil"/>
              <w:left w:val="nil"/>
              <w:right w:val="nil"/>
              <w:bottom w:val="single" w:sz="4" w:space="0" w:color="D9DEE5"/>
            </w:tcBorders>
          </w:tcPr>
          <w:p>
            <w:pPr>
              <w:spacing w:after="0" w:line="276" w:lineRule="auto"/>
              <w:jc w:val="left"/>
            </w:pPr>
            <w:r>
              <w:rPr>
                <w:sz w:val="18"/>
              </w:rPr>
              <w:t>Did profit fall for the same reason?</w:t>
            </w:r>
          </w:p>
        </w:tc>
        <w:tc>
          <w:tcPr>
            <w:tcW w:type="dxa" w:w="4714"/>
            <w:tcBorders>
              <w:top w:val="nil"/>
              <w:left w:val="nil"/>
              <w:right w:val="nil"/>
              <w:bottom w:val="single" w:sz="4" w:space="0" w:color="D9DEE5"/>
            </w:tcBorders>
          </w:tcPr>
          <w:p>
            <w:pPr>
              <w:spacing w:after="0" w:line="276" w:lineRule="auto"/>
              <w:jc w:val="left"/>
            </w:pPr>
            <w:r>
              <w:rPr>
                <w:sz w:val="18"/>
              </w:rPr>
              <w:t>Compare cost per unit and profit margin overall, by category and by channel</w:t>
            </w:r>
          </w:p>
        </w:tc>
      </w:tr>
      <w:tr>
        <w:trPr>
          <w:cantSplit/>
        </w:trPr>
        <w:tc>
          <w:tcPr>
            <w:tcW w:type="dxa" w:w="1969"/>
            <w:tcBorders>
              <w:top w:val="nil"/>
              <w:left w:val="nil"/>
              <w:right w:val="nil"/>
              <w:bottom w:val="single" w:sz="4" w:space="0" w:color="D9DEE5"/>
            </w:tcBorders>
          </w:tcPr>
          <w:p>
            <w:pPr>
              <w:spacing w:after="0" w:line="276" w:lineRule="auto"/>
              <w:jc w:val="left"/>
            </w:pPr>
            <w:r>
              <w:rPr>
                <w:sz w:val="18"/>
              </w:rPr>
              <w:t>Task 6</w:t>
            </w:r>
          </w:p>
        </w:tc>
        <w:tc>
          <w:tcPr>
            <w:tcW w:type="dxa" w:w="2387"/>
            <w:tcBorders>
              <w:top w:val="nil"/>
              <w:left w:val="nil"/>
              <w:right w:val="nil"/>
              <w:bottom w:val="single" w:sz="4" w:space="0" w:color="D9DEE5"/>
            </w:tcBorders>
          </w:tcPr>
          <w:p>
            <w:pPr>
              <w:spacing w:after="0" w:line="276" w:lineRule="auto"/>
              <w:jc w:val="left"/>
            </w:pPr>
            <w:r>
              <w:rPr>
                <w:sz w:val="18"/>
              </w:rPr>
              <w:t>Do the parts add up to the whole?</w:t>
            </w:r>
          </w:p>
        </w:tc>
        <w:tc>
          <w:tcPr>
            <w:tcW w:type="dxa" w:w="4714"/>
            <w:tcBorders>
              <w:top w:val="nil"/>
              <w:left w:val="nil"/>
              <w:right w:val="nil"/>
              <w:bottom w:val="single" w:sz="4" w:space="0" w:color="D9DEE5"/>
            </w:tcBorders>
          </w:tcPr>
          <w:p>
            <w:pPr>
              <w:spacing w:after="0" w:line="276" w:lineRule="auto"/>
              <w:jc w:val="left"/>
            </w:pPr>
            <w:r>
              <w:rPr>
                <w:sz w:val="18"/>
              </w:rPr>
              <w:t>Add channel revenue back up and compare it with the season total</w:t>
            </w:r>
          </w:p>
        </w:tc>
      </w:tr>
    </w:tbl>
    <w:p>
      <w:pPr>
        <w:spacing w:after="80" w:line="144" w:lineRule="auto"/>
      </w:pPr>
    </w:p>
    <w:p>
      <w:r>
        <w:t>The seasons were labelled after Question 1 showed that 2020–2021 was the only season in which revenue fell. The season before it became the baseline and the season after it the recovery.</w:t>
      </w:r>
    </w:p>
    <w:p>
      <w:pPr>
        <w:pStyle w:val="Heading1"/>
      </w:pPr>
      <w:r>
        <w:t>04. Findings</w:t>
      </w:r>
    </w:p>
    <w:p>
      <w:pPr>
        <w:pStyle w:val="Heading2"/>
      </w:pPr>
      <w:r>
        <w:t>4.1 Data quality (Section 0)</w:t>
      </w:r>
    </w:p>
    <w:p>
      <w:r>
        <w:t>All checks passed: no missing values in the 15 columns the analysis depends on, no duplicate rows, no rows where sales differ from cost plus profit, and no negative values. No cleaning was needed beyond removing the incomplete 2017–2018 season.</w:t>
      </w:r>
    </w:p>
    <w:p>
      <w:pPr>
        <w:pStyle w:val="Heading2"/>
      </w:pPr>
      <w:r>
        <w:t>4.2 What happened (Questions 1 to 3)</w:t>
      </w:r>
    </w:p>
    <w:p>
      <w:pPr>
        <w:keepNext/>
      </w:pPr>
      <w:r>
        <w:t>Revenue grew 1.5% into 2019–2020, fell 3.2% in 2020–2021 and grew 1.9% in 2021–2022. Quantity and profit followed the same path. The decline interrupted an upward trend, and the recovery did not return revenue to its previous level.</w:t>
      </w:r>
    </w:p>
    <w:p>
      <w:pPr>
        <w:keepNext/>
        <w:spacing w:before="120" w:after="60"/>
      </w:pPr>
      <w:r>
        <w:rPr>
          <w:b/>
          <w:sz w:val="19"/>
        </w:rPr>
        <w:t>Table 1. Sales by Christmas season</w:t>
      </w:r>
    </w:p>
    <w:tbl>
      <w:tblPr>
        <w:tblW w:type="dxa" w:w="9072"/>
        <w:jc w:val="center"/>
        <w:tblLayout w:type="fixed"/>
        <w:tblLook w:firstColumn="1" w:firstRow="1" w:lastColumn="0" w:lastRow="0" w:noHBand="0" w:noVBand="1" w:val="04A0"/>
        <w:tblCellMar>
          <w:top w:w="70" w:type="dxa"/>
          <w:left w:w="90" w:type="dxa"/>
          <w:bottom w:w="70" w:type="dxa"/>
          <w:right w:w="90" w:type="dxa"/>
        </w:tblCellMar>
        <w:tblLayout w:type="fixed"/>
      </w:tblPr>
      <w:tblGrid>
        <w:gridCol w:w="2858"/>
        <w:gridCol w:w="1615"/>
        <w:gridCol w:w="1367"/>
        <w:gridCol w:w="1615"/>
        <w:gridCol w:w="1615"/>
      </w:tblGrid>
      <w:tr>
        <w:trPr>
          <w:cantSplit/>
          <w:tblHeader/>
        </w:trPr>
        <w:tc>
          <w:tcPr>
            <w:tcW w:type="dxa" w:w="2858"/>
            <w:tcBorders>
              <w:top w:val="nil"/>
              <w:left w:val="nil"/>
              <w:right w:val="nil"/>
              <w:bottom w:val="single" w:sz="4" w:space="0" w:color="D9DEE5"/>
            </w:tcBorders>
            <w:shd w:val="clear" w:color="auto" w:fill="F1F4F8"/>
          </w:tcPr>
          <w:p>
            <w:pPr>
              <w:keepNext/>
              <w:spacing w:after="0" w:line="276" w:lineRule="auto"/>
              <w:jc w:val="left"/>
            </w:pPr>
            <w:r>
              <w:rPr>
                <w:b/>
                <w:sz w:val="19"/>
              </w:rPr>
              <w:t>Season</w:t>
            </w:r>
          </w:p>
        </w:tc>
        <w:tc>
          <w:tcPr>
            <w:tcW w:type="dxa" w:w="1615"/>
            <w:tcBorders>
              <w:top w:val="nil"/>
              <w:left w:val="nil"/>
              <w:right w:val="nil"/>
              <w:bottom w:val="single" w:sz="4" w:space="0" w:color="D9DEE5"/>
            </w:tcBorders>
            <w:shd w:val="clear" w:color="auto" w:fill="F1F4F8"/>
          </w:tcPr>
          <w:p>
            <w:pPr>
              <w:keepNext/>
              <w:spacing w:after="0" w:line="276" w:lineRule="auto"/>
              <w:jc w:val="left"/>
            </w:pPr>
            <w:r>
              <w:rPr>
                <w:b/>
                <w:sz w:val="19"/>
              </w:rPr>
              <w:t>Revenue</w:t>
            </w:r>
          </w:p>
        </w:tc>
        <w:tc>
          <w:tcPr>
            <w:tcW w:type="dxa" w:w="1367"/>
            <w:tcBorders>
              <w:top w:val="nil"/>
              <w:left w:val="nil"/>
              <w:right w:val="nil"/>
              <w:bottom w:val="single" w:sz="4" w:space="0" w:color="D9DEE5"/>
            </w:tcBorders>
            <w:shd w:val="clear" w:color="auto" w:fill="F1F4F8"/>
          </w:tcPr>
          <w:p>
            <w:pPr>
              <w:keepNext/>
              <w:spacing w:after="0" w:line="276" w:lineRule="auto"/>
              <w:jc w:val="left"/>
            </w:pPr>
            <w:r>
              <w:rPr>
                <w:b/>
                <w:sz w:val="19"/>
              </w:rPr>
              <w:t>Change</w:t>
            </w:r>
          </w:p>
        </w:tc>
        <w:tc>
          <w:tcPr>
            <w:tcW w:type="dxa" w:w="1615"/>
            <w:tcBorders>
              <w:top w:val="nil"/>
              <w:left w:val="nil"/>
              <w:right w:val="nil"/>
              <w:bottom w:val="single" w:sz="4" w:space="0" w:color="D9DEE5"/>
            </w:tcBorders>
            <w:shd w:val="clear" w:color="auto" w:fill="F1F4F8"/>
          </w:tcPr>
          <w:p>
            <w:pPr>
              <w:keepNext/>
              <w:spacing w:after="0" w:line="276" w:lineRule="auto"/>
              <w:jc w:val="left"/>
            </w:pPr>
            <w:r>
              <w:rPr>
                <w:b/>
                <w:sz w:val="19"/>
              </w:rPr>
              <w:t>Units sold</w:t>
            </w:r>
          </w:p>
        </w:tc>
        <w:tc>
          <w:tcPr>
            <w:tcW w:type="dxa" w:w="1615"/>
            <w:tcBorders>
              <w:top w:val="nil"/>
              <w:left w:val="nil"/>
              <w:right w:val="nil"/>
              <w:bottom w:val="single" w:sz="4" w:space="0" w:color="D9DEE5"/>
            </w:tcBorders>
            <w:shd w:val="clear" w:color="auto" w:fill="F1F4F8"/>
          </w:tcPr>
          <w:p>
            <w:pPr>
              <w:keepNext/>
              <w:spacing w:after="0" w:line="276" w:lineRule="auto"/>
              <w:jc w:val="left"/>
            </w:pPr>
            <w:r>
              <w:rPr>
                <w:b/>
                <w:sz w:val="19"/>
              </w:rPr>
              <w:t>Profit</w:t>
            </w:r>
          </w:p>
        </w:tc>
      </w:tr>
      <w:tr>
        <w:trPr>
          <w:cantSplit/>
        </w:trPr>
        <w:tc>
          <w:tcPr>
            <w:tcW w:type="dxa" w:w="2858"/>
            <w:tcBorders>
              <w:top w:val="nil"/>
              <w:left w:val="nil"/>
              <w:right w:val="nil"/>
              <w:bottom w:val="single" w:sz="4" w:space="0" w:color="D9DEE5"/>
            </w:tcBorders>
          </w:tcPr>
          <w:p>
            <w:pPr>
              <w:keepNext/>
              <w:spacing w:after="0" w:line="276" w:lineRule="auto"/>
              <w:jc w:val="left"/>
            </w:pPr>
            <w:r>
              <w:rPr>
                <w:sz w:val="19"/>
              </w:rPr>
              <w:t>2018–2019</w:t>
            </w:r>
          </w:p>
        </w:tc>
        <w:tc>
          <w:tcPr>
            <w:tcW w:type="dxa" w:w="1615"/>
            <w:tcBorders>
              <w:top w:val="nil"/>
              <w:left w:val="nil"/>
              <w:right w:val="nil"/>
              <w:bottom w:val="single" w:sz="4" w:space="0" w:color="D9DEE5"/>
            </w:tcBorders>
          </w:tcPr>
          <w:p>
            <w:pPr>
              <w:keepNext/>
              <w:spacing w:after="0" w:line="276" w:lineRule="auto"/>
              <w:jc w:val="left"/>
            </w:pPr>
            <w:r>
              <w:rPr>
                <w:sz w:val="19"/>
              </w:rPr>
              <w:t>$7.07M</w:t>
            </w:r>
          </w:p>
        </w:tc>
        <w:tc>
          <w:tcPr>
            <w:tcW w:type="dxa" w:w="1367"/>
            <w:tcBorders>
              <w:top w:val="nil"/>
              <w:left w:val="nil"/>
              <w:right w:val="nil"/>
              <w:bottom w:val="single" w:sz="4" w:space="0" w:color="D9DEE5"/>
            </w:tcBorders>
          </w:tcPr>
          <w:p>
            <w:pPr>
              <w:keepNext/>
              <w:spacing w:after="0" w:line="276" w:lineRule="auto"/>
              <w:jc w:val="left"/>
            </w:pPr>
            <w:r>
              <w:rPr>
                <w:sz w:val="19"/>
              </w:rPr>
              <w:t>n/a</w:t>
            </w:r>
          </w:p>
        </w:tc>
        <w:tc>
          <w:tcPr>
            <w:tcW w:type="dxa" w:w="1615"/>
            <w:tcBorders>
              <w:top w:val="nil"/>
              <w:left w:val="nil"/>
              <w:right w:val="nil"/>
              <w:bottom w:val="single" w:sz="4" w:space="0" w:color="D9DEE5"/>
            </w:tcBorders>
          </w:tcPr>
          <w:p>
            <w:pPr>
              <w:keepNext/>
              <w:spacing w:after="0" w:line="276" w:lineRule="auto"/>
              <w:jc w:val="left"/>
            </w:pPr>
            <w:r>
              <w:rPr>
                <w:sz w:val="19"/>
              </w:rPr>
              <w:t>42,600</w:t>
            </w:r>
          </w:p>
        </w:tc>
        <w:tc>
          <w:tcPr>
            <w:tcW w:type="dxa" w:w="1615"/>
            <w:tcBorders>
              <w:top w:val="nil"/>
              <w:left w:val="nil"/>
              <w:right w:val="nil"/>
              <w:bottom w:val="single" w:sz="4" w:space="0" w:color="D9DEE5"/>
            </w:tcBorders>
          </w:tcPr>
          <w:p>
            <w:pPr>
              <w:keepNext/>
              <w:spacing w:after="0" w:line="276" w:lineRule="auto"/>
              <w:jc w:val="left"/>
            </w:pPr>
            <w:r>
              <w:rPr>
                <w:sz w:val="19"/>
              </w:rPr>
              <w:t>$5.44M</w:t>
            </w:r>
          </w:p>
        </w:tc>
      </w:tr>
      <w:tr>
        <w:trPr>
          <w:cantSplit/>
        </w:trPr>
        <w:tc>
          <w:tcPr>
            <w:tcW w:type="dxa" w:w="2858"/>
            <w:tcBorders>
              <w:top w:val="nil"/>
              <w:left w:val="nil"/>
              <w:right w:val="nil"/>
              <w:bottom w:val="single" w:sz="4" w:space="0" w:color="D9DEE5"/>
            </w:tcBorders>
          </w:tcPr>
          <w:p>
            <w:pPr>
              <w:keepNext/>
              <w:spacing w:after="0" w:line="276" w:lineRule="auto"/>
              <w:jc w:val="left"/>
            </w:pPr>
            <w:r>
              <w:rPr>
                <w:sz w:val="19"/>
              </w:rPr>
              <w:t>2019–2020 (baseline)</w:t>
            </w:r>
          </w:p>
        </w:tc>
        <w:tc>
          <w:tcPr>
            <w:tcW w:type="dxa" w:w="1615"/>
            <w:tcBorders>
              <w:top w:val="nil"/>
              <w:left w:val="nil"/>
              <w:right w:val="nil"/>
              <w:bottom w:val="single" w:sz="4" w:space="0" w:color="D9DEE5"/>
            </w:tcBorders>
          </w:tcPr>
          <w:p>
            <w:pPr>
              <w:keepNext/>
              <w:spacing w:after="0" w:line="276" w:lineRule="auto"/>
              <w:jc w:val="left"/>
            </w:pPr>
            <w:r>
              <w:rPr>
                <w:sz w:val="19"/>
              </w:rPr>
              <w:t>$7.18M</w:t>
            </w:r>
          </w:p>
        </w:tc>
        <w:tc>
          <w:tcPr>
            <w:tcW w:type="dxa" w:w="1367"/>
            <w:tcBorders>
              <w:top w:val="nil"/>
              <w:left w:val="nil"/>
              <w:right w:val="nil"/>
              <w:bottom w:val="single" w:sz="4" w:space="0" w:color="D9DEE5"/>
            </w:tcBorders>
          </w:tcPr>
          <w:p>
            <w:pPr>
              <w:keepNext/>
              <w:spacing w:after="0" w:line="276" w:lineRule="auto"/>
              <w:jc w:val="left"/>
            </w:pPr>
            <w:r>
              <w:rPr>
                <w:sz w:val="19"/>
              </w:rPr>
              <w:t>+1.5%</w:t>
            </w:r>
          </w:p>
        </w:tc>
        <w:tc>
          <w:tcPr>
            <w:tcW w:type="dxa" w:w="1615"/>
            <w:tcBorders>
              <w:top w:val="nil"/>
              <w:left w:val="nil"/>
              <w:right w:val="nil"/>
              <w:bottom w:val="single" w:sz="4" w:space="0" w:color="D9DEE5"/>
            </w:tcBorders>
          </w:tcPr>
          <w:p>
            <w:pPr>
              <w:keepNext/>
              <w:spacing w:after="0" w:line="276" w:lineRule="auto"/>
              <w:jc w:val="left"/>
            </w:pPr>
            <w:r>
              <w:rPr>
                <w:sz w:val="19"/>
              </w:rPr>
              <w:t>42,700</w:t>
            </w:r>
          </w:p>
        </w:tc>
        <w:tc>
          <w:tcPr>
            <w:tcW w:type="dxa" w:w="1615"/>
            <w:tcBorders>
              <w:top w:val="nil"/>
              <w:left w:val="nil"/>
              <w:right w:val="nil"/>
              <w:bottom w:val="single" w:sz="4" w:space="0" w:color="D9DEE5"/>
            </w:tcBorders>
          </w:tcPr>
          <w:p>
            <w:pPr>
              <w:keepNext/>
              <w:spacing w:after="0" w:line="276" w:lineRule="auto"/>
              <w:jc w:val="left"/>
            </w:pPr>
            <w:r>
              <w:rPr>
                <w:sz w:val="19"/>
              </w:rPr>
              <w:t>$5.52M</w:t>
            </w:r>
          </w:p>
        </w:tc>
      </w:tr>
      <w:tr>
        <w:trPr>
          <w:cantSplit/>
        </w:trPr>
        <w:tc>
          <w:tcPr>
            <w:tcW w:type="dxa" w:w="2858"/>
            <w:tcBorders>
              <w:top w:val="nil"/>
              <w:left w:val="nil"/>
              <w:right w:val="nil"/>
              <w:bottom w:val="single" w:sz="4" w:space="0" w:color="D9DEE5"/>
            </w:tcBorders>
          </w:tcPr>
          <w:p>
            <w:pPr>
              <w:keepNext/>
              <w:spacing w:after="0" w:line="276" w:lineRule="auto"/>
              <w:jc w:val="left"/>
            </w:pPr>
            <w:r>
              <w:rPr>
                <w:sz w:val="19"/>
              </w:rPr>
              <w:t>2020–2021 (decline)</w:t>
            </w:r>
          </w:p>
        </w:tc>
        <w:tc>
          <w:tcPr>
            <w:tcW w:type="dxa" w:w="1615"/>
            <w:tcBorders>
              <w:top w:val="nil"/>
              <w:left w:val="nil"/>
              <w:right w:val="nil"/>
              <w:bottom w:val="single" w:sz="4" w:space="0" w:color="D9DEE5"/>
            </w:tcBorders>
          </w:tcPr>
          <w:p>
            <w:pPr>
              <w:keepNext/>
              <w:spacing w:after="0" w:line="276" w:lineRule="auto"/>
              <w:jc w:val="left"/>
            </w:pPr>
            <w:r>
              <w:rPr>
                <w:sz w:val="19"/>
              </w:rPr>
              <w:t>$6.95M</w:t>
            </w:r>
          </w:p>
        </w:tc>
        <w:tc>
          <w:tcPr>
            <w:tcW w:type="dxa" w:w="1367"/>
            <w:tcBorders>
              <w:top w:val="nil"/>
              <w:left w:val="nil"/>
              <w:right w:val="nil"/>
              <w:bottom w:val="single" w:sz="4" w:space="0" w:color="D9DEE5"/>
            </w:tcBorders>
          </w:tcPr>
          <w:p>
            <w:pPr>
              <w:keepNext/>
              <w:spacing w:after="0" w:line="276" w:lineRule="auto"/>
              <w:jc w:val="left"/>
            </w:pPr>
            <w:r>
              <w:rPr>
                <w:sz w:val="19"/>
              </w:rPr>
              <w:t>-3.2%</w:t>
            </w:r>
          </w:p>
        </w:tc>
        <w:tc>
          <w:tcPr>
            <w:tcW w:type="dxa" w:w="1615"/>
            <w:tcBorders>
              <w:top w:val="nil"/>
              <w:left w:val="nil"/>
              <w:right w:val="nil"/>
              <w:bottom w:val="single" w:sz="4" w:space="0" w:color="D9DEE5"/>
            </w:tcBorders>
          </w:tcPr>
          <w:p>
            <w:pPr>
              <w:keepNext/>
              <w:spacing w:after="0" w:line="276" w:lineRule="auto"/>
              <w:jc w:val="left"/>
            </w:pPr>
            <w:r>
              <w:rPr>
                <w:sz w:val="19"/>
              </w:rPr>
              <w:t>41,500</w:t>
            </w:r>
          </w:p>
        </w:tc>
        <w:tc>
          <w:tcPr>
            <w:tcW w:type="dxa" w:w="1615"/>
            <w:tcBorders>
              <w:top w:val="nil"/>
              <w:left w:val="nil"/>
              <w:right w:val="nil"/>
              <w:bottom w:val="single" w:sz="4" w:space="0" w:color="D9DEE5"/>
            </w:tcBorders>
          </w:tcPr>
          <w:p>
            <w:pPr>
              <w:keepNext/>
              <w:spacing w:after="0" w:line="276" w:lineRule="auto"/>
              <w:jc w:val="left"/>
            </w:pPr>
            <w:r>
              <w:rPr>
                <w:sz w:val="19"/>
              </w:rPr>
              <w:t>$5.35M</w:t>
            </w:r>
          </w:p>
        </w:tc>
      </w:tr>
      <w:tr>
        <w:trPr>
          <w:cantSplit/>
        </w:trPr>
        <w:tc>
          <w:tcPr>
            <w:tcW w:type="dxa" w:w="2858"/>
            <w:tcBorders>
              <w:top w:val="nil"/>
              <w:left w:val="nil"/>
              <w:right w:val="nil"/>
              <w:bottom w:val="single" w:sz="4" w:space="0" w:color="D9DEE5"/>
            </w:tcBorders>
          </w:tcPr>
          <w:p>
            <w:pPr>
              <w:spacing w:after="0" w:line="276" w:lineRule="auto"/>
              <w:jc w:val="left"/>
            </w:pPr>
            <w:r>
              <w:rPr>
                <w:sz w:val="19"/>
              </w:rPr>
              <w:t>2021–2022 (recovery)</w:t>
            </w:r>
          </w:p>
        </w:tc>
        <w:tc>
          <w:tcPr>
            <w:tcW w:type="dxa" w:w="1615"/>
            <w:tcBorders>
              <w:top w:val="nil"/>
              <w:left w:val="nil"/>
              <w:right w:val="nil"/>
              <w:bottom w:val="single" w:sz="4" w:space="0" w:color="D9DEE5"/>
            </w:tcBorders>
          </w:tcPr>
          <w:p>
            <w:pPr>
              <w:spacing w:after="0" w:line="276" w:lineRule="auto"/>
              <w:jc w:val="left"/>
            </w:pPr>
            <w:r>
              <w:rPr>
                <w:sz w:val="19"/>
              </w:rPr>
              <w:t>$7.09M</w:t>
            </w:r>
          </w:p>
        </w:tc>
        <w:tc>
          <w:tcPr>
            <w:tcW w:type="dxa" w:w="1367"/>
            <w:tcBorders>
              <w:top w:val="nil"/>
              <w:left w:val="nil"/>
              <w:right w:val="nil"/>
              <w:bottom w:val="single" w:sz="4" w:space="0" w:color="D9DEE5"/>
            </w:tcBorders>
          </w:tcPr>
          <w:p>
            <w:pPr>
              <w:spacing w:after="0" w:line="276" w:lineRule="auto"/>
              <w:jc w:val="left"/>
            </w:pPr>
            <w:r>
              <w:rPr>
                <w:sz w:val="19"/>
              </w:rPr>
              <w:t>+1.9%</w:t>
            </w:r>
          </w:p>
        </w:tc>
        <w:tc>
          <w:tcPr>
            <w:tcW w:type="dxa" w:w="1615"/>
            <w:tcBorders>
              <w:top w:val="nil"/>
              <w:left w:val="nil"/>
              <w:right w:val="nil"/>
              <w:bottom w:val="single" w:sz="4" w:space="0" w:color="D9DEE5"/>
            </w:tcBorders>
          </w:tcPr>
          <w:p>
            <w:pPr>
              <w:spacing w:after="0" w:line="276" w:lineRule="auto"/>
              <w:jc w:val="left"/>
            </w:pPr>
            <w:r>
              <w:rPr>
                <w:sz w:val="19"/>
              </w:rPr>
              <w:t>42,400</w:t>
            </w:r>
          </w:p>
        </w:tc>
        <w:tc>
          <w:tcPr>
            <w:tcW w:type="dxa" w:w="1615"/>
            <w:tcBorders>
              <w:top w:val="nil"/>
              <w:left w:val="nil"/>
              <w:right w:val="nil"/>
              <w:bottom w:val="single" w:sz="4" w:space="0" w:color="D9DEE5"/>
            </w:tcBorders>
          </w:tcPr>
          <w:p>
            <w:pPr>
              <w:spacing w:after="0" w:line="276" w:lineRule="auto"/>
              <w:jc w:val="left"/>
            </w:pPr>
            <w:r>
              <w:rPr>
                <w:sz w:val="19"/>
              </w:rPr>
              <w:t>$5.45M</w:t>
            </w:r>
          </w:p>
        </w:tc>
      </w:tr>
    </w:tbl>
    <w:p>
      <w:pPr>
        <w:spacing w:after="80" w:line="144" w:lineRule="auto"/>
      </w:pPr>
    </w:p>
    <w:p>
      <w:pPr>
        <w:pStyle w:val="Heading2"/>
      </w:pPr>
      <w:r>
        <w:t>4.3 What kind of change it was (Task 2)</w:t>
      </w:r>
    </w:p>
    <w:p>
      <w:pPr>
        <w:keepNext/>
      </w:pPr>
      <w:r>
        <w:t>Revenue equals the number of sales records multiplied by the average value of a record, and that average value equals units per record multiplied by revenue per unit. Measuring each part separately shows which one caused the decline.</w:t>
      </w:r>
    </w:p>
    <w:p>
      <w:pPr>
        <w:keepNext/>
        <w:spacing w:before="120" w:after="60"/>
      </w:pPr>
      <w:r>
        <w:rPr>
          <w:b/>
          <w:sz w:val="19"/>
        </w:rPr>
        <w:t>Table 2. Revenue broken into its parts</w:t>
      </w:r>
    </w:p>
    <w:tbl>
      <w:tblPr>
        <w:tblW w:type="dxa" w:w="9072"/>
        <w:jc w:val="center"/>
        <w:tblLayout w:type="fixed"/>
        <w:tblLook w:firstColumn="1" w:firstRow="1" w:lastColumn="0" w:lastRow="0" w:noHBand="0" w:noVBand="1" w:val="04A0"/>
        <w:tblCellMar>
          <w:top w:w="70" w:type="dxa"/>
          <w:left w:w="90" w:type="dxa"/>
          <w:bottom w:w="70" w:type="dxa"/>
          <w:right w:w="90" w:type="dxa"/>
        </w:tblCellMar>
        <w:tblLayout w:type="fixed"/>
      </w:tblPr>
      <w:tblGrid>
        <w:gridCol w:w="1414"/>
        <w:gridCol w:w="1826"/>
        <w:gridCol w:w="2179"/>
        <w:gridCol w:w="1826"/>
        <w:gridCol w:w="1826"/>
      </w:tblGrid>
      <w:tr>
        <w:trPr>
          <w:cantSplit/>
          <w:tblHeader/>
        </w:trPr>
        <w:tc>
          <w:tcPr>
            <w:tcW w:type="dxa" w:w="1414"/>
            <w:tcBorders>
              <w:top w:val="nil"/>
              <w:left w:val="nil"/>
              <w:right w:val="nil"/>
              <w:bottom w:val="single" w:sz="4" w:space="0" w:color="D9DEE5"/>
            </w:tcBorders>
            <w:shd w:val="clear" w:color="auto" w:fill="F1F4F8"/>
          </w:tcPr>
          <w:p>
            <w:pPr>
              <w:keepNext/>
              <w:spacing w:after="0" w:line="276" w:lineRule="auto"/>
              <w:jc w:val="left"/>
            </w:pPr>
            <w:r>
              <w:rPr>
                <w:b/>
                <w:sz w:val="19"/>
              </w:rPr>
              <w:t>Season</w:t>
            </w:r>
          </w:p>
        </w:tc>
        <w:tc>
          <w:tcPr>
            <w:tcW w:type="dxa" w:w="1826"/>
            <w:tcBorders>
              <w:top w:val="nil"/>
              <w:left w:val="nil"/>
              <w:right w:val="nil"/>
              <w:bottom w:val="single" w:sz="4" w:space="0" w:color="D9DEE5"/>
            </w:tcBorders>
            <w:shd w:val="clear" w:color="auto" w:fill="F1F4F8"/>
          </w:tcPr>
          <w:p>
            <w:pPr>
              <w:keepNext/>
              <w:spacing w:after="0" w:line="276" w:lineRule="auto"/>
              <w:jc w:val="left"/>
            </w:pPr>
            <w:r>
              <w:rPr>
                <w:b/>
                <w:sz w:val="19"/>
              </w:rPr>
              <w:t>Sales records</w:t>
            </w:r>
          </w:p>
        </w:tc>
        <w:tc>
          <w:tcPr>
            <w:tcW w:type="dxa" w:w="2179"/>
            <w:tcBorders>
              <w:top w:val="nil"/>
              <w:left w:val="nil"/>
              <w:right w:val="nil"/>
              <w:bottom w:val="single" w:sz="4" w:space="0" w:color="D9DEE5"/>
            </w:tcBorders>
            <w:shd w:val="clear" w:color="auto" w:fill="F1F4F8"/>
          </w:tcPr>
          <w:p>
            <w:pPr>
              <w:keepNext/>
              <w:spacing w:after="0" w:line="276" w:lineRule="auto"/>
              <w:jc w:val="left"/>
            </w:pPr>
            <w:r>
              <w:rPr>
                <w:b/>
                <w:sz w:val="19"/>
              </w:rPr>
              <w:t>Average value per record</w:t>
            </w:r>
          </w:p>
        </w:tc>
        <w:tc>
          <w:tcPr>
            <w:tcW w:type="dxa" w:w="1826"/>
            <w:tcBorders>
              <w:top w:val="nil"/>
              <w:left w:val="nil"/>
              <w:right w:val="nil"/>
              <w:bottom w:val="single" w:sz="4" w:space="0" w:color="D9DEE5"/>
            </w:tcBorders>
            <w:shd w:val="clear" w:color="auto" w:fill="F1F4F8"/>
          </w:tcPr>
          <w:p>
            <w:pPr>
              <w:keepNext/>
              <w:spacing w:after="0" w:line="276" w:lineRule="auto"/>
              <w:jc w:val="left"/>
            </w:pPr>
            <w:r>
              <w:rPr>
                <w:b/>
                <w:sz w:val="19"/>
              </w:rPr>
              <w:t>Units per record</w:t>
            </w:r>
          </w:p>
        </w:tc>
        <w:tc>
          <w:tcPr>
            <w:tcW w:type="dxa" w:w="1826"/>
            <w:tcBorders>
              <w:top w:val="nil"/>
              <w:left w:val="nil"/>
              <w:right w:val="nil"/>
              <w:bottom w:val="single" w:sz="4" w:space="0" w:color="D9DEE5"/>
            </w:tcBorders>
            <w:shd w:val="clear" w:color="auto" w:fill="F1F4F8"/>
          </w:tcPr>
          <w:p>
            <w:pPr>
              <w:keepNext/>
              <w:spacing w:after="0" w:line="276" w:lineRule="auto"/>
              <w:jc w:val="left"/>
            </w:pPr>
            <w:r>
              <w:rPr>
                <w:b/>
                <w:sz w:val="19"/>
              </w:rPr>
              <w:t>Revenue per unit</w:t>
            </w:r>
          </w:p>
        </w:tc>
      </w:tr>
      <w:tr>
        <w:trPr>
          <w:cantSplit/>
        </w:trPr>
        <w:tc>
          <w:tcPr>
            <w:tcW w:type="dxa" w:w="1414"/>
            <w:tcBorders>
              <w:top w:val="nil"/>
              <w:left w:val="nil"/>
              <w:right w:val="nil"/>
              <w:bottom w:val="single" w:sz="4" w:space="0" w:color="D9DEE5"/>
            </w:tcBorders>
          </w:tcPr>
          <w:p>
            <w:pPr>
              <w:keepNext/>
              <w:spacing w:after="0" w:line="276" w:lineRule="auto"/>
              <w:jc w:val="left"/>
            </w:pPr>
            <w:r>
              <w:rPr>
                <w:sz w:val="19"/>
              </w:rPr>
              <w:t>Baseline</w:t>
            </w:r>
          </w:p>
        </w:tc>
        <w:tc>
          <w:tcPr>
            <w:tcW w:type="dxa" w:w="1826"/>
            <w:tcBorders>
              <w:top w:val="nil"/>
              <w:left w:val="nil"/>
              <w:right w:val="nil"/>
              <w:bottom w:val="single" w:sz="4" w:space="0" w:color="D9DEE5"/>
            </w:tcBorders>
          </w:tcPr>
          <w:p>
            <w:pPr>
              <w:keepNext/>
              <w:spacing w:after="0" w:line="276" w:lineRule="auto"/>
              <w:jc w:val="left"/>
            </w:pPr>
            <w:r>
              <w:rPr>
                <w:sz w:val="19"/>
              </w:rPr>
              <w:t>9,924</w:t>
            </w:r>
          </w:p>
        </w:tc>
        <w:tc>
          <w:tcPr>
            <w:tcW w:type="dxa" w:w="2179"/>
            <w:tcBorders>
              <w:top w:val="nil"/>
              <w:left w:val="nil"/>
              <w:right w:val="nil"/>
              <w:bottom w:val="single" w:sz="4" w:space="0" w:color="D9DEE5"/>
            </w:tcBorders>
          </w:tcPr>
          <w:p>
            <w:pPr>
              <w:keepNext/>
              <w:spacing w:after="0" w:line="276" w:lineRule="auto"/>
              <w:jc w:val="left"/>
            </w:pPr>
            <w:r>
              <w:rPr>
                <w:sz w:val="19"/>
              </w:rPr>
              <w:t>$723.41</w:t>
            </w:r>
          </w:p>
        </w:tc>
        <w:tc>
          <w:tcPr>
            <w:tcW w:type="dxa" w:w="1826"/>
            <w:tcBorders>
              <w:top w:val="nil"/>
              <w:left w:val="nil"/>
              <w:right w:val="nil"/>
              <w:bottom w:val="single" w:sz="4" w:space="0" w:color="D9DEE5"/>
            </w:tcBorders>
          </w:tcPr>
          <w:p>
            <w:pPr>
              <w:keepNext/>
              <w:spacing w:after="0" w:line="276" w:lineRule="auto"/>
              <w:jc w:val="left"/>
            </w:pPr>
            <w:r>
              <w:rPr>
                <w:sz w:val="19"/>
              </w:rPr>
              <w:t>4.30</w:t>
            </w:r>
          </w:p>
        </w:tc>
        <w:tc>
          <w:tcPr>
            <w:tcW w:type="dxa" w:w="1826"/>
            <w:tcBorders>
              <w:top w:val="nil"/>
              <w:left w:val="nil"/>
              <w:right w:val="nil"/>
              <w:bottom w:val="single" w:sz="4" w:space="0" w:color="D9DEE5"/>
            </w:tcBorders>
          </w:tcPr>
          <w:p>
            <w:pPr>
              <w:keepNext/>
              <w:spacing w:after="0" w:line="276" w:lineRule="auto"/>
              <w:jc w:val="left"/>
            </w:pPr>
            <w:r>
              <w:rPr>
                <w:sz w:val="19"/>
              </w:rPr>
              <w:t>$168.15</w:t>
            </w:r>
          </w:p>
        </w:tc>
      </w:tr>
      <w:tr>
        <w:trPr>
          <w:cantSplit/>
        </w:trPr>
        <w:tc>
          <w:tcPr>
            <w:tcW w:type="dxa" w:w="1414"/>
            <w:tcBorders>
              <w:top w:val="nil"/>
              <w:left w:val="nil"/>
              <w:right w:val="nil"/>
              <w:bottom w:val="single" w:sz="4" w:space="0" w:color="D9DEE5"/>
            </w:tcBorders>
          </w:tcPr>
          <w:p>
            <w:pPr>
              <w:keepNext/>
              <w:spacing w:after="0" w:line="276" w:lineRule="auto"/>
              <w:jc w:val="left"/>
            </w:pPr>
            <w:r>
              <w:rPr>
                <w:sz w:val="19"/>
              </w:rPr>
              <w:t>Decline</w:t>
            </w:r>
          </w:p>
        </w:tc>
        <w:tc>
          <w:tcPr>
            <w:tcW w:type="dxa" w:w="1826"/>
            <w:tcBorders>
              <w:top w:val="nil"/>
              <w:left w:val="nil"/>
              <w:right w:val="nil"/>
              <w:bottom w:val="single" w:sz="4" w:space="0" w:color="D9DEE5"/>
            </w:tcBorders>
          </w:tcPr>
          <w:p>
            <w:pPr>
              <w:keepNext/>
              <w:spacing w:after="0" w:line="276" w:lineRule="auto"/>
              <w:jc w:val="left"/>
            </w:pPr>
            <w:r>
              <w:rPr>
                <w:sz w:val="19"/>
              </w:rPr>
              <w:t>10,023 (+1.0%)</w:t>
            </w:r>
          </w:p>
        </w:tc>
        <w:tc>
          <w:tcPr>
            <w:tcW w:type="dxa" w:w="2179"/>
            <w:tcBorders>
              <w:top w:val="nil"/>
              <w:left w:val="nil"/>
              <w:right w:val="nil"/>
              <w:bottom w:val="single" w:sz="4" w:space="0" w:color="D9DEE5"/>
            </w:tcBorders>
          </w:tcPr>
          <w:p>
            <w:pPr>
              <w:keepNext/>
              <w:spacing w:after="0" w:line="276" w:lineRule="auto"/>
              <w:jc w:val="left"/>
            </w:pPr>
            <w:r>
              <w:rPr>
                <w:sz w:val="19"/>
              </w:rPr>
              <w:t>$693.62 (-4.1%)</w:t>
            </w:r>
          </w:p>
        </w:tc>
        <w:tc>
          <w:tcPr>
            <w:tcW w:type="dxa" w:w="1826"/>
            <w:tcBorders>
              <w:top w:val="nil"/>
              <w:left w:val="nil"/>
              <w:right w:val="nil"/>
              <w:bottom w:val="single" w:sz="4" w:space="0" w:color="D9DEE5"/>
            </w:tcBorders>
          </w:tcPr>
          <w:p>
            <w:pPr>
              <w:keepNext/>
              <w:spacing w:after="0" w:line="276" w:lineRule="auto"/>
              <w:jc w:val="left"/>
            </w:pPr>
            <w:r>
              <w:rPr>
                <w:sz w:val="19"/>
              </w:rPr>
              <w:t>4.14 (-3.7%)</w:t>
            </w:r>
          </w:p>
        </w:tc>
        <w:tc>
          <w:tcPr>
            <w:tcW w:type="dxa" w:w="1826"/>
            <w:tcBorders>
              <w:top w:val="nil"/>
              <w:left w:val="nil"/>
              <w:right w:val="nil"/>
              <w:bottom w:val="single" w:sz="4" w:space="0" w:color="D9DEE5"/>
            </w:tcBorders>
          </w:tcPr>
          <w:p>
            <w:pPr>
              <w:keepNext/>
              <w:spacing w:after="0" w:line="276" w:lineRule="auto"/>
              <w:jc w:val="left"/>
            </w:pPr>
            <w:r>
              <w:rPr>
                <w:sz w:val="19"/>
              </w:rPr>
              <w:t>$167.44 (-0.4%)</w:t>
            </w:r>
          </w:p>
        </w:tc>
      </w:tr>
      <w:tr>
        <w:trPr>
          <w:cantSplit/>
        </w:trPr>
        <w:tc>
          <w:tcPr>
            <w:tcW w:type="dxa" w:w="1414"/>
            <w:tcBorders>
              <w:top w:val="nil"/>
              <w:left w:val="nil"/>
              <w:right w:val="nil"/>
              <w:bottom w:val="single" w:sz="4" w:space="0" w:color="D9DEE5"/>
            </w:tcBorders>
          </w:tcPr>
          <w:p>
            <w:pPr>
              <w:spacing w:after="0" w:line="276" w:lineRule="auto"/>
              <w:jc w:val="left"/>
            </w:pPr>
            <w:r>
              <w:rPr>
                <w:sz w:val="19"/>
              </w:rPr>
              <w:t>Recovery</w:t>
            </w:r>
          </w:p>
        </w:tc>
        <w:tc>
          <w:tcPr>
            <w:tcW w:type="dxa" w:w="1826"/>
            <w:tcBorders>
              <w:top w:val="nil"/>
              <w:left w:val="nil"/>
              <w:right w:val="nil"/>
              <w:bottom w:val="single" w:sz="4" w:space="0" w:color="D9DEE5"/>
            </w:tcBorders>
          </w:tcPr>
          <w:p>
            <w:pPr>
              <w:spacing w:after="0" w:line="276" w:lineRule="auto"/>
              <w:jc w:val="left"/>
            </w:pPr>
            <w:r>
              <w:rPr>
                <w:sz w:val="19"/>
              </w:rPr>
              <w:t>10,034 (+0.1%)</w:t>
            </w:r>
          </w:p>
        </w:tc>
        <w:tc>
          <w:tcPr>
            <w:tcW w:type="dxa" w:w="2179"/>
            <w:tcBorders>
              <w:top w:val="nil"/>
              <w:left w:val="nil"/>
              <w:right w:val="nil"/>
              <w:bottom w:val="single" w:sz="4" w:space="0" w:color="D9DEE5"/>
            </w:tcBorders>
          </w:tcPr>
          <w:p>
            <w:pPr>
              <w:spacing w:after="0" w:line="276" w:lineRule="auto"/>
              <w:jc w:val="left"/>
            </w:pPr>
            <w:r>
              <w:rPr>
                <w:sz w:val="19"/>
              </w:rPr>
              <w:t>$706.25 (+1.8%)</w:t>
            </w:r>
          </w:p>
        </w:tc>
        <w:tc>
          <w:tcPr>
            <w:tcW w:type="dxa" w:w="1826"/>
            <w:tcBorders>
              <w:top w:val="nil"/>
              <w:left w:val="nil"/>
              <w:right w:val="nil"/>
              <w:bottom w:val="single" w:sz="4" w:space="0" w:color="D9DEE5"/>
            </w:tcBorders>
          </w:tcPr>
          <w:p>
            <w:pPr>
              <w:spacing w:after="0" w:line="276" w:lineRule="auto"/>
              <w:jc w:val="left"/>
            </w:pPr>
            <w:r>
              <w:rPr>
                <w:sz w:val="19"/>
              </w:rPr>
              <w:t>4.22 (+1.9%)</w:t>
            </w:r>
          </w:p>
        </w:tc>
        <w:tc>
          <w:tcPr>
            <w:tcW w:type="dxa" w:w="1826"/>
            <w:tcBorders>
              <w:top w:val="nil"/>
              <w:left w:val="nil"/>
              <w:right w:val="nil"/>
              <w:bottom w:val="single" w:sz="4" w:space="0" w:color="D9DEE5"/>
            </w:tcBorders>
          </w:tcPr>
          <w:p>
            <w:pPr>
              <w:spacing w:after="0" w:line="276" w:lineRule="auto"/>
              <w:jc w:val="left"/>
            </w:pPr>
            <w:r>
              <w:rPr>
                <w:sz w:val="19"/>
              </w:rPr>
              <w:t>$167.23 (-0.1%)</w:t>
            </w:r>
          </w:p>
        </w:tc>
      </w:tr>
    </w:tbl>
    <w:p>
      <w:pPr>
        <w:spacing w:after="80" w:line="144" w:lineRule="auto"/>
      </w:pPr>
    </w:p>
    <w:p>
      <w:r>
        <w:t>The number of records rose slightly and the price per unit was almost unchanged. The decline came from fewer units in each record. Customers kept buying, at the same prices, but bought less each time.</w:t>
      </w:r>
    </w:p>
    <w:p>
      <w:pPr>
        <w:pStyle w:val="Heading2"/>
      </w:pPr>
      <w:r>
        <w:t>4.4 Where it happened (Task 3)</w:t>
      </w:r>
    </w:p>
    <w:p>
      <w:pPr>
        <w:keepNext/>
      </w:pPr>
      <w:r>
        <w:rPr>
          <w:b/>
        </w:rPr>
        <w:t>Age group.</w:t>
      </w:r>
      <w:r>
        <w:t xml:space="preserve"> This is the clearest split in the data. Adults lost more revenue than the company as a whole, and children's products grew.</w:t>
      </w:r>
    </w:p>
    <w:p>
      <w:pPr>
        <w:keepNext/>
        <w:spacing w:before="120" w:after="60"/>
      </w:pPr>
      <w:r>
        <w:rPr>
          <w:b/>
          <w:sz w:val="19"/>
        </w:rPr>
        <w:t>Table 3. Revenue by customer age group, decline compared with baseline</w:t>
      </w:r>
    </w:p>
    <w:tbl>
      <w:tblPr>
        <w:tblW w:type="dxa" w:w="9072"/>
        <w:jc w:val="center"/>
        <w:tblLayout w:type="fixed"/>
        <w:tblLook w:firstColumn="1" w:firstRow="1" w:lastColumn="0" w:lastRow="0" w:noHBand="0" w:noVBand="1" w:val="04A0"/>
        <w:tblCellMar>
          <w:top w:w="70" w:type="dxa"/>
          <w:left w:w="90" w:type="dxa"/>
          <w:bottom w:w="70" w:type="dxa"/>
          <w:right w:w="90" w:type="dxa"/>
        </w:tblCellMar>
        <w:tblLayout w:type="fixed"/>
      </w:tblPr>
      <w:tblGrid>
        <w:gridCol w:w="1552"/>
        <w:gridCol w:w="1253"/>
        <w:gridCol w:w="1253"/>
        <w:gridCol w:w="1671"/>
        <w:gridCol w:w="1194"/>
        <w:gridCol w:w="2148"/>
      </w:tblGrid>
      <w:tr>
        <w:trPr>
          <w:cantSplit/>
          <w:tblHeader/>
        </w:trPr>
        <w:tc>
          <w:tcPr>
            <w:tcW w:type="dxa" w:w="1552"/>
            <w:tcBorders>
              <w:top w:val="nil"/>
              <w:left w:val="nil"/>
              <w:right w:val="nil"/>
              <w:bottom w:val="single" w:sz="4" w:space="0" w:color="D9DEE5"/>
            </w:tcBorders>
            <w:shd w:val="clear" w:color="auto" w:fill="F1F4F8"/>
          </w:tcPr>
          <w:p>
            <w:pPr>
              <w:keepNext/>
              <w:spacing w:after="0" w:line="276" w:lineRule="auto"/>
              <w:jc w:val="left"/>
            </w:pPr>
            <w:r>
              <w:rPr>
                <w:b/>
                <w:sz w:val="19"/>
              </w:rPr>
              <w:t>Age group</w:t>
            </w:r>
          </w:p>
        </w:tc>
        <w:tc>
          <w:tcPr>
            <w:tcW w:type="dxa" w:w="1253"/>
            <w:tcBorders>
              <w:top w:val="nil"/>
              <w:left w:val="nil"/>
              <w:right w:val="nil"/>
              <w:bottom w:val="single" w:sz="4" w:space="0" w:color="D9DEE5"/>
            </w:tcBorders>
            <w:shd w:val="clear" w:color="auto" w:fill="F1F4F8"/>
          </w:tcPr>
          <w:p>
            <w:pPr>
              <w:keepNext/>
              <w:spacing w:after="0" w:line="276" w:lineRule="auto"/>
              <w:jc w:val="left"/>
            </w:pPr>
            <w:r>
              <w:rPr>
                <w:b/>
                <w:sz w:val="19"/>
              </w:rPr>
              <w:t>Baseline</w:t>
            </w:r>
          </w:p>
        </w:tc>
        <w:tc>
          <w:tcPr>
            <w:tcW w:type="dxa" w:w="1253"/>
            <w:tcBorders>
              <w:top w:val="nil"/>
              <w:left w:val="nil"/>
              <w:right w:val="nil"/>
              <w:bottom w:val="single" w:sz="4" w:space="0" w:color="D9DEE5"/>
            </w:tcBorders>
            <w:shd w:val="clear" w:color="auto" w:fill="F1F4F8"/>
          </w:tcPr>
          <w:p>
            <w:pPr>
              <w:keepNext/>
              <w:spacing w:after="0" w:line="276" w:lineRule="auto"/>
              <w:jc w:val="left"/>
            </w:pPr>
            <w:r>
              <w:rPr>
                <w:b/>
                <w:sz w:val="19"/>
              </w:rPr>
              <w:t>Decline</w:t>
            </w:r>
          </w:p>
        </w:tc>
        <w:tc>
          <w:tcPr>
            <w:tcW w:type="dxa" w:w="1671"/>
            <w:tcBorders>
              <w:top w:val="nil"/>
              <w:left w:val="nil"/>
              <w:right w:val="nil"/>
              <w:bottom w:val="single" w:sz="4" w:space="0" w:color="D9DEE5"/>
            </w:tcBorders>
            <w:shd w:val="clear" w:color="auto" w:fill="F1F4F8"/>
          </w:tcPr>
          <w:p>
            <w:pPr>
              <w:keepNext/>
              <w:spacing w:after="0" w:line="276" w:lineRule="auto"/>
              <w:jc w:val="left"/>
            </w:pPr>
            <w:r>
              <w:rPr>
                <w:b/>
                <w:sz w:val="19"/>
              </w:rPr>
              <w:t>Revenue change</w:t>
            </w:r>
          </w:p>
        </w:tc>
        <w:tc>
          <w:tcPr>
            <w:tcW w:type="dxa" w:w="1194"/>
            <w:tcBorders>
              <w:top w:val="nil"/>
              <w:left w:val="nil"/>
              <w:right w:val="nil"/>
              <w:bottom w:val="single" w:sz="4" w:space="0" w:color="D9DEE5"/>
            </w:tcBorders>
            <w:shd w:val="clear" w:color="auto" w:fill="F1F4F8"/>
          </w:tcPr>
          <w:p>
            <w:pPr>
              <w:keepNext/>
              <w:spacing w:after="0" w:line="276" w:lineRule="auto"/>
              <w:jc w:val="left"/>
            </w:pPr>
            <w:r>
              <w:rPr>
                <w:b/>
                <w:sz w:val="19"/>
              </w:rPr>
              <w:t>% change</w:t>
            </w:r>
          </w:p>
        </w:tc>
        <w:tc>
          <w:tcPr>
            <w:tcW w:type="dxa" w:w="2148"/>
            <w:tcBorders>
              <w:top w:val="nil"/>
              <w:left w:val="nil"/>
              <w:right w:val="nil"/>
              <w:bottom w:val="single" w:sz="4" w:space="0" w:color="D9DEE5"/>
            </w:tcBorders>
            <w:shd w:val="clear" w:color="auto" w:fill="F1F4F8"/>
          </w:tcPr>
          <w:p>
            <w:pPr>
              <w:keepNext/>
              <w:spacing w:after="0" w:line="276" w:lineRule="auto"/>
              <w:jc w:val="left"/>
            </w:pPr>
            <w:r>
              <w:rPr>
                <w:b/>
                <w:sz w:val="19"/>
              </w:rPr>
              <w:t>Average value per record</w:t>
            </w:r>
          </w:p>
        </w:tc>
      </w:tr>
      <w:tr>
        <w:trPr>
          <w:cantSplit/>
        </w:trPr>
        <w:tc>
          <w:tcPr>
            <w:tcW w:type="dxa" w:w="1552"/>
            <w:tcBorders>
              <w:top w:val="nil"/>
              <w:left w:val="nil"/>
              <w:right w:val="nil"/>
              <w:bottom w:val="single" w:sz="4" w:space="0" w:color="D9DEE5"/>
            </w:tcBorders>
          </w:tcPr>
          <w:p>
            <w:pPr>
              <w:keepNext/>
              <w:spacing w:after="0" w:line="276" w:lineRule="auto"/>
              <w:jc w:val="left"/>
            </w:pPr>
            <w:r>
              <w:rPr>
                <w:sz w:val="19"/>
              </w:rPr>
              <w:t>18 and over</w:t>
            </w:r>
          </w:p>
        </w:tc>
        <w:tc>
          <w:tcPr>
            <w:tcW w:type="dxa" w:w="1253"/>
            <w:tcBorders>
              <w:top w:val="nil"/>
              <w:left w:val="nil"/>
              <w:right w:val="nil"/>
              <w:bottom w:val="single" w:sz="4" w:space="0" w:color="D9DEE5"/>
            </w:tcBorders>
          </w:tcPr>
          <w:p>
            <w:pPr>
              <w:keepNext/>
              <w:spacing w:after="0" w:line="276" w:lineRule="auto"/>
              <w:jc w:val="left"/>
            </w:pPr>
            <w:r>
              <w:rPr>
                <w:sz w:val="19"/>
              </w:rPr>
              <w:t>$2.32M</w:t>
            </w:r>
          </w:p>
        </w:tc>
        <w:tc>
          <w:tcPr>
            <w:tcW w:type="dxa" w:w="1253"/>
            <w:tcBorders>
              <w:top w:val="nil"/>
              <w:left w:val="nil"/>
              <w:right w:val="nil"/>
              <w:bottom w:val="single" w:sz="4" w:space="0" w:color="D9DEE5"/>
            </w:tcBorders>
          </w:tcPr>
          <w:p>
            <w:pPr>
              <w:keepNext/>
              <w:spacing w:after="0" w:line="276" w:lineRule="auto"/>
              <w:jc w:val="left"/>
            </w:pPr>
            <w:r>
              <w:rPr>
                <w:sz w:val="19"/>
              </w:rPr>
              <w:t>$1.97M</w:t>
            </w:r>
          </w:p>
        </w:tc>
        <w:tc>
          <w:tcPr>
            <w:tcW w:type="dxa" w:w="1671"/>
            <w:tcBorders>
              <w:top w:val="nil"/>
              <w:left w:val="nil"/>
              <w:right w:val="nil"/>
              <w:bottom w:val="single" w:sz="4" w:space="0" w:color="D9DEE5"/>
            </w:tcBorders>
          </w:tcPr>
          <w:p>
            <w:pPr>
              <w:keepNext/>
              <w:spacing w:after="0" w:line="276" w:lineRule="auto"/>
              <w:jc w:val="left"/>
            </w:pPr>
            <w:r>
              <w:rPr>
                <w:sz w:val="19"/>
              </w:rPr>
              <w:t>-$352,695</w:t>
            </w:r>
          </w:p>
        </w:tc>
        <w:tc>
          <w:tcPr>
            <w:tcW w:type="dxa" w:w="1194"/>
            <w:tcBorders>
              <w:top w:val="nil"/>
              <w:left w:val="nil"/>
              <w:right w:val="nil"/>
              <w:bottom w:val="single" w:sz="4" w:space="0" w:color="D9DEE5"/>
            </w:tcBorders>
          </w:tcPr>
          <w:p>
            <w:pPr>
              <w:keepNext/>
              <w:spacing w:after="0" w:line="276" w:lineRule="auto"/>
              <w:jc w:val="left"/>
            </w:pPr>
            <w:r>
              <w:rPr>
                <w:sz w:val="19"/>
              </w:rPr>
              <w:t>-15.2%</w:t>
            </w:r>
          </w:p>
        </w:tc>
        <w:tc>
          <w:tcPr>
            <w:tcW w:type="dxa" w:w="2148"/>
            <w:tcBorders>
              <w:top w:val="nil"/>
              <w:left w:val="nil"/>
              <w:right w:val="nil"/>
              <w:bottom w:val="single" w:sz="4" w:space="0" w:color="D9DEE5"/>
            </w:tcBorders>
          </w:tcPr>
          <w:p>
            <w:pPr>
              <w:keepNext/>
              <w:spacing w:after="0" w:line="276" w:lineRule="auto"/>
              <w:jc w:val="left"/>
            </w:pPr>
            <w:r>
              <w:rPr>
                <w:sz w:val="19"/>
              </w:rPr>
              <w:t>-11.7%</w:t>
            </w:r>
          </w:p>
        </w:tc>
      </w:tr>
      <w:tr>
        <w:trPr>
          <w:cantSplit/>
        </w:trPr>
        <w:tc>
          <w:tcPr>
            <w:tcW w:type="dxa" w:w="1552"/>
            <w:tcBorders>
              <w:top w:val="nil"/>
              <w:left w:val="nil"/>
              <w:right w:val="nil"/>
              <w:bottom w:val="single" w:sz="4" w:space="0" w:color="D9DEE5"/>
            </w:tcBorders>
          </w:tcPr>
          <w:p>
            <w:pPr>
              <w:keepNext/>
              <w:spacing w:after="0" w:line="276" w:lineRule="auto"/>
              <w:jc w:val="left"/>
            </w:pPr>
            <w:r>
              <w:rPr>
                <w:sz w:val="19"/>
              </w:rPr>
              <w:t>12 to 17</w:t>
            </w:r>
          </w:p>
        </w:tc>
        <w:tc>
          <w:tcPr>
            <w:tcW w:type="dxa" w:w="1253"/>
            <w:tcBorders>
              <w:top w:val="nil"/>
              <w:left w:val="nil"/>
              <w:right w:val="nil"/>
              <w:bottom w:val="single" w:sz="4" w:space="0" w:color="D9DEE5"/>
            </w:tcBorders>
          </w:tcPr>
          <w:p>
            <w:pPr>
              <w:keepNext/>
              <w:spacing w:after="0" w:line="276" w:lineRule="auto"/>
              <w:jc w:val="left"/>
            </w:pPr>
            <w:r>
              <w:rPr>
                <w:sz w:val="19"/>
              </w:rPr>
              <w:t>$2.14M</w:t>
            </w:r>
          </w:p>
        </w:tc>
        <w:tc>
          <w:tcPr>
            <w:tcW w:type="dxa" w:w="1253"/>
            <w:tcBorders>
              <w:top w:val="nil"/>
              <w:left w:val="nil"/>
              <w:right w:val="nil"/>
              <w:bottom w:val="single" w:sz="4" w:space="0" w:color="D9DEE5"/>
            </w:tcBorders>
          </w:tcPr>
          <w:p>
            <w:pPr>
              <w:keepNext/>
              <w:spacing w:after="0" w:line="276" w:lineRule="auto"/>
              <w:jc w:val="left"/>
            </w:pPr>
            <w:r>
              <w:rPr>
                <w:sz w:val="19"/>
              </w:rPr>
              <w:t>$2.14M</w:t>
            </w:r>
          </w:p>
        </w:tc>
        <w:tc>
          <w:tcPr>
            <w:tcW w:type="dxa" w:w="1671"/>
            <w:tcBorders>
              <w:top w:val="nil"/>
              <w:left w:val="nil"/>
              <w:right w:val="nil"/>
              <w:bottom w:val="single" w:sz="4" w:space="0" w:color="D9DEE5"/>
            </w:tcBorders>
          </w:tcPr>
          <w:p>
            <w:pPr>
              <w:keepNext/>
              <w:spacing w:after="0" w:line="276" w:lineRule="auto"/>
              <w:jc w:val="left"/>
            </w:pPr>
            <w:r>
              <w:rPr>
                <w:sz w:val="19"/>
              </w:rPr>
              <w:t>-$4,683</w:t>
            </w:r>
          </w:p>
        </w:tc>
        <w:tc>
          <w:tcPr>
            <w:tcW w:type="dxa" w:w="1194"/>
            <w:tcBorders>
              <w:top w:val="nil"/>
              <w:left w:val="nil"/>
              <w:right w:val="nil"/>
              <w:bottom w:val="single" w:sz="4" w:space="0" w:color="D9DEE5"/>
            </w:tcBorders>
          </w:tcPr>
          <w:p>
            <w:pPr>
              <w:keepNext/>
              <w:spacing w:after="0" w:line="276" w:lineRule="auto"/>
              <w:jc w:val="left"/>
            </w:pPr>
            <w:r>
              <w:rPr>
                <w:sz w:val="19"/>
              </w:rPr>
              <w:t>-0.2%</w:t>
            </w:r>
          </w:p>
        </w:tc>
        <w:tc>
          <w:tcPr>
            <w:tcW w:type="dxa" w:w="2148"/>
            <w:tcBorders>
              <w:top w:val="nil"/>
              <w:left w:val="nil"/>
              <w:right w:val="nil"/>
              <w:bottom w:val="single" w:sz="4" w:space="0" w:color="D9DEE5"/>
            </w:tcBorders>
          </w:tcPr>
          <w:p>
            <w:pPr>
              <w:keepNext/>
              <w:spacing w:after="0" w:line="276" w:lineRule="auto"/>
              <w:jc w:val="left"/>
            </w:pPr>
            <w:r>
              <w:rPr>
                <w:sz w:val="19"/>
              </w:rPr>
              <w:t>-5.7%</w:t>
            </w:r>
          </w:p>
        </w:tc>
      </w:tr>
      <w:tr>
        <w:trPr>
          <w:cantSplit/>
        </w:trPr>
        <w:tc>
          <w:tcPr>
            <w:tcW w:type="dxa" w:w="1552"/>
            <w:tcBorders>
              <w:top w:val="nil"/>
              <w:left w:val="nil"/>
              <w:right w:val="nil"/>
              <w:bottom w:val="single" w:sz="4" w:space="0" w:color="D9DEE5"/>
            </w:tcBorders>
          </w:tcPr>
          <w:p>
            <w:pPr>
              <w:spacing w:after="0" w:line="276" w:lineRule="auto"/>
              <w:jc w:val="left"/>
            </w:pPr>
            <w:r>
              <w:rPr>
                <w:sz w:val="19"/>
              </w:rPr>
              <w:t>1 to 11</w:t>
            </w:r>
          </w:p>
        </w:tc>
        <w:tc>
          <w:tcPr>
            <w:tcW w:type="dxa" w:w="1253"/>
            <w:tcBorders>
              <w:top w:val="nil"/>
              <w:left w:val="nil"/>
              <w:right w:val="nil"/>
              <w:bottom w:val="single" w:sz="4" w:space="0" w:color="D9DEE5"/>
            </w:tcBorders>
          </w:tcPr>
          <w:p>
            <w:pPr>
              <w:spacing w:after="0" w:line="276" w:lineRule="auto"/>
              <w:jc w:val="left"/>
            </w:pPr>
            <w:r>
              <w:rPr>
                <w:sz w:val="19"/>
              </w:rPr>
              <w:t>$2.71M</w:t>
            </w:r>
          </w:p>
        </w:tc>
        <w:tc>
          <w:tcPr>
            <w:tcW w:type="dxa" w:w="1253"/>
            <w:tcBorders>
              <w:top w:val="nil"/>
              <w:left w:val="nil"/>
              <w:right w:val="nil"/>
              <w:bottom w:val="single" w:sz="4" w:space="0" w:color="D9DEE5"/>
            </w:tcBorders>
          </w:tcPr>
          <w:p>
            <w:pPr>
              <w:spacing w:after="0" w:line="276" w:lineRule="auto"/>
              <w:jc w:val="left"/>
            </w:pPr>
            <w:r>
              <w:rPr>
                <w:sz w:val="19"/>
              </w:rPr>
              <w:t>$2.85M</w:t>
            </w:r>
          </w:p>
        </w:tc>
        <w:tc>
          <w:tcPr>
            <w:tcW w:type="dxa" w:w="1671"/>
            <w:tcBorders>
              <w:top w:val="nil"/>
              <w:left w:val="nil"/>
              <w:right w:val="nil"/>
              <w:bottom w:val="single" w:sz="4" w:space="0" w:color="D9DEE5"/>
            </w:tcBorders>
          </w:tcPr>
          <w:p>
            <w:pPr>
              <w:spacing w:after="0" w:line="276" w:lineRule="auto"/>
              <w:jc w:val="left"/>
            </w:pPr>
            <w:r>
              <w:rPr>
                <w:sz w:val="19"/>
              </w:rPr>
              <w:t>+$130,363</w:t>
            </w:r>
          </w:p>
        </w:tc>
        <w:tc>
          <w:tcPr>
            <w:tcW w:type="dxa" w:w="1194"/>
            <w:tcBorders>
              <w:top w:val="nil"/>
              <w:left w:val="nil"/>
              <w:right w:val="nil"/>
              <w:bottom w:val="single" w:sz="4" w:space="0" w:color="D9DEE5"/>
            </w:tcBorders>
          </w:tcPr>
          <w:p>
            <w:pPr>
              <w:spacing w:after="0" w:line="276" w:lineRule="auto"/>
              <w:jc w:val="left"/>
            </w:pPr>
            <w:r>
              <w:rPr>
                <w:sz w:val="19"/>
              </w:rPr>
              <w:t>+4.8%</w:t>
            </w:r>
          </w:p>
        </w:tc>
        <w:tc>
          <w:tcPr>
            <w:tcW w:type="dxa" w:w="2148"/>
            <w:tcBorders>
              <w:top w:val="nil"/>
              <w:left w:val="nil"/>
              <w:right w:val="nil"/>
              <w:bottom w:val="single" w:sz="4" w:space="0" w:color="D9DEE5"/>
            </w:tcBorders>
          </w:tcPr>
          <w:p>
            <w:pPr>
              <w:spacing w:after="0" w:line="276" w:lineRule="auto"/>
              <w:jc w:val="left"/>
            </w:pPr>
            <w:r>
              <w:rPr>
                <w:sz w:val="19"/>
              </w:rPr>
              <w:t>+3.5%</w:t>
            </w:r>
          </w:p>
        </w:tc>
      </w:tr>
    </w:tbl>
    <w:p>
      <w:pPr>
        <w:spacing w:after="80" w:line="144" w:lineRule="auto"/>
      </w:pPr>
    </w:p>
    <w:p>
      <w:pPr>
        <w:keepNext/>
      </w:pPr>
      <w:r>
        <w:rPr>
          <w:b/>
        </w:rPr>
        <w:t>Channel.</w:t>
      </w:r>
      <w:r>
        <w:t xml:space="preserve"> In-store lost the most revenue in the decline season and then recovered fully. The Xmas Market declined in both seasons. Online grew during the decline and then fell sharply.</w:t>
      </w:r>
    </w:p>
    <w:p>
      <w:pPr>
        <w:keepNext/>
        <w:spacing w:before="120" w:after="60"/>
      </w:pPr>
      <w:r>
        <w:rPr>
          <w:b/>
          <w:sz w:val="19"/>
        </w:rPr>
        <w:t>Table 4. Revenue by sales channel across the three seasons</w:t>
      </w:r>
    </w:p>
    <w:tbl>
      <w:tblPr>
        <w:tblW w:type="dxa" w:w="9072"/>
        <w:jc w:val="center"/>
        <w:tblLayout w:type="fixed"/>
        <w:tblLook w:firstColumn="1" w:firstRow="1" w:lastColumn="0" w:lastRow="0" w:noHBand="0" w:noVBand="1" w:val="04A0"/>
        <w:tblCellMar>
          <w:top w:w="70" w:type="dxa"/>
          <w:left w:w="90" w:type="dxa"/>
          <w:bottom w:w="70" w:type="dxa"/>
          <w:right w:w="90" w:type="dxa"/>
        </w:tblCellMar>
        <w:tblLayout w:type="fixed"/>
      </w:tblPr>
      <w:tblGrid>
        <w:gridCol w:w="1562"/>
        <w:gridCol w:w="1262"/>
        <w:gridCol w:w="1262"/>
        <w:gridCol w:w="1262"/>
        <w:gridCol w:w="1862"/>
        <w:gridCol w:w="1862"/>
      </w:tblGrid>
      <w:tr>
        <w:trPr>
          <w:cantSplit/>
          <w:tblHeader/>
        </w:trPr>
        <w:tc>
          <w:tcPr>
            <w:tcW w:type="dxa" w:w="1562"/>
            <w:tcBorders>
              <w:top w:val="nil"/>
              <w:left w:val="nil"/>
              <w:right w:val="nil"/>
              <w:bottom w:val="single" w:sz="4" w:space="0" w:color="D9DEE5"/>
            </w:tcBorders>
            <w:shd w:val="clear" w:color="auto" w:fill="F1F4F8"/>
          </w:tcPr>
          <w:p>
            <w:pPr>
              <w:keepNext/>
              <w:spacing w:after="0" w:line="276" w:lineRule="auto"/>
              <w:jc w:val="left"/>
            </w:pPr>
            <w:r>
              <w:rPr>
                <w:b/>
                <w:sz w:val="19"/>
              </w:rPr>
              <w:t>Channel</w:t>
            </w:r>
          </w:p>
        </w:tc>
        <w:tc>
          <w:tcPr>
            <w:tcW w:type="dxa" w:w="1262"/>
            <w:tcBorders>
              <w:top w:val="nil"/>
              <w:left w:val="nil"/>
              <w:right w:val="nil"/>
              <w:bottom w:val="single" w:sz="4" w:space="0" w:color="D9DEE5"/>
            </w:tcBorders>
            <w:shd w:val="clear" w:color="auto" w:fill="F1F4F8"/>
          </w:tcPr>
          <w:p>
            <w:pPr>
              <w:keepNext/>
              <w:spacing w:after="0" w:line="276" w:lineRule="auto"/>
              <w:jc w:val="left"/>
            </w:pPr>
            <w:r>
              <w:rPr>
                <w:b/>
                <w:sz w:val="19"/>
              </w:rPr>
              <w:t>Baseline</w:t>
            </w:r>
          </w:p>
        </w:tc>
        <w:tc>
          <w:tcPr>
            <w:tcW w:type="dxa" w:w="1262"/>
            <w:tcBorders>
              <w:top w:val="nil"/>
              <w:left w:val="nil"/>
              <w:right w:val="nil"/>
              <w:bottom w:val="single" w:sz="4" w:space="0" w:color="D9DEE5"/>
            </w:tcBorders>
            <w:shd w:val="clear" w:color="auto" w:fill="F1F4F8"/>
          </w:tcPr>
          <w:p>
            <w:pPr>
              <w:keepNext/>
              <w:spacing w:after="0" w:line="276" w:lineRule="auto"/>
              <w:jc w:val="left"/>
            </w:pPr>
            <w:r>
              <w:rPr>
                <w:b/>
                <w:sz w:val="19"/>
              </w:rPr>
              <w:t>Decline</w:t>
            </w:r>
          </w:p>
        </w:tc>
        <w:tc>
          <w:tcPr>
            <w:tcW w:type="dxa" w:w="1262"/>
            <w:tcBorders>
              <w:top w:val="nil"/>
              <w:left w:val="nil"/>
              <w:right w:val="nil"/>
              <w:bottom w:val="single" w:sz="4" w:space="0" w:color="D9DEE5"/>
            </w:tcBorders>
            <w:shd w:val="clear" w:color="auto" w:fill="F1F4F8"/>
          </w:tcPr>
          <w:p>
            <w:pPr>
              <w:keepNext/>
              <w:spacing w:after="0" w:line="276" w:lineRule="auto"/>
              <w:jc w:val="left"/>
            </w:pPr>
            <w:r>
              <w:rPr>
                <w:b/>
                <w:sz w:val="19"/>
              </w:rPr>
              <w:t>Recovery</w:t>
            </w:r>
          </w:p>
        </w:tc>
        <w:tc>
          <w:tcPr>
            <w:tcW w:type="dxa" w:w="1862"/>
            <w:tcBorders>
              <w:top w:val="nil"/>
              <w:left w:val="nil"/>
              <w:right w:val="nil"/>
              <w:bottom w:val="single" w:sz="4" w:space="0" w:color="D9DEE5"/>
            </w:tcBorders>
            <w:shd w:val="clear" w:color="auto" w:fill="F1F4F8"/>
          </w:tcPr>
          <w:p>
            <w:pPr>
              <w:keepNext/>
              <w:spacing w:after="0" w:line="276" w:lineRule="auto"/>
              <w:jc w:val="left"/>
            </w:pPr>
            <w:r>
              <w:rPr>
                <w:b/>
                <w:sz w:val="19"/>
              </w:rPr>
              <w:t>Decline vs baseline</w:t>
            </w:r>
          </w:p>
        </w:tc>
        <w:tc>
          <w:tcPr>
            <w:tcW w:type="dxa" w:w="1862"/>
            <w:tcBorders>
              <w:top w:val="nil"/>
              <w:left w:val="nil"/>
              <w:right w:val="nil"/>
              <w:bottom w:val="single" w:sz="4" w:space="0" w:color="D9DEE5"/>
            </w:tcBorders>
            <w:shd w:val="clear" w:color="auto" w:fill="F1F4F8"/>
          </w:tcPr>
          <w:p>
            <w:pPr>
              <w:keepNext/>
              <w:spacing w:after="0" w:line="276" w:lineRule="auto"/>
              <w:jc w:val="left"/>
            </w:pPr>
            <w:r>
              <w:rPr>
                <w:b/>
                <w:sz w:val="19"/>
              </w:rPr>
              <w:t>Recovery vs decline</w:t>
            </w:r>
          </w:p>
        </w:tc>
      </w:tr>
      <w:tr>
        <w:trPr>
          <w:cantSplit/>
        </w:trPr>
        <w:tc>
          <w:tcPr>
            <w:tcW w:type="dxa" w:w="1562"/>
            <w:tcBorders>
              <w:top w:val="nil"/>
              <w:left w:val="nil"/>
              <w:right w:val="nil"/>
              <w:bottom w:val="single" w:sz="4" w:space="0" w:color="D9DEE5"/>
            </w:tcBorders>
          </w:tcPr>
          <w:p>
            <w:pPr>
              <w:keepNext/>
              <w:spacing w:after="0" w:line="276" w:lineRule="auto"/>
              <w:jc w:val="left"/>
            </w:pPr>
            <w:r>
              <w:rPr>
                <w:sz w:val="19"/>
              </w:rPr>
              <w:t>In-store</w:t>
            </w:r>
          </w:p>
        </w:tc>
        <w:tc>
          <w:tcPr>
            <w:tcW w:type="dxa" w:w="1262"/>
            <w:tcBorders>
              <w:top w:val="nil"/>
              <w:left w:val="nil"/>
              <w:right w:val="nil"/>
              <w:bottom w:val="single" w:sz="4" w:space="0" w:color="D9DEE5"/>
            </w:tcBorders>
          </w:tcPr>
          <w:p>
            <w:pPr>
              <w:keepNext/>
              <w:spacing w:after="0" w:line="276" w:lineRule="auto"/>
              <w:jc w:val="left"/>
            </w:pPr>
            <w:r>
              <w:rPr>
                <w:sz w:val="19"/>
              </w:rPr>
              <w:t>$4.60M</w:t>
            </w:r>
          </w:p>
        </w:tc>
        <w:tc>
          <w:tcPr>
            <w:tcW w:type="dxa" w:w="1262"/>
            <w:tcBorders>
              <w:top w:val="nil"/>
              <w:left w:val="nil"/>
              <w:right w:val="nil"/>
              <w:bottom w:val="single" w:sz="4" w:space="0" w:color="D9DEE5"/>
            </w:tcBorders>
          </w:tcPr>
          <w:p>
            <w:pPr>
              <w:keepNext/>
              <w:spacing w:after="0" w:line="276" w:lineRule="auto"/>
              <w:jc w:val="left"/>
            </w:pPr>
            <w:r>
              <w:rPr>
                <w:sz w:val="19"/>
              </w:rPr>
              <w:t>$4.40M</w:t>
            </w:r>
          </w:p>
        </w:tc>
        <w:tc>
          <w:tcPr>
            <w:tcW w:type="dxa" w:w="1262"/>
            <w:tcBorders>
              <w:top w:val="nil"/>
              <w:left w:val="nil"/>
              <w:right w:val="nil"/>
              <w:bottom w:val="single" w:sz="4" w:space="0" w:color="D9DEE5"/>
            </w:tcBorders>
          </w:tcPr>
          <w:p>
            <w:pPr>
              <w:keepNext/>
              <w:spacing w:after="0" w:line="276" w:lineRule="auto"/>
              <w:jc w:val="left"/>
            </w:pPr>
            <w:r>
              <w:rPr>
                <w:sz w:val="19"/>
              </w:rPr>
              <w:t>$4.76M</w:t>
            </w:r>
          </w:p>
        </w:tc>
        <w:tc>
          <w:tcPr>
            <w:tcW w:type="dxa" w:w="1862"/>
            <w:tcBorders>
              <w:top w:val="nil"/>
              <w:left w:val="nil"/>
              <w:right w:val="nil"/>
              <w:bottom w:val="single" w:sz="4" w:space="0" w:color="D9DEE5"/>
            </w:tcBorders>
          </w:tcPr>
          <w:p>
            <w:pPr>
              <w:keepNext/>
              <w:spacing w:after="0" w:line="276" w:lineRule="auto"/>
              <w:jc w:val="left"/>
            </w:pPr>
            <w:r>
              <w:rPr>
                <w:sz w:val="19"/>
              </w:rPr>
              <w:t>-4.3%</w:t>
            </w:r>
          </w:p>
        </w:tc>
        <w:tc>
          <w:tcPr>
            <w:tcW w:type="dxa" w:w="1862"/>
            <w:tcBorders>
              <w:top w:val="nil"/>
              <w:left w:val="nil"/>
              <w:right w:val="nil"/>
              <w:bottom w:val="single" w:sz="4" w:space="0" w:color="D9DEE5"/>
            </w:tcBorders>
          </w:tcPr>
          <w:p>
            <w:pPr>
              <w:keepNext/>
              <w:spacing w:after="0" w:line="276" w:lineRule="auto"/>
              <w:jc w:val="left"/>
            </w:pPr>
            <w:r>
              <w:rPr>
                <w:sz w:val="19"/>
              </w:rPr>
              <w:t>+8.3%</w:t>
            </w:r>
          </w:p>
        </w:tc>
      </w:tr>
      <w:tr>
        <w:trPr>
          <w:cantSplit/>
        </w:trPr>
        <w:tc>
          <w:tcPr>
            <w:tcW w:type="dxa" w:w="1562"/>
            <w:tcBorders>
              <w:top w:val="nil"/>
              <w:left w:val="nil"/>
              <w:right w:val="nil"/>
              <w:bottom w:val="single" w:sz="4" w:space="0" w:color="D9DEE5"/>
            </w:tcBorders>
          </w:tcPr>
          <w:p>
            <w:pPr>
              <w:keepNext/>
              <w:spacing w:after="0" w:line="276" w:lineRule="auto"/>
              <w:jc w:val="left"/>
            </w:pPr>
            <w:r>
              <w:rPr>
                <w:sz w:val="19"/>
              </w:rPr>
              <w:t>Xmas Market</w:t>
            </w:r>
          </w:p>
        </w:tc>
        <w:tc>
          <w:tcPr>
            <w:tcW w:type="dxa" w:w="1262"/>
            <w:tcBorders>
              <w:top w:val="nil"/>
              <w:left w:val="nil"/>
              <w:right w:val="nil"/>
              <w:bottom w:val="single" w:sz="4" w:space="0" w:color="D9DEE5"/>
            </w:tcBorders>
          </w:tcPr>
          <w:p>
            <w:pPr>
              <w:keepNext/>
              <w:spacing w:after="0" w:line="276" w:lineRule="auto"/>
              <w:jc w:val="left"/>
            </w:pPr>
            <w:r>
              <w:rPr>
                <w:sz w:val="19"/>
              </w:rPr>
              <w:t>$1.29M</w:t>
            </w:r>
          </w:p>
        </w:tc>
        <w:tc>
          <w:tcPr>
            <w:tcW w:type="dxa" w:w="1262"/>
            <w:tcBorders>
              <w:top w:val="nil"/>
              <w:left w:val="nil"/>
              <w:right w:val="nil"/>
              <w:bottom w:val="single" w:sz="4" w:space="0" w:color="D9DEE5"/>
            </w:tcBorders>
          </w:tcPr>
          <w:p>
            <w:pPr>
              <w:keepNext/>
              <w:spacing w:after="0" w:line="276" w:lineRule="auto"/>
              <w:jc w:val="left"/>
            </w:pPr>
            <w:r>
              <w:rPr>
                <w:sz w:val="19"/>
              </w:rPr>
              <w:t>$1.23M</w:t>
            </w:r>
          </w:p>
        </w:tc>
        <w:tc>
          <w:tcPr>
            <w:tcW w:type="dxa" w:w="1262"/>
            <w:tcBorders>
              <w:top w:val="nil"/>
              <w:left w:val="nil"/>
              <w:right w:val="nil"/>
              <w:bottom w:val="single" w:sz="4" w:space="0" w:color="D9DEE5"/>
            </w:tcBorders>
          </w:tcPr>
          <w:p>
            <w:pPr>
              <w:keepNext/>
              <w:spacing w:after="0" w:line="276" w:lineRule="auto"/>
              <w:jc w:val="left"/>
            </w:pPr>
            <w:r>
              <w:rPr>
                <w:sz w:val="19"/>
              </w:rPr>
              <w:t>$1.19M</w:t>
            </w:r>
          </w:p>
        </w:tc>
        <w:tc>
          <w:tcPr>
            <w:tcW w:type="dxa" w:w="1862"/>
            <w:tcBorders>
              <w:top w:val="nil"/>
              <w:left w:val="nil"/>
              <w:right w:val="nil"/>
              <w:bottom w:val="single" w:sz="4" w:space="0" w:color="D9DEE5"/>
            </w:tcBorders>
          </w:tcPr>
          <w:p>
            <w:pPr>
              <w:keepNext/>
              <w:spacing w:after="0" w:line="276" w:lineRule="auto"/>
              <w:jc w:val="left"/>
            </w:pPr>
            <w:r>
              <w:rPr>
                <w:sz w:val="19"/>
              </w:rPr>
              <w:t>-4.8%</w:t>
            </w:r>
          </w:p>
        </w:tc>
        <w:tc>
          <w:tcPr>
            <w:tcW w:type="dxa" w:w="1862"/>
            <w:tcBorders>
              <w:top w:val="nil"/>
              <w:left w:val="nil"/>
              <w:right w:val="nil"/>
              <w:bottom w:val="single" w:sz="4" w:space="0" w:color="D9DEE5"/>
            </w:tcBorders>
          </w:tcPr>
          <w:p>
            <w:pPr>
              <w:keepNext/>
              <w:spacing w:after="0" w:line="276" w:lineRule="auto"/>
              <w:jc w:val="left"/>
            </w:pPr>
            <w:r>
              <w:rPr>
                <w:sz w:val="19"/>
              </w:rPr>
              <w:t>-3.4%</w:t>
            </w:r>
          </w:p>
        </w:tc>
      </w:tr>
      <w:tr>
        <w:trPr>
          <w:cantSplit/>
        </w:trPr>
        <w:tc>
          <w:tcPr>
            <w:tcW w:type="dxa" w:w="1562"/>
            <w:tcBorders>
              <w:top w:val="nil"/>
              <w:left w:val="nil"/>
              <w:right w:val="nil"/>
              <w:bottom w:val="single" w:sz="4" w:space="0" w:color="D9DEE5"/>
            </w:tcBorders>
          </w:tcPr>
          <w:p>
            <w:pPr>
              <w:spacing w:after="0" w:line="276" w:lineRule="auto"/>
              <w:jc w:val="left"/>
            </w:pPr>
            <w:r>
              <w:rPr>
                <w:sz w:val="19"/>
              </w:rPr>
              <w:t>Online</w:t>
            </w:r>
          </w:p>
        </w:tc>
        <w:tc>
          <w:tcPr>
            <w:tcW w:type="dxa" w:w="1262"/>
            <w:tcBorders>
              <w:top w:val="nil"/>
              <w:left w:val="nil"/>
              <w:right w:val="nil"/>
              <w:bottom w:val="single" w:sz="4" w:space="0" w:color="D9DEE5"/>
            </w:tcBorders>
          </w:tcPr>
          <w:p>
            <w:pPr>
              <w:spacing w:after="0" w:line="276" w:lineRule="auto"/>
              <w:jc w:val="left"/>
            </w:pPr>
            <w:r>
              <w:rPr>
                <w:sz w:val="19"/>
              </w:rPr>
              <w:t>$1.29M</w:t>
            </w:r>
          </w:p>
        </w:tc>
        <w:tc>
          <w:tcPr>
            <w:tcW w:type="dxa" w:w="1262"/>
            <w:tcBorders>
              <w:top w:val="nil"/>
              <w:left w:val="nil"/>
              <w:right w:val="nil"/>
              <w:bottom w:val="single" w:sz="4" w:space="0" w:color="D9DEE5"/>
            </w:tcBorders>
          </w:tcPr>
          <w:p>
            <w:pPr>
              <w:spacing w:after="0" w:line="276" w:lineRule="auto"/>
              <w:jc w:val="left"/>
            </w:pPr>
            <w:r>
              <w:rPr>
                <w:sz w:val="19"/>
              </w:rPr>
              <w:t>$1.32M</w:t>
            </w:r>
          </w:p>
        </w:tc>
        <w:tc>
          <w:tcPr>
            <w:tcW w:type="dxa" w:w="1262"/>
            <w:tcBorders>
              <w:top w:val="nil"/>
              <w:left w:val="nil"/>
              <w:right w:val="nil"/>
              <w:bottom w:val="single" w:sz="4" w:space="0" w:color="D9DEE5"/>
            </w:tcBorders>
          </w:tcPr>
          <w:p>
            <w:pPr>
              <w:spacing w:after="0" w:line="276" w:lineRule="auto"/>
              <w:jc w:val="left"/>
            </w:pPr>
            <w:r>
              <w:rPr>
                <w:sz w:val="19"/>
              </w:rPr>
              <w:t>$1.13M</w:t>
            </w:r>
          </w:p>
        </w:tc>
        <w:tc>
          <w:tcPr>
            <w:tcW w:type="dxa" w:w="1862"/>
            <w:tcBorders>
              <w:top w:val="nil"/>
              <w:left w:val="nil"/>
              <w:right w:val="nil"/>
              <w:bottom w:val="single" w:sz="4" w:space="0" w:color="D9DEE5"/>
            </w:tcBorders>
          </w:tcPr>
          <w:p>
            <w:pPr>
              <w:spacing w:after="0" w:line="276" w:lineRule="auto"/>
              <w:jc w:val="left"/>
            </w:pPr>
            <w:r>
              <w:rPr>
                <w:sz w:val="19"/>
              </w:rPr>
              <w:t>+2.4%</w:t>
            </w:r>
          </w:p>
        </w:tc>
        <w:tc>
          <w:tcPr>
            <w:tcW w:type="dxa" w:w="1862"/>
            <w:tcBorders>
              <w:top w:val="nil"/>
              <w:left w:val="nil"/>
              <w:right w:val="nil"/>
              <w:bottom w:val="single" w:sz="4" w:space="0" w:color="D9DEE5"/>
            </w:tcBorders>
          </w:tcPr>
          <w:p>
            <w:pPr>
              <w:spacing w:after="0" w:line="276" w:lineRule="auto"/>
              <w:jc w:val="left"/>
            </w:pPr>
            <w:r>
              <w:rPr>
                <w:sz w:val="19"/>
              </w:rPr>
              <w:t>-14.2%</w:t>
            </w:r>
          </w:p>
        </w:tc>
      </w:tr>
    </w:tbl>
    <w:p>
      <w:pPr>
        <w:spacing w:after="80" w:line="144" w:lineRule="auto"/>
      </w:pPr>
    </w:p>
    <w:p>
      <w:r>
        <w:t>The remaining splits are summarised below.</w:t>
      </w:r>
    </w:p>
    <w:p>
      <w:pPr>
        <w:pStyle w:val="ListBullet"/>
      </w:pPr>
      <w:r>
        <w:rPr>
          <w:b/>
        </w:rPr>
        <w:t>Product category:</w:t>
      </w:r>
      <w:r>
        <w:t xml:space="preserve"> clothing lost $150,000 (-16.8%), wearable tech $75,000 (-26.2%) and kitchen appliances $53,000 (-18.5%). Puzzles (+20.5%), board games (+9.0%) and building sets (+6.2%) grew.</w:t>
      </w:r>
    </w:p>
    <w:p>
      <w:pPr>
        <w:pStyle w:val="ListBullet"/>
      </w:pPr>
      <w:r>
        <w:rPr>
          <w:b/>
        </w:rPr>
        <w:t>Country:</w:t>
      </w:r>
      <w:r>
        <w:t xml:space="preserve"> the United Kingdom lost $141,000 (-14.7%), Poland $97,000 (-18.1%) and Germany $74,000 (-7.5%). London alone lost $101,000 (-35.6%). France (+14.5%), Belgium (+9.9%) and Portugal (+8.2%) grew.</w:t>
      </w:r>
    </w:p>
    <w:p>
      <w:pPr>
        <w:pStyle w:val="ListBullet"/>
      </w:pPr>
      <w:r>
        <w:rPr>
          <w:b/>
        </w:rPr>
        <w:t>Gender:</w:t>
      </w:r>
      <w:r>
        <w:t xml:space="preserve"> revenue from female customers fell 6.0% ($219,000); revenue from male customers was flat (-0.2%).</w:t>
      </w:r>
    </w:p>
    <w:p>
      <w:pPr>
        <w:pStyle w:val="ListBullet"/>
      </w:pPr>
      <w:r>
        <w:rPr>
          <w:b/>
        </w:rPr>
        <w:t>Payment method:</w:t>
      </w:r>
      <w:r>
        <w:t xml:space="preserve"> PayPal (-10.6%), debit card (-10.8%) and credit card (-4.6%) fell; cash grew 2.3%.</w:t>
      </w:r>
    </w:p>
    <w:p>
      <w:pPr>
        <w:pStyle w:val="ListBullet"/>
      </w:pPr>
      <w:r>
        <w:rPr>
          <w:b/>
        </w:rPr>
        <w:t>Month:</w:t>
      </w:r>
      <w:r>
        <w:t xml:space="preserve"> December revenue fell 6.1% and November 3.0%, while January grew 4.7%.</w:t>
      </w:r>
    </w:p>
    <w:p>
      <w:pPr>
        <w:pStyle w:val="Heading2"/>
      </w:pPr>
      <w:r>
        <w:t>4.5 How the findings overlap (Task 4)</w:t>
      </w:r>
    </w:p>
    <w:p>
      <w:r>
        <w:t>Looking at one category at a time can count the same lost sales several times. Task 4 combines categories to check.</w:t>
      </w:r>
    </w:p>
    <w:p>
      <w:pPr>
        <w:pStyle w:val="ListBullet"/>
      </w:pPr>
      <w:r>
        <w:rPr>
          <w:b/>
        </w:rPr>
        <w:t>Adults bought less in every channel:</w:t>
      </w:r>
      <w:r>
        <w:t xml:space="preserve"> in-store -$180,000 (-13.7%), Xmas Market -$101,000 (-19.5%) and online -$72,000 (-14.5%). The adult decline is not a problem with one channel.</w:t>
      </w:r>
    </w:p>
    <w:p>
      <w:pPr>
        <w:pStyle w:val="ListBullet"/>
      </w:pPr>
      <w:r>
        <w:rPr>
          <w:b/>
        </w:rPr>
        <w:t>Clothing fell in the physical channels:</w:t>
      </w:r>
      <w:r>
        <w:t xml:space="preserve"> Xmas Market clothing lost $83,000 (-38.6%) and in-store clothing $63,000 (-12.7%), while online clothing was nearly flat (-2.2%).</w:t>
      </w:r>
    </w:p>
    <w:p>
      <w:pPr>
        <w:pStyle w:val="ListBullet"/>
      </w:pPr>
      <w:r>
        <w:rPr>
          <w:b/>
        </w:rPr>
        <w:t>The payment pattern is not uniform:</w:t>
      </w:r>
      <w:r>
        <w:t xml:space="preserve"> card and PayPal revenue fell in-store, but credit-card revenue grew online (+5.6%). The payment finding in 4.4 mostly reflects where adults shop.</w:t>
      </w:r>
    </w:p>
    <w:p>
      <w:pPr>
        <w:keepNext/>
      </w:pPr>
      <w:r>
        <w:t>The products that lost the most revenue sold far fewer units, while their prices moved much less. In each case the fall in units was at least twice the size of the price change.</w:t>
      </w:r>
    </w:p>
    <w:p>
      <w:pPr>
        <w:keepNext/>
        <w:spacing w:before="120" w:after="60"/>
      </w:pPr>
      <w:r>
        <w:rPr>
          <w:b/>
          <w:sz w:val="19"/>
        </w:rPr>
        <w:t>Table 5. Units and price for the five products with the largest revenue loss</w:t>
      </w:r>
    </w:p>
    <w:tbl>
      <w:tblPr>
        <w:tblW w:type="dxa" w:w="9072"/>
        <w:jc w:val="center"/>
        <w:tblLayout w:type="fixed"/>
        <w:tblLook w:firstColumn="1" w:firstRow="1" w:lastColumn="0" w:lastRow="0" w:noHBand="0" w:noVBand="1" w:val="04A0"/>
        <w:tblCellMar>
          <w:top w:w="70" w:type="dxa"/>
          <w:left w:w="90" w:type="dxa"/>
          <w:bottom w:w="70" w:type="dxa"/>
          <w:right w:w="90" w:type="dxa"/>
        </w:tblCellMar>
        <w:tblLayout w:type="fixed"/>
      </w:tblPr>
      <w:tblGrid>
        <w:gridCol w:w="2442"/>
        <w:gridCol w:w="1221"/>
        <w:gridCol w:w="1221"/>
        <w:gridCol w:w="1163"/>
        <w:gridCol w:w="1628"/>
        <w:gridCol w:w="1396"/>
      </w:tblGrid>
      <w:tr>
        <w:trPr>
          <w:cantSplit/>
          <w:tblHeader/>
        </w:trPr>
        <w:tc>
          <w:tcPr>
            <w:tcW w:type="dxa" w:w="2442"/>
            <w:tcBorders>
              <w:top w:val="nil"/>
              <w:left w:val="nil"/>
              <w:right w:val="nil"/>
              <w:bottom w:val="single" w:sz="4" w:space="0" w:color="D9DEE5"/>
            </w:tcBorders>
            <w:shd w:val="clear" w:color="auto" w:fill="F1F4F8"/>
          </w:tcPr>
          <w:p>
            <w:pPr>
              <w:keepNext/>
              <w:spacing w:after="0" w:line="276" w:lineRule="auto"/>
              <w:jc w:val="left"/>
            </w:pPr>
            <w:r>
              <w:rPr>
                <w:b/>
                <w:sz w:val="19"/>
              </w:rPr>
              <w:t>Product</w:t>
            </w:r>
          </w:p>
        </w:tc>
        <w:tc>
          <w:tcPr>
            <w:tcW w:type="dxa" w:w="1221"/>
            <w:tcBorders>
              <w:top w:val="nil"/>
              <w:left w:val="nil"/>
              <w:right w:val="nil"/>
              <w:bottom w:val="single" w:sz="4" w:space="0" w:color="D9DEE5"/>
            </w:tcBorders>
            <w:shd w:val="clear" w:color="auto" w:fill="F1F4F8"/>
          </w:tcPr>
          <w:p>
            <w:pPr>
              <w:keepNext/>
              <w:spacing w:after="0" w:line="276" w:lineRule="auto"/>
              <w:jc w:val="left"/>
            </w:pPr>
            <w:r>
              <w:rPr>
                <w:b/>
                <w:sz w:val="19"/>
              </w:rPr>
              <w:t>Units, baseline</w:t>
            </w:r>
          </w:p>
        </w:tc>
        <w:tc>
          <w:tcPr>
            <w:tcW w:type="dxa" w:w="1221"/>
            <w:tcBorders>
              <w:top w:val="nil"/>
              <w:left w:val="nil"/>
              <w:right w:val="nil"/>
              <w:bottom w:val="single" w:sz="4" w:space="0" w:color="D9DEE5"/>
            </w:tcBorders>
            <w:shd w:val="clear" w:color="auto" w:fill="F1F4F8"/>
          </w:tcPr>
          <w:p>
            <w:pPr>
              <w:keepNext/>
              <w:spacing w:after="0" w:line="276" w:lineRule="auto"/>
              <w:jc w:val="left"/>
            </w:pPr>
            <w:r>
              <w:rPr>
                <w:b/>
                <w:sz w:val="19"/>
              </w:rPr>
              <w:t>Units, decline</w:t>
            </w:r>
          </w:p>
        </w:tc>
        <w:tc>
          <w:tcPr>
            <w:tcW w:type="dxa" w:w="1163"/>
            <w:tcBorders>
              <w:top w:val="nil"/>
              <w:left w:val="nil"/>
              <w:right w:val="nil"/>
              <w:bottom w:val="single" w:sz="4" w:space="0" w:color="D9DEE5"/>
            </w:tcBorders>
            <w:shd w:val="clear" w:color="auto" w:fill="F1F4F8"/>
          </w:tcPr>
          <w:p>
            <w:pPr>
              <w:keepNext/>
              <w:spacing w:after="0" w:line="276" w:lineRule="auto"/>
              <w:jc w:val="left"/>
            </w:pPr>
            <w:r>
              <w:rPr>
                <w:b/>
                <w:sz w:val="19"/>
              </w:rPr>
              <w:t>Units change</w:t>
            </w:r>
          </w:p>
        </w:tc>
        <w:tc>
          <w:tcPr>
            <w:tcW w:type="dxa" w:w="1628"/>
            <w:tcBorders>
              <w:top w:val="nil"/>
              <w:left w:val="nil"/>
              <w:right w:val="nil"/>
              <w:bottom w:val="single" w:sz="4" w:space="0" w:color="D9DEE5"/>
            </w:tcBorders>
            <w:shd w:val="clear" w:color="auto" w:fill="F1F4F8"/>
          </w:tcPr>
          <w:p>
            <w:pPr>
              <w:keepNext/>
              <w:spacing w:after="0" w:line="276" w:lineRule="auto"/>
              <w:jc w:val="left"/>
            </w:pPr>
            <w:r>
              <w:rPr>
                <w:b/>
                <w:sz w:val="19"/>
              </w:rPr>
              <w:t>Average unit price change</w:t>
            </w:r>
          </w:p>
        </w:tc>
        <w:tc>
          <w:tcPr>
            <w:tcW w:type="dxa" w:w="1396"/>
            <w:tcBorders>
              <w:top w:val="nil"/>
              <w:left w:val="nil"/>
              <w:right w:val="nil"/>
              <w:bottom w:val="single" w:sz="4" w:space="0" w:color="D9DEE5"/>
            </w:tcBorders>
            <w:shd w:val="clear" w:color="auto" w:fill="F1F4F8"/>
          </w:tcPr>
          <w:p>
            <w:pPr>
              <w:keepNext/>
              <w:spacing w:after="0" w:line="276" w:lineRule="auto"/>
              <w:jc w:val="left"/>
            </w:pPr>
            <w:r>
              <w:rPr>
                <w:b/>
                <w:sz w:val="19"/>
              </w:rPr>
              <w:t>Revenue change</w:t>
            </w:r>
          </w:p>
        </w:tc>
      </w:tr>
      <w:tr>
        <w:trPr>
          <w:cantSplit/>
        </w:trPr>
        <w:tc>
          <w:tcPr>
            <w:tcW w:type="dxa" w:w="2442"/>
            <w:tcBorders>
              <w:top w:val="nil"/>
              <w:left w:val="nil"/>
              <w:right w:val="nil"/>
              <w:bottom w:val="single" w:sz="4" w:space="0" w:color="D9DEE5"/>
            </w:tcBorders>
          </w:tcPr>
          <w:p>
            <w:pPr>
              <w:keepNext/>
              <w:spacing w:after="0" w:line="276" w:lineRule="auto"/>
              <w:jc w:val="left"/>
            </w:pPr>
            <w:r>
              <w:rPr>
                <w:sz w:val="19"/>
              </w:rPr>
              <w:t>The North Face Jacket</w:t>
            </w:r>
          </w:p>
        </w:tc>
        <w:tc>
          <w:tcPr>
            <w:tcW w:type="dxa" w:w="1221"/>
            <w:tcBorders>
              <w:top w:val="nil"/>
              <w:left w:val="nil"/>
              <w:right w:val="nil"/>
              <w:bottom w:val="single" w:sz="4" w:space="0" w:color="D9DEE5"/>
            </w:tcBorders>
          </w:tcPr>
          <w:p>
            <w:pPr>
              <w:keepNext/>
              <w:spacing w:after="0" w:line="276" w:lineRule="auto"/>
              <w:jc w:val="left"/>
            </w:pPr>
            <w:r>
              <w:rPr>
                <w:sz w:val="19"/>
              </w:rPr>
              <w:t>1,981</w:t>
            </w:r>
          </w:p>
        </w:tc>
        <w:tc>
          <w:tcPr>
            <w:tcW w:type="dxa" w:w="1221"/>
            <w:tcBorders>
              <w:top w:val="nil"/>
              <w:left w:val="nil"/>
              <w:right w:val="nil"/>
              <w:bottom w:val="single" w:sz="4" w:space="0" w:color="D9DEE5"/>
            </w:tcBorders>
          </w:tcPr>
          <w:p>
            <w:pPr>
              <w:keepNext/>
              <w:spacing w:after="0" w:line="276" w:lineRule="auto"/>
              <w:jc w:val="left"/>
            </w:pPr>
            <w:r>
              <w:rPr>
                <w:sz w:val="19"/>
              </w:rPr>
              <w:t>1,589</w:t>
            </w:r>
          </w:p>
        </w:tc>
        <w:tc>
          <w:tcPr>
            <w:tcW w:type="dxa" w:w="1163"/>
            <w:tcBorders>
              <w:top w:val="nil"/>
              <w:left w:val="nil"/>
              <w:right w:val="nil"/>
              <w:bottom w:val="single" w:sz="4" w:space="0" w:color="D9DEE5"/>
            </w:tcBorders>
          </w:tcPr>
          <w:p>
            <w:pPr>
              <w:keepNext/>
              <w:spacing w:after="0" w:line="276" w:lineRule="auto"/>
              <w:jc w:val="left"/>
            </w:pPr>
            <w:r>
              <w:rPr>
                <w:sz w:val="19"/>
              </w:rPr>
              <w:t>-19.8%</w:t>
            </w:r>
          </w:p>
        </w:tc>
        <w:tc>
          <w:tcPr>
            <w:tcW w:type="dxa" w:w="1628"/>
            <w:tcBorders>
              <w:top w:val="nil"/>
              <w:left w:val="nil"/>
              <w:right w:val="nil"/>
              <w:bottom w:val="single" w:sz="4" w:space="0" w:color="D9DEE5"/>
            </w:tcBorders>
          </w:tcPr>
          <w:p>
            <w:pPr>
              <w:keepNext/>
              <w:spacing w:after="0" w:line="276" w:lineRule="auto"/>
              <w:jc w:val="left"/>
            </w:pPr>
            <w:r>
              <w:rPr>
                <w:sz w:val="19"/>
              </w:rPr>
              <w:t>-1.3%</w:t>
            </w:r>
          </w:p>
        </w:tc>
        <w:tc>
          <w:tcPr>
            <w:tcW w:type="dxa" w:w="1396"/>
            <w:tcBorders>
              <w:top w:val="nil"/>
              <w:left w:val="nil"/>
              <w:right w:val="nil"/>
              <w:bottom w:val="single" w:sz="4" w:space="0" w:color="D9DEE5"/>
            </w:tcBorders>
          </w:tcPr>
          <w:p>
            <w:pPr>
              <w:keepNext/>
              <w:spacing w:after="0" w:line="276" w:lineRule="auto"/>
              <w:jc w:val="left"/>
            </w:pPr>
            <w:r>
              <w:rPr>
                <w:sz w:val="19"/>
              </w:rPr>
              <w:t>-$79,000</w:t>
            </w:r>
          </w:p>
        </w:tc>
      </w:tr>
      <w:tr>
        <w:trPr>
          <w:cantSplit/>
        </w:trPr>
        <w:tc>
          <w:tcPr>
            <w:tcW w:type="dxa" w:w="2442"/>
            <w:tcBorders>
              <w:top w:val="nil"/>
              <w:left w:val="nil"/>
              <w:right w:val="nil"/>
              <w:bottom w:val="single" w:sz="4" w:space="0" w:color="D9DEE5"/>
            </w:tcBorders>
          </w:tcPr>
          <w:p>
            <w:pPr>
              <w:keepNext/>
              <w:spacing w:after="0" w:line="276" w:lineRule="auto"/>
              <w:jc w:val="left"/>
            </w:pPr>
            <w:r>
              <w:rPr>
                <w:sz w:val="19"/>
              </w:rPr>
              <w:t>Fitbit Inspire</w:t>
            </w:r>
          </w:p>
        </w:tc>
        <w:tc>
          <w:tcPr>
            <w:tcW w:type="dxa" w:w="1221"/>
            <w:tcBorders>
              <w:top w:val="nil"/>
              <w:left w:val="nil"/>
              <w:right w:val="nil"/>
              <w:bottom w:val="single" w:sz="4" w:space="0" w:color="D9DEE5"/>
            </w:tcBorders>
          </w:tcPr>
          <w:p>
            <w:pPr>
              <w:keepNext/>
              <w:spacing w:after="0" w:line="276" w:lineRule="auto"/>
              <w:jc w:val="left"/>
            </w:pPr>
            <w:r>
              <w:rPr>
                <w:sz w:val="19"/>
              </w:rPr>
              <w:t>1,645</w:t>
            </w:r>
          </w:p>
        </w:tc>
        <w:tc>
          <w:tcPr>
            <w:tcW w:type="dxa" w:w="1221"/>
            <w:tcBorders>
              <w:top w:val="nil"/>
              <w:left w:val="nil"/>
              <w:right w:val="nil"/>
              <w:bottom w:val="single" w:sz="4" w:space="0" w:color="D9DEE5"/>
            </w:tcBorders>
          </w:tcPr>
          <w:p>
            <w:pPr>
              <w:keepNext/>
              <w:spacing w:after="0" w:line="276" w:lineRule="auto"/>
              <w:jc w:val="left"/>
            </w:pPr>
            <w:r>
              <w:rPr>
                <w:sz w:val="19"/>
              </w:rPr>
              <w:t>1,396</w:t>
            </w:r>
          </w:p>
        </w:tc>
        <w:tc>
          <w:tcPr>
            <w:tcW w:type="dxa" w:w="1163"/>
            <w:tcBorders>
              <w:top w:val="nil"/>
              <w:left w:val="nil"/>
              <w:right w:val="nil"/>
              <w:bottom w:val="single" w:sz="4" w:space="0" w:color="D9DEE5"/>
            </w:tcBorders>
          </w:tcPr>
          <w:p>
            <w:pPr>
              <w:keepNext/>
              <w:spacing w:after="0" w:line="276" w:lineRule="auto"/>
              <w:jc w:val="left"/>
            </w:pPr>
            <w:r>
              <w:rPr>
                <w:sz w:val="19"/>
              </w:rPr>
              <w:t>-15.1%</w:t>
            </w:r>
          </w:p>
        </w:tc>
        <w:tc>
          <w:tcPr>
            <w:tcW w:type="dxa" w:w="1628"/>
            <w:tcBorders>
              <w:top w:val="nil"/>
              <w:left w:val="nil"/>
              <w:right w:val="nil"/>
              <w:bottom w:val="single" w:sz="4" w:space="0" w:color="D9DEE5"/>
            </w:tcBorders>
          </w:tcPr>
          <w:p>
            <w:pPr>
              <w:keepNext/>
              <w:spacing w:after="0" w:line="276" w:lineRule="auto"/>
              <w:jc w:val="left"/>
            </w:pPr>
            <w:r>
              <w:rPr>
                <w:sz w:val="19"/>
              </w:rPr>
              <w:t>-6.4%</w:t>
            </w:r>
          </w:p>
        </w:tc>
        <w:tc>
          <w:tcPr>
            <w:tcW w:type="dxa" w:w="1396"/>
            <w:tcBorders>
              <w:top w:val="nil"/>
              <w:left w:val="nil"/>
              <w:right w:val="nil"/>
              <w:bottom w:val="single" w:sz="4" w:space="0" w:color="D9DEE5"/>
            </w:tcBorders>
          </w:tcPr>
          <w:p>
            <w:pPr>
              <w:keepNext/>
              <w:spacing w:after="0" w:line="276" w:lineRule="auto"/>
              <w:jc w:val="left"/>
            </w:pPr>
            <w:r>
              <w:rPr>
                <w:sz w:val="19"/>
              </w:rPr>
              <w:t>-$75,000</w:t>
            </w:r>
          </w:p>
        </w:tc>
      </w:tr>
      <w:tr>
        <w:trPr>
          <w:cantSplit/>
        </w:trPr>
        <w:tc>
          <w:tcPr>
            <w:tcW w:type="dxa" w:w="2442"/>
            <w:tcBorders>
              <w:top w:val="nil"/>
              <w:left w:val="nil"/>
              <w:right w:val="nil"/>
              <w:bottom w:val="single" w:sz="4" w:space="0" w:color="D9DEE5"/>
            </w:tcBorders>
          </w:tcPr>
          <w:p>
            <w:pPr>
              <w:keepNext/>
              <w:spacing w:after="0" w:line="276" w:lineRule="auto"/>
              <w:jc w:val="left"/>
            </w:pPr>
            <w:r>
              <w:rPr>
                <w:sz w:val="19"/>
              </w:rPr>
              <w:t>Nike Running Shoes</w:t>
            </w:r>
          </w:p>
        </w:tc>
        <w:tc>
          <w:tcPr>
            <w:tcW w:type="dxa" w:w="1221"/>
            <w:tcBorders>
              <w:top w:val="nil"/>
              <w:left w:val="nil"/>
              <w:right w:val="nil"/>
              <w:bottom w:val="single" w:sz="4" w:space="0" w:color="D9DEE5"/>
            </w:tcBorders>
          </w:tcPr>
          <w:p>
            <w:pPr>
              <w:keepNext/>
              <w:spacing w:after="0" w:line="276" w:lineRule="auto"/>
              <w:jc w:val="left"/>
            </w:pPr>
            <w:r>
              <w:rPr>
                <w:sz w:val="19"/>
              </w:rPr>
              <w:t>1,677</w:t>
            </w:r>
          </w:p>
        </w:tc>
        <w:tc>
          <w:tcPr>
            <w:tcW w:type="dxa" w:w="1221"/>
            <w:tcBorders>
              <w:top w:val="nil"/>
              <w:left w:val="nil"/>
              <w:right w:val="nil"/>
              <w:bottom w:val="single" w:sz="4" w:space="0" w:color="D9DEE5"/>
            </w:tcBorders>
          </w:tcPr>
          <w:p>
            <w:pPr>
              <w:keepNext/>
              <w:spacing w:after="0" w:line="276" w:lineRule="auto"/>
              <w:jc w:val="left"/>
            </w:pPr>
            <w:r>
              <w:rPr>
                <w:sz w:val="19"/>
              </w:rPr>
              <w:t>1,390</w:t>
            </w:r>
          </w:p>
        </w:tc>
        <w:tc>
          <w:tcPr>
            <w:tcW w:type="dxa" w:w="1163"/>
            <w:tcBorders>
              <w:top w:val="nil"/>
              <w:left w:val="nil"/>
              <w:right w:val="nil"/>
              <w:bottom w:val="single" w:sz="4" w:space="0" w:color="D9DEE5"/>
            </w:tcBorders>
          </w:tcPr>
          <w:p>
            <w:pPr>
              <w:keepNext/>
              <w:spacing w:after="0" w:line="276" w:lineRule="auto"/>
              <w:jc w:val="left"/>
            </w:pPr>
            <w:r>
              <w:rPr>
                <w:sz w:val="19"/>
              </w:rPr>
              <w:t>-17.1%</w:t>
            </w:r>
          </w:p>
        </w:tc>
        <w:tc>
          <w:tcPr>
            <w:tcW w:type="dxa" w:w="1628"/>
            <w:tcBorders>
              <w:top w:val="nil"/>
              <w:left w:val="nil"/>
              <w:right w:val="nil"/>
              <w:bottom w:val="single" w:sz="4" w:space="0" w:color="D9DEE5"/>
            </w:tcBorders>
          </w:tcPr>
          <w:p>
            <w:pPr>
              <w:keepNext/>
              <w:spacing w:after="0" w:line="276" w:lineRule="auto"/>
              <w:jc w:val="left"/>
            </w:pPr>
            <w:r>
              <w:rPr>
                <w:sz w:val="19"/>
              </w:rPr>
              <w:t>-3.4%</w:t>
            </w:r>
          </w:p>
        </w:tc>
        <w:tc>
          <w:tcPr>
            <w:tcW w:type="dxa" w:w="1396"/>
            <w:tcBorders>
              <w:top w:val="nil"/>
              <w:left w:val="nil"/>
              <w:right w:val="nil"/>
              <w:bottom w:val="single" w:sz="4" w:space="0" w:color="D9DEE5"/>
            </w:tcBorders>
          </w:tcPr>
          <w:p>
            <w:pPr>
              <w:keepNext/>
              <w:spacing w:after="0" w:line="276" w:lineRule="auto"/>
              <w:jc w:val="left"/>
            </w:pPr>
            <w:r>
              <w:rPr>
                <w:sz w:val="19"/>
              </w:rPr>
              <w:t>-$69,000</w:t>
            </w:r>
          </w:p>
        </w:tc>
      </w:tr>
      <w:tr>
        <w:trPr>
          <w:cantSplit/>
        </w:trPr>
        <w:tc>
          <w:tcPr>
            <w:tcW w:type="dxa" w:w="2442"/>
            <w:tcBorders>
              <w:top w:val="nil"/>
              <w:left w:val="nil"/>
              <w:right w:val="nil"/>
              <w:bottom w:val="single" w:sz="4" w:space="0" w:color="D9DEE5"/>
            </w:tcBorders>
          </w:tcPr>
          <w:p>
            <w:pPr>
              <w:keepNext/>
              <w:spacing w:after="0" w:line="276" w:lineRule="auto"/>
              <w:jc w:val="left"/>
            </w:pPr>
            <w:r>
              <w:rPr>
                <w:sz w:val="19"/>
              </w:rPr>
              <w:t>Dolce Gusto Coffee Machine</w:t>
            </w:r>
          </w:p>
        </w:tc>
        <w:tc>
          <w:tcPr>
            <w:tcW w:type="dxa" w:w="1221"/>
            <w:tcBorders>
              <w:top w:val="nil"/>
              <w:left w:val="nil"/>
              <w:right w:val="nil"/>
              <w:bottom w:val="single" w:sz="4" w:space="0" w:color="D9DEE5"/>
            </w:tcBorders>
          </w:tcPr>
          <w:p>
            <w:pPr>
              <w:keepNext/>
              <w:spacing w:after="0" w:line="276" w:lineRule="auto"/>
              <w:jc w:val="left"/>
            </w:pPr>
            <w:r>
              <w:rPr>
                <w:sz w:val="19"/>
              </w:rPr>
              <w:t>1,678</w:t>
            </w:r>
          </w:p>
        </w:tc>
        <w:tc>
          <w:tcPr>
            <w:tcW w:type="dxa" w:w="1221"/>
            <w:tcBorders>
              <w:top w:val="nil"/>
              <w:left w:val="nil"/>
              <w:right w:val="nil"/>
              <w:bottom w:val="single" w:sz="4" w:space="0" w:color="D9DEE5"/>
            </w:tcBorders>
          </w:tcPr>
          <w:p>
            <w:pPr>
              <w:keepNext/>
              <w:spacing w:after="0" w:line="276" w:lineRule="auto"/>
              <w:jc w:val="left"/>
            </w:pPr>
            <w:r>
              <w:rPr>
                <w:sz w:val="19"/>
              </w:rPr>
              <w:t>1,412</w:t>
            </w:r>
          </w:p>
        </w:tc>
        <w:tc>
          <w:tcPr>
            <w:tcW w:type="dxa" w:w="1163"/>
            <w:tcBorders>
              <w:top w:val="nil"/>
              <w:left w:val="nil"/>
              <w:right w:val="nil"/>
              <w:bottom w:val="single" w:sz="4" w:space="0" w:color="D9DEE5"/>
            </w:tcBorders>
          </w:tcPr>
          <w:p>
            <w:pPr>
              <w:keepNext/>
              <w:spacing w:after="0" w:line="276" w:lineRule="auto"/>
              <w:jc w:val="left"/>
            </w:pPr>
            <w:r>
              <w:rPr>
                <w:sz w:val="19"/>
              </w:rPr>
              <w:t>-15.9%</w:t>
            </w:r>
          </w:p>
        </w:tc>
        <w:tc>
          <w:tcPr>
            <w:tcW w:type="dxa" w:w="1628"/>
            <w:tcBorders>
              <w:top w:val="nil"/>
              <w:left w:val="nil"/>
              <w:right w:val="nil"/>
              <w:bottom w:val="single" w:sz="4" w:space="0" w:color="D9DEE5"/>
            </w:tcBorders>
          </w:tcPr>
          <w:p>
            <w:pPr>
              <w:keepNext/>
              <w:spacing w:after="0" w:line="276" w:lineRule="auto"/>
              <w:jc w:val="left"/>
            </w:pPr>
            <w:r>
              <w:rPr>
                <w:sz w:val="19"/>
              </w:rPr>
              <w:t>-4.9%</w:t>
            </w:r>
          </w:p>
        </w:tc>
        <w:tc>
          <w:tcPr>
            <w:tcW w:type="dxa" w:w="1396"/>
            <w:tcBorders>
              <w:top w:val="nil"/>
              <w:left w:val="nil"/>
              <w:right w:val="nil"/>
              <w:bottom w:val="single" w:sz="4" w:space="0" w:color="D9DEE5"/>
            </w:tcBorders>
          </w:tcPr>
          <w:p>
            <w:pPr>
              <w:keepNext/>
              <w:spacing w:after="0" w:line="276" w:lineRule="auto"/>
              <w:jc w:val="left"/>
            </w:pPr>
            <w:r>
              <w:rPr>
                <w:sz w:val="19"/>
              </w:rPr>
              <w:t>-$53,000</w:t>
            </w:r>
          </w:p>
        </w:tc>
      </w:tr>
      <w:tr>
        <w:trPr>
          <w:cantSplit/>
        </w:trPr>
        <w:tc>
          <w:tcPr>
            <w:tcW w:type="dxa" w:w="2442"/>
            <w:tcBorders>
              <w:top w:val="nil"/>
              <w:left w:val="nil"/>
              <w:right w:val="nil"/>
              <w:bottom w:val="single" w:sz="4" w:space="0" w:color="D9DEE5"/>
            </w:tcBorders>
          </w:tcPr>
          <w:p>
            <w:pPr>
              <w:spacing w:after="0" w:line="276" w:lineRule="auto"/>
              <w:jc w:val="left"/>
            </w:pPr>
            <w:r>
              <w:rPr>
                <w:sz w:val="19"/>
              </w:rPr>
              <w:t>Ray-Ban Sunglasses</w:t>
            </w:r>
          </w:p>
        </w:tc>
        <w:tc>
          <w:tcPr>
            <w:tcW w:type="dxa" w:w="1221"/>
            <w:tcBorders>
              <w:top w:val="nil"/>
              <w:left w:val="nil"/>
              <w:right w:val="nil"/>
              <w:bottom w:val="single" w:sz="4" w:space="0" w:color="D9DEE5"/>
            </w:tcBorders>
          </w:tcPr>
          <w:p>
            <w:pPr>
              <w:spacing w:after="0" w:line="276" w:lineRule="auto"/>
              <w:jc w:val="left"/>
            </w:pPr>
            <w:r>
              <w:rPr>
                <w:sz w:val="19"/>
              </w:rPr>
              <w:t>1,979</w:t>
            </w:r>
          </w:p>
        </w:tc>
        <w:tc>
          <w:tcPr>
            <w:tcW w:type="dxa" w:w="1221"/>
            <w:tcBorders>
              <w:top w:val="nil"/>
              <w:left w:val="nil"/>
              <w:right w:val="nil"/>
              <w:bottom w:val="single" w:sz="4" w:space="0" w:color="D9DEE5"/>
            </w:tcBorders>
          </w:tcPr>
          <w:p>
            <w:pPr>
              <w:spacing w:after="0" w:line="276" w:lineRule="auto"/>
              <w:jc w:val="left"/>
            </w:pPr>
            <w:r>
              <w:rPr>
                <w:sz w:val="19"/>
              </w:rPr>
              <w:t>1,597</w:t>
            </w:r>
          </w:p>
        </w:tc>
        <w:tc>
          <w:tcPr>
            <w:tcW w:type="dxa" w:w="1163"/>
            <w:tcBorders>
              <w:top w:val="nil"/>
              <w:left w:val="nil"/>
              <w:right w:val="nil"/>
              <w:bottom w:val="single" w:sz="4" w:space="0" w:color="D9DEE5"/>
            </w:tcBorders>
          </w:tcPr>
          <w:p>
            <w:pPr>
              <w:spacing w:after="0" w:line="276" w:lineRule="auto"/>
              <w:jc w:val="left"/>
            </w:pPr>
            <w:r>
              <w:rPr>
                <w:sz w:val="19"/>
              </w:rPr>
              <w:t>-19.3%</w:t>
            </w:r>
          </w:p>
        </w:tc>
        <w:tc>
          <w:tcPr>
            <w:tcW w:type="dxa" w:w="1628"/>
            <w:tcBorders>
              <w:top w:val="nil"/>
              <w:left w:val="nil"/>
              <w:right w:val="nil"/>
              <w:bottom w:val="single" w:sz="4" w:space="0" w:color="D9DEE5"/>
            </w:tcBorders>
          </w:tcPr>
          <w:p>
            <w:pPr>
              <w:spacing w:after="0" w:line="276" w:lineRule="auto"/>
              <w:jc w:val="left"/>
            </w:pPr>
            <w:r>
              <w:rPr>
                <w:sz w:val="19"/>
              </w:rPr>
              <w:t>+5.0%</w:t>
            </w:r>
          </w:p>
        </w:tc>
        <w:tc>
          <w:tcPr>
            <w:tcW w:type="dxa" w:w="1396"/>
            <w:tcBorders>
              <w:top w:val="nil"/>
              <w:left w:val="nil"/>
              <w:right w:val="nil"/>
              <w:bottom w:val="single" w:sz="4" w:space="0" w:color="D9DEE5"/>
            </w:tcBorders>
          </w:tcPr>
          <w:p>
            <w:pPr>
              <w:spacing w:after="0" w:line="276" w:lineRule="auto"/>
              <w:jc w:val="left"/>
            </w:pPr>
            <w:r>
              <w:rPr>
                <w:sz w:val="19"/>
              </w:rPr>
              <w:t>-$49,000</w:t>
            </w:r>
          </w:p>
        </w:tc>
      </w:tr>
    </w:tbl>
    <w:p>
      <w:pPr>
        <w:spacing w:after="80" w:line="144" w:lineRule="auto"/>
      </w:pPr>
    </w:p>
    <w:p>
      <w:pPr>
        <w:pStyle w:val="Heading2"/>
      </w:pPr>
      <w:r>
        <w:t>4.6 Why profit fell (Task 5)</w:t>
      </w:r>
    </w:p>
    <w:p>
      <w:r>
        <w:t>Profit fell $177,000 (-3.2%), the same percentage as revenue. Cost per unit was $38.79 in the baseline and $38.69 in the decline, and the margin moved by 0.04 points. Every product category and every channel has a margin of about 77% in both seasons, so a shift between them could not have changed overall profitability.</w:t>
      </w:r>
    </w:p>
    <w:p>
      <w:r>
        <w:t>Profit therefore fell only because less was sold, and in the same places as revenue: clothing lost $116,000 of profit, wearable tech $58,000 and the in-store channel $152,000.</w:t>
      </w:r>
    </w:p>
    <w:p>
      <w:pPr>
        <w:pStyle w:val="Heading2"/>
      </w:pPr>
      <w:r>
        <w:t>4.7 Reliability check (Task 6)</w:t>
      </w:r>
    </w:p>
    <w:p>
      <w:r>
        <w:t>For each of the three seasons, the revenue of the three channels adds up exactly to the season total (a gap of $0.00). No revenue sits outside the channel breakdown.</w:t>
      </w:r>
    </w:p>
    <w:p>
      <w:pPr>
        <w:pStyle w:val="Heading1"/>
      </w:pPr>
      <w:r>
        <w:t>05. Discussion</w:t>
      </w:r>
    </w:p>
    <w:p>
      <w:pPr>
        <w:pStyle w:val="Heading2"/>
      </w:pPr>
      <w:r>
        <w:t>One explanation, not several</w:t>
      </w:r>
    </w:p>
    <w:p>
      <w:r>
        <w:t>The findings describe a single change seen from different angles. Sales records got smaller because they contained fewer units. That happened mainly among adults, in every channel, and in the products adults typically buy: clothing, wearable tech and kitchen appliances. Profit fell because sales fell.</w:t>
      </w:r>
    </w:p>
    <w:p>
      <w:pPr>
        <w:pStyle w:val="Heading2"/>
      </w:pPr>
      <w:r>
        <w:t>What was ruled out</w:t>
      </w:r>
    </w:p>
    <w:p>
      <w:pPr>
        <w:keepNext/>
      </w:pPr>
      <w:r>
        <w:t>Each alternative explanation was tested directly.</w:t>
      </w:r>
    </w:p>
    <w:tbl>
      <w:tblPr>
        <w:tblW w:type="dxa" w:w="9072"/>
        <w:jc w:val="center"/>
        <w:tblLayout w:type="fixed"/>
        <w:tblLook w:firstColumn="1" w:firstRow="1" w:lastColumn="0" w:lastRow="0" w:noHBand="0" w:noVBand="1" w:val="04A0"/>
        <w:tblCellMar>
          <w:top w:w="70" w:type="dxa"/>
          <w:left w:w="90" w:type="dxa"/>
          <w:bottom w:w="70" w:type="dxa"/>
          <w:right w:w="90" w:type="dxa"/>
        </w:tblCellMar>
        <w:tblLayout w:type="fixed"/>
      </w:tblPr>
      <w:tblGrid>
        <w:gridCol w:w="3223"/>
        <w:gridCol w:w="4177"/>
        <w:gridCol w:w="1671"/>
      </w:tblGrid>
      <w:tr>
        <w:trPr>
          <w:cantSplit/>
          <w:tblHeader/>
        </w:trPr>
        <w:tc>
          <w:tcPr>
            <w:tcW w:type="dxa" w:w="3223"/>
            <w:tcBorders>
              <w:top w:val="nil"/>
              <w:left w:val="nil"/>
              <w:right w:val="nil"/>
              <w:bottom w:val="single" w:sz="4" w:space="0" w:color="D9DEE5"/>
            </w:tcBorders>
            <w:shd w:val="clear" w:color="auto" w:fill="F1F4F8"/>
          </w:tcPr>
          <w:p>
            <w:pPr>
              <w:keepNext/>
              <w:spacing w:after="0" w:line="276" w:lineRule="auto"/>
              <w:jc w:val="left"/>
            </w:pPr>
            <w:r>
              <w:rPr>
                <w:b/>
                <w:sz w:val="18"/>
              </w:rPr>
              <w:t>Possible explanation</w:t>
            </w:r>
          </w:p>
        </w:tc>
        <w:tc>
          <w:tcPr>
            <w:tcW w:type="dxa" w:w="4177"/>
            <w:tcBorders>
              <w:top w:val="nil"/>
              <w:left w:val="nil"/>
              <w:right w:val="nil"/>
              <w:bottom w:val="single" w:sz="4" w:space="0" w:color="D9DEE5"/>
            </w:tcBorders>
            <w:shd w:val="clear" w:color="auto" w:fill="F1F4F8"/>
          </w:tcPr>
          <w:p>
            <w:pPr>
              <w:keepNext/>
              <w:spacing w:after="0" w:line="276" w:lineRule="auto"/>
              <w:jc w:val="left"/>
            </w:pPr>
            <w:r>
              <w:rPr>
                <w:b/>
                <w:sz w:val="18"/>
              </w:rPr>
              <w:t>Evidence</w:t>
            </w:r>
          </w:p>
        </w:tc>
        <w:tc>
          <w:tcPr>
            <w:tcW w:type="dxa" w:w="1671"/>
            <w:tcBorders>
              <w:top w:val="nil"/>
              <w:left w:val="nil"/>
              <w:right w:val="nil"/>
              <w:bottom w:val="single" w:sz="4" w:space="0" w:color="D9DEE5"/>
            </w:tcBorders>
            <w:shd w:val="clear" w:color="auto" w:fill="F1F4F8"/>
          </w:tcPr>
          <w:p>
            <w:pPr>
              <w:keepNext/>
              <w:spacing w:after="0" w:line="276" w:lineRule="auto"/>
              <w:jc w:val="left"/>
            </w:pPr>
            <w:r>
              <w:rPr>
                <w:b/>
                <w:sz w:val="18"/>
              </w:rPr>
              <w:t>Conclusion</w:t>
            </w:r>
          </w:p>
        </w:tc>
      </w:tr>
      <w:tr>
        <w:trPr>
          <w:cantSplit/>
        </w:trPr>
        <w:tc>
          <w:tcPr>
            <w:tcW w:type="dxa" w:w="3223"/>
            <w:tcBorders>
              <w:top w:val="nil"/>
              <w:left w:val="nil"/>
              <w:right w:val="nil"/>
              <w:bottom w:val="single" w:sz="4" w:space="0" w:color="D9DEE5"/>
            </w:tcBorders>
          </w:tcPr>
          <w:p>
            <w:pPr>
              <w:keepNext/>
              <w:spacing w:after="0" w:line="276" w:lineRule="auto"/>
              <w:jc w:val="left"/>
            </w:pPr>
            <w:r>
              <w:rPr>
                <w:sz w:val="18"/>
              </w:rPr>
              <w:t>Fewer purchases were made</w:t>
            </w:r>
          </w:p>
        </w:tc>
        <w:tc>
          <w:tcPr>
            <w:tcW w:type="dxa" w:w="4177"/>
            <w:tcBorders>
              <w:top w:val="nil"/>
              <w:left w:val="nil"/>
              <w:right w:val="nil"/>
              <w:bottom w:val="single" w:sz="4" w:space="0" w:color="D9DEE5"/>
            </w:tcBorders>
          </w:tcPr>
          <w:p>
            <w:pPr>
              <w:keepNext/>
              <w:spacing w:after="0" w:line="276" w:lineRule="auto"/>
              <w:jc w:val="left"/>
            </w:pPr>
            <w:r>
              <w:rPr>
                <w:sz w:val="18"/>
              </w:rPr>
              <w:t>Sales records rose 1.0%</w:t>
            </w:r>
          </w:p>
        </w:tc>
        <w:tc>
          <w:tcPr>
            <w:tcW w:type="dxa" w:w="1671"/>
            <w:tcBorders>
              <w:top w:val="nil"/>
              <w:left w:val="nil"/>
              <w:right w:val="nil"/>
              <w:bottom w:val="single" w:sz="4" w:space="0" w:color="D9DEE5"/>
            </w:tcBorders>
          </w:tcPr>
          <w:p>
            <w:pPr>
              <w:keepNext/>
              <w:spacing w:after="0" w:line="276" w:lineRule="auto"/>
              <w:jc w:val="left"/>
            </w:pPr>
            <w:r>
              <w:rPr>
                <w:sz w:val="18"/>
              </w:rPr>
              <w:t>Ruled out</w:t>
            </w:r>
          </w:p>
        </w:tc>
      </w:tr>
      <w:tr>
        <w:trPr>
          <w:cantSplit/>
        </w:trPr>
        <w:tc>
          <w:tcPr>
            <w:tcW w:type="dxa" w:w="3223"/>
            <w:tcBorders>
              <w:top w:val="nil"/>
              <w:left w:val="nil"/>
              <w:right w:val="nil"/>
              <w:bottom w:val="single" w:sz="4" w:space="0" w:color="D9DEE5"/>
            </w:tcBorders>
          </w:tcPr>
          <w:p>
            <w:pPr>
              <w:keepNext/>
              <w:spacing w:after="0" w:line="276" w:lineRule="auto"/>
              <w:jc w:val="left"/>
            </w:pPr>
            <w:r>
              <w:rPr>
                <w:sz w:val="18"/>
              </w:rPr>
              <w:t>Prices were lower</w:t>
            </w:r>
          </w:p>
        </w:tc>
        <w:tc>
          <w:tcPr>
            <w:tcW w:type="dxa" w:w="4177"/>
            <w:tcBorders>
              <w:top w:val="nil"/>
              <w:left w:val="nil"/>
              <w:right w:val="nil"/>
              <w:bottom w:val="single" w:sz="4" w:space="0" w:color="D9DEE5"/>
            </w:tcBorders>
          </w:tcPr>
          <w:p>
            <w:pPr>
              <w:keepNext/>
              <w:spacing w:after="0" w:line="276" w:lineRule="auto"/>
              <w:jc w:val="left"/>
            </w:pPr>
            <w:r>
              <w:rPr>
                <w:sz w:val="18"/>
              </w:rPr>
              <w:t>Revenue per unit fell only 0.4%</w:t>
            </w:r>
          </w:p>
        </w:tc>
        <w:tc>
          <w:tcPr>
            <w:tcW w:type="dxa" w:w="1671"/>
            <w:tcBorders>
              <w:top w:val="nil"/>
              <w:left w:val="nil"/>
              <w:right w:val="nil"/>
              <w:bottom w:val="single" w:sz="4" w:space="0" w:color="D9DEE5"/>
            </w:tcBorders>
          </w:tcPr>
          <w:p>
            <w:pPr>
              <w:keepNext/>
              <w:spacing w:after="0" w:line="276" w:lineRule="auto"/>
              <w:jc w:val="left"/>
            </w:pPr>
            <w:r>
              <w:rPr>
                <w:sz w:val="18"/>
              </w:rPr>
              <w:t>Ruled out</w:t>
            </w:r>
          </w:p>
        </w:tc>
      </w:tr>
      <w:tr>
        <w:trPr>
          <w:cantSplit/>
        </w:trPr>
        <w:tc>
          <w:tcPr>
            <w:tcW w:type="dxa" w:w="3223"/>
            <w:tcBorders>
              <w:top w:val="nil"/>
              <w:left w:val="nil"/>
              <w:right w:val="nil"/>
              <w:bottom w:val="single" w:sz="4" w:space="0" w:color="D9DEE5"/>
            </w:tcBorders>
          </w:tcPr>
          <w:p>
            <w:pPr>
              <w:keepNext/>
              <w:spacing w:after="0" w:line="276" w:lineRule="auto"/>
              <w:jc w:val="left"/>
            </w:pPr>
            <w:r>
              <w:rPr>
                <w:sz w:val="18"/>
              </w:rPr>
              <w:t>Costs rose</w:t>
            </w:r>
          </w:p>
        </w:tc>
        <w:tc>
          <w:tcPr>
            <w:tcW w:type="dxa" w:w="4177"/>
            <w:tcBorders>
              <w:top w:val="nil"/>
              <w:left w:val="nil"/>
              <w:right w:val="nil"/>
              <w:bottom w:val="single" w:sz="4" w:space="0" w:color="D9DEE5"/>
            </w:tcBorders>
          </w:tcPr>
          <w:p>
            <w:pPr>
              <w:keepNext/>
              <w:spacing w:after="0" w:line="276" w:lineRule="auto"/>
              <w:jc w:val="left"/>
            </w:pPr>
            <w:r>
              <w:rPr>
                <w:sz w:val="18"/>
              </w:rPr>
              <w:t>Cost per unit fell slightly, from $38.79 to $38.69</w:t>
            </w:r>
          </w:p>
        </w:tc>
        <w:tc>
          <w:tcPr>
            <w:tcW w:type="dxa" w:w="1671"/>
            <w:tcBorders>
              <w:top w:val="nil"/>
              <w:left w:val="nil"/>
              <w:right w:val="nil"/>
              <w:bottom w:val="single" w:sz="4" w:space="0" w:color="D9DEE5"/>
            </w:tcBorders>
          </w:tcPr>
          <w:p>
            <w:pPr>
              <w:keepNext/>
              <w:spacing w:after="0" w:line="276" w:lineRule="auto"/>
              <w:jc w:val="left"/>
            </w:pPr>
            <w:r>
              <w:rPr>
                <w:sz w:val="18"/>
              </w:rPr>
              <w:t>Ruled out</w:t>
            </w:r>
          </w:p>
        </w:tc>
      </w:tr>
      <w:tr>
        <w:trPr>
          <w:cantSplit/>
        </w:trPr>
        <w:tc>
          <w:tcPr>
            <w:tcW w:type="dxa" w:w="3223"/>
            <w:tcBorders>
              <w:top w:val="nil"/>
              <w:left w:val="nil"/>
              <w:right w:val="nil"/>
              <w:bottom w:val="single" w:sz="4" w:space="0" w:color="D9DEE5"/>
            </w:tcBorders>
          </w:tcPr>
          <w:p>
            <w:pPr>
              <w:keepNext/>
              <w:spacing w:after="0" w:line="276" w:lineRule="auto"/>
              <w:jc w:val="left"/>
            </w:pPr>
            <w:r>
              <w:rPr>
                <w:sz w:val="18"/>
              </w:rPr>
              <w:t>Customers moved to lower-margin products or channels</w:t>
            </w:r>
          </w:p>
        </w:tc>
        <w:tc>
          <w:tcPr>
            <w:tcW w:type="dxa" w:w="4177"/>
            <w:tcBorders>
              <w:top w:val="nil"/>
              <w:left w:val="nil"/>
              <w:right w:val="nil"/>
              <w:bottom w:val="single" w:sz="4" w:space="0" w:color="D9DEE5"/>
            </w:tcBorders>
          </w:tcPr>
          <w:p>
            <w:pPr>
              <w:keepNext/>
              <w:spacing w:after="0" w:line="276" w:lineRule="auto"/>
              <w:jc w:val="left"/>
            </w:pPr>
            <w:r>
              <w:rPr>
                <w:sz w:val="18"/>
              </w:rPr>
              <w:t>Margins are about 77% in every category and channel</w:t>
            </w:r>
          </w:p>
        </w:tc>
        <w:tc>
          <w:tcPr>
            <w:tcW w:type="dxa" w:w="1671"/>
            <w:tcBorders>
              <w:top w:val="nil"/>
              <w:left w:val="nil"/>
              <w:right w:val="nil"/>
              <w:bottom w:val="single" w:sz="4" w:space="0" w:color="D9DEE5"/>
            </w:tcBorders>
          </w:tcPr>
          <w:p>
            <w:pPr>
              <w:keepNext/>
              <w:spacing w:after="0" w:line="276" w:lineRule="auto"/>
              <w:jc w:val="left"/>
            </w:pPr>
            <w:r>
              <w:rPr>
                <w:sz w:val="18"/>
              </w:rPr>
              <w:t>Ruled out</w:t>
            </w:r>
          </w:p>
        </w:tc>
      </w:tr>
      <w:tr>
        <w:trPr>
          <w:cantSplit/>
        </w:trPr>
        <w:tc>
          <w:tcPr>
            <w:tcW w:type="dxa" w:w="3223"/>
            <w:tcBorders>
              <w:top w:val="nil"/>
              <w:left w:val="nil"/>
              <w:right w:val="nil"/>
              <w:bottom w:val="single" w:sz="4" w:space="0" w:color="D9DEE5"/>
            </w:tcBorders>
          </w:tcPr>
          <w:p>
            <w:pPr>
              <w:keepNext/>
              <w:spacing w:after="0" w:line="276" w:lineRule="auto"/>
              <w:jc w:val="left"/>
            </w:pPr>
            <w:r>
              <w:rPr>
                <w:sz w:val="18"/>
              </w:rPr>
              <w:t>One channel failed</w:t>
            </w:r>
          </w:p>
        </w:tc>
        <w:tc>
          <w:tcPr>
            <w:tcW w:type="dxa" w:w="4177"/>
            <w:tcBorders>
              <w:top w:val="nil"/>
              <w:left w:val="nil"/>
              <w:right w:val="nil"/>
              <w:bottom w:val="single" w:sz="4" w:space="0" w:color="D9DEE5"/>
            </w:tcBorders>
          </w:tcPr>
          <w:p>
            <w:pPr>
              <w:keepNext/>
              <w:spacing w:after="0" w:line="276" w:lineRule="auto"/>
              <w:jc w:val="left"/>
            </w:pPr>
            <w:r>
              <w:rPr>
                <w:sz w:val="18"/>
              </w:rPr>
              <w:t>Adult revenue fell 14% to 20% in all three channels</w:t>
            </w:r>
          </w:p>
        </w:tc>
        <w:tc>
          <w:tcPr>
            <w:tcW w:type="dxa" w:w="1671"/>
            <w:tcBorders>
              <w:top w:val="nil"/>
              <w:left w:val="nil"/>
              <w:right w:val="nil"/>
              <w:bottom w:val="single" w:sz="4" w:space="0" w:color="D9DEE5"/>
            </w:tcBorders>
          </w:tcPr>
          <w:p>
            <w:pPr>
              <w:keepNext/>
              <w:spacing w:after="0" w:line="276" w:lineRule="auto"/>
              <w:jc w:val="left"/>
            </w:pPr>
            <w:r>
              <w:rPr>
                <w:sz w:val="18"/>
              </w:rPr>
              <w:t>Ruled out</w:t>
            </w:r>
          </w:p>
        </w:tc>
      </w:tr>
      <w:tr>
        <w:trPr>
          <w:cantSplit/>
        </w:trPr>
        <w:tc>
          <w:tcPr>
            <w:tcW w:type="dxa" w:w="3223"/>
            <w:tcBorders>
              <w:top w:val="nil"/>
              <w:left w:val="nil"/>
              <w:right w:val="nil"/>
              <w:bottom w:val="single" w:sz="4" w:space="0" w:color="D9DEE5"/>
            </w:tcBorders>
          </w:tcPr>
          <w:p>
            <w:pPr>
              <w:spacing w:after="0" w:line="276" w:lineRule="auto"/>
              <w:jc w:val="left"/>
            </w:pPr>
            <w:r>
              <w:rPr>
                <w:sz w:val="18"/>
              </w:rPr>
              <w:t>Fewer units per record</w:t>
            </w:r>
          </w:p>
        </w:tc>
        <w:tc>
          <w:tcPr>
            <w:tcW w:type="dxa" w:w="4177"/>
            <w:tcBorders>
              <w:top w:val="nil"/>
              <w:left w:val="nil"/>
              <w:right w:val="nil"/>
              <w:bottom w:val="single" w:sz="4" w:space="0" w:color="D9DEE5"/>
            </w:tcBorders>
          </w:tcPr>
          <w:p>
            <w:pPr>
              <w:spacing w:after="0" w:line="276" w:lineRule="auto"/>
              <w:jc w:val="left"/>
            </w:pPr>
            <w:r>
              <w:rPr>
                <w:sz w:val="18"/>
              </w:rPr>
              <w:t>Units per record fell 3.7%; top losing products sold 15% to 20% fewer units</w:t>
            </w:r>
          </w:p>
        </w:tc>
        <w:tc>
          <w:tcPr>
            <w:tcW w:type="dxa" w:w="1671"/>
            <w:tcBorders>
              <w:top w:val="nil"/>
              <w:left w:val="nil"/>
              <w:right w:val="nil"/>
              <w:bottom w:val="single" w:sz="4" w:space="0" w:color="D9DEE5"/>
            </w:tcBorders>
          </w:tcPr>
          <w:p>
            <w:pPr>
              <w:spacing w:after="0" w:line="276" w:lineRule="auto"/>
              <w:jc w:val="left"/>
            </w:pPr>
            <w:r>
              <w:rPr>
                <w:sz w:val="18"/>
              </w:rPr>
              <w:t>Supported</w:t>
            </w:r>
          </w:p>
        </w:tc>
      </w:tr>
    </w:tbl>
    <w:p>
      <w:pPr>
        <w:spacing w:after="80" w:line="144" w:lineRule="auto"/>
      </w:pPr>
    </w:p>
    <w:p>
      <w:pPr>
        <w:pStyle w:val="Heading2"/>
      </w:pPr>
      <w:r>
        <w:t>Scale</w:t>
      </w:r>
    </w:p>
    <w:p>
      <w:r>
        <w:t>The adult loss ($353,000) is larger than the company's total loss ($227,000). The difference is growth elsewhere, mainly children's products (+$130,000). The business did not shrink evenly: one customer group fell sharply while another grew.</w:t>
      </w:r>
    </w:p>
    <w:p>
      <w:pPr>
        <w:pStyle w:val="Heading2"/>
      </w:pPr>
      <w:r>
        <w:t>The recovery is incomplete and uneven</w:t>
      </w:r>
    </w:p>
    <w:p>
      <w:r>
        <w:t>Revenue in 2021–2022 was still 1.3% below the baseline. Adult revenue recovered to $2.20M but remained about 5% below its baseline, and revenue from the 1-to-11 age group fell back to about 3% below its baseline. The in-store channel exceeded its baseline, while the Xmas Market fell for a second season and online dropped 14.2%. The overall recovery figure hides these opposite movements.</w:t>
      </w:r>
    </w:p>
    <w:p>
      <w:pPr>
        <w:pStyle w:val="Heading2"/>
      </w:pPr>
      <w:r>
        <w:t>Limits of the analysis</w:t>
      </w:r>
    </w:p>
    <w:p>
      <w:pPr>
        <w:pStyle w:val="ListBullet"/>
      </w:pPr>
      <w:r>
        <w:rPr>
          <w:b/>
        </w:rPr>
        <w:t>The data does not explain motive.</w:t>
      </w:r>
      <w:r>
        <w:t xml:space="preserve"> It shows that adults bought fewer items, not why. Possible reasons such as tighter household budgets, stock shortages or outside events that season cannot be tested with this table.</w:t>
      </w:r>
    </w:p>
    <w:p>
      <w:pPr>
        <w:pStyle w:val="ListBullet"/>
      </w:pPr>
      <w:r>
        <w:rPr>
          <w:b/>
        </w:rPr>
        <w:t>A record is not a transaction.</w:t>
      </w:r>
      <w:r>
        <w:t xml:space="preserve"> Without an order ID, the report cannot tell whether customers made fewer shopping trips or bought fewer product lines per trip.</w:t>
      </w:r>
    </w:p>
    <w:p>
      <w:pPr>
        <w:pStyle w:val="ListBullet"/>
      </w:pPr>
      <w:r>
        <w:rPr>
          <w:b/>
        </w:rPr>
        <w:t>Margins are gross margins.</w:t>
      </w:r>
      <w:r>
        <w:t xml:space="preserve"> The cost column appears to cover the goods only, so the 77% margin does not include staff, rent, delivery or marketing.</w:t>
      </w:r>
    </w:p>
    <w:p>
      <w:pPr>
        <w:pStyle w:val="ListBullet"/>
      </w:pPr>
      <w:r>
        <w:rPr>
          <w:b/>
        </w:rPr>
        <w:t>One declining season.</w:t>
      </w:r>
      <w:r>
        <w:t xml:space="preserve"> The decline is a single season of 3.2%, so small segments (for example, one product in one channel) should be read with caution.</w:t>
      </w:r>
    </w:p>
    <w:p>
      <w:pPr>
        <w:pStyle w:val="Heading1"/>
      </w:pPr>
      <w:r>
        <w:t>06. Summary of Key Findings</w:t>
      </w:r>
    </w:p>
    <w:p>
      <w:pPr>
        <w:pStyle w:val="ListNumber"/>
      </w:pPr>
      <w:r>
        <w:t>Revenue and profit both fell 3.2% in 2020–2021; the margin stayed at 76.9%.</w:t>
      </w:r>
    </w:p>
    <w:p>
      <w:pPr>
        <w:pStyle w:val="ListNumber"/>
      </w:pPr>
      <w:r>
        <w:t>The cause was fewer units per sales record (-3.7%), not fewer records (+1.0%) or lower prices (-0.4%).</w:t>
      </w:r>
    </w:p>
    <w:p>
      <w:pPr>
        <w:pStyle w:val="ListNumber"/>
      </w:pPr>
      <w:r>
        <w:t>Adults account for the decline: -$353,000 (-15.2%), in all three channels.</w:t>
      </w:r>
    </w:p>
    <w:p>
      <w:pPr>
        <w:pStyle w:val="ListNumber"/>
      </w:pPr>
      <w:r>
        <w:t>Clothing and wearable tech lost the most, through lower unit sales at similar prices.</w:t>
      </w:r>
    </w:p>
    <w:p>
      <w:pPr>
        <w:pStyle w:val="ListNumber"/>
      </w:pPr>
      <w:r>
        <w:t>Costs and product mix did not contribute to the profit decline.</w:t>
      </w:r>
    </w:p>
    <w:p>
      <w:pPr>
        <w:pStyle w:val="ListNumber"/>
      </w:pPr>
      <w:r>
        <w:t>The 2021–2022 recovery was partial, and the Xmas Market and online channels declined in it.</w:t>
      </w:r>
    </w:p>
    <w:p>
      <w:pPr>
        <w:pStyle w:val="Heading1"/>
      </w:pPr>
      <w:r>
        <w:t>07. Recommendations for Further Analysis</w:t>
      </w:r>
    </w:p>
    <w:p>
      <w:r>
        <w:t>The findings identify where the decline sits but not its cause, so the recommendations below are investigations. Each one states what is still unknown, what to check and the decision the answer would support.</w:t>
      </w:r>
    </w:p>
    <w:p>
      <w:pPr>
        <w:pStyle w:val="Heading2"/>
      </w:pPr>
      <w:r>
        <w:t>1. Audit what adults stopped buying</w:t>
      </w:r>
    </w:p>
    <w:p>
      <w:pPr>
        <w:pStyle w:val="ListBullet"/>
      </w:pPr>
      <w:r>
        <w:rPr>
          <w:b/>
        </w:rPr>
        <w:t>What we know:</w:t>
      </w:r>
      <w:r>
        <w:t xml:space="preserve"> Adults lost $353,000, and clothing and wearable tech lost the most, but the script does not yet cross age group with product.</w:t>
      </w:r>
    </w:p>
    <w:p>
      <w:pPr>
        <w:pStyle w:val="ListBullet"/>
      </w:pPr>
      <w:r>
        <w:rPr>
          <w:b/>
        </w:rPr>
        <w:t>What to check:</w:t>
      </w:r>
      <w:r>
        <w:t xml:space="preserve"> Extend Task 4 with an age group by product category comparison, showing units per record and revenue per unit for baseline, decline and recovery.</w:t>
      </w:r>
    </w:p>
    <w:p>
      <w:pPr>
        <w:pStyle w:val="ListBullet"/>
      </w:pPr>
      <w:r>
        <w:rPr>
          <w:b/>
        </w:rPr>
        <w:t>Decision it supports:</w:t>
      </w:r>
      <w:r>
        <w:t xml:space="preserve"> Whether to respond with a promotion, a change in the product range or a lower-priced tier aimed at adults.</w:t>
      </w:r>
    </w:p>
    <w:p>
      <w:pPr>
        <w:pStyle w:val="Heading2"/>
      </w:pPr>
      <w:r>
        <w:t>2. Test whether clothing and wearable tech were a supply problem</w:t>
      </w:r>
    </w:p>
    <w:p>
      <w:pPr>
        <w:pStyle w:val="ListBullet"/>
      </w:pPr>
      <w:r>
        <w:rPr>
          <w:b/>
        </w:rPr>
        <w:t>What we know:</w:t>
      </w:r>
      <w:r>
        <w:t xml:space="preserve"> Unit sales of five products fell 15% to 20% at similar prices. Lower demand and running out of stock would both look like this.</w:t>
      </w:r>
    </w:p>
    <w:p>
      <w:pPr>
        <w:pStyle w:val="ListBullet"/>
      </w:pPr>
      <w:r>
        <w:rPr>
          <w:b/>
        </w:rPr>
        <w:t>What to check:</w:t>
      </w:r>
      <w:r>
        <w:t xml:space="preserve"> Chart daily units for those products in both seasons and look for gaps or early cut-offs; compare with inventory records if the team has them.</w:t>
      </w:r>
    </w:p>
    <w:p>
      <w:pPr>
        <w:pStyle w:val="ListBullet"/>
      </w:pPr>
      <w:r>
        <w:rPr>
          <w:b/>
        </w:rPr>
        <w:t>Decision it supports:</w:t>
      </w:r>
      <w:r>
        <w:t xml:space="preserve"> Whether the fix belongs to purchasing and stock planning or to marketing.</w:t>
      </w:r>
    </w:p>
    <w:p>
      <w:pPr>
        <w:pStyle w:val="Heading2"/>
      </w:pPr>
      <w:r>
        <w:t>3. Review the Xmas Market channel on its own</w:t>
      </w:r>
    </w:p>
    <w:p>
      <w:pPr>
        <w:pStyle w:val="ListBullet"/>
      </w:pPr>
      <w:r>
        <w:rPr>
          <w:b/>
        </w:rPr>
        <w:t>What we know:</w:t>
      </w:r>
      <w:r>
        <w:t xml:space="preserve"> It is the only channel that declined in both seasons (-4.8%, then -3.4%), and its clothing revenue fell 38.6%.</w:t>
      </w:r>
    </w:p>
    <w:p>
      <w:pPr>
        <w:pStyle w:val="ListBullet"/>
      </w:pPr>
      <w:r>
        <w:rPr>
          <w:b/>
        </w:rPr>
        <w:t>What to check:</w:t>
      </w:r>
      <w:r>
        <w:t xml:space="preserve"> Repeat the age, product and country comparisons for this channel only, across all three seasons.</w:t>
      </w:r>
    </w:p>
    <w:p>
      <w:pPr>
        <w:pStyle w:val="ListBullet"/>
      </w:pPr>
      <w:r>
        <w:rPr>
          <w:b/>
        </w:rPr>
        <w:t>Decision it supports:</w:t>
      </w:r>
      <w:r>
        <w:t xml:space="preserve"> Whether the Xmas Market needs its own plan or will recover once the adult decline is addressed.</w:t>
      </w:r>
    </w:p>
    <w:p>
      <w:pPr>
        <w:pStyle w:val="Heading2"/>
      </w:pPr>
      <w:r>
        <w:t>4. Explain the online drop in the recovery season</w:t>
      </w:r>
    </w:p>
    <w:p>
      <w:pPr>
        <w:pStyle w:val="ListBullet"/>
      </w:pPr>
      <w:r>
        <w:rPr>
          <w:b/>
        </w:rPr>
        <w:t>What we know:</w:t>
      </w:r>
      <w:r>
        <w:t xml:space="preserve"> Online grew 2.4% during the decline and then fell 14.2%, the opposite of the in-store pattern.</w:t>
      </w:r>
    </w:p>
    <w:p>
      <w:pPr>
        <w:pStyle w:val="ListBullet"/>
      </w:pPr>
      <w:r>
        <w:rPr>
          <w:b/>
        </w:rPr>
        <w:t>What to check:</w:t>
      </w:r>
      <w:r>
        <w:t xml:space="preserve"> Break online revenue in 2021–2022 down by month, product category and country, and compare the timing with any changes to the website, delivery or pricing.</w:t>
      </w:r>
    </w:p>
    <w:p>
      <w:pPr>
        <w:pStyle w:val="ListBullet"/>
      </w:pPr>
      <w:r>
        <w:rPr>
          <w:b/>
        </w:rPr>
        <w:t>Decision it supports:</w:t>
      </w:r>
      <w:r>
        <w:t xml:space="preserve"> Whether online needs a service fix, or whether customers simply returned to stores.</w:t>
      </w:r>
    </w:p>
    <w:p>
      <w:pPr>
        <w:pStyle w:val="Heading2"/>
      </w:pPr>
      <w:r>
        <w:t>5. Check whether the country results are the same pattern or a local one</w:t>
      </w:r>
    </w:p>
    <w:p>
      <w:pPr>
        <w:pStyle w:val="ListBullet"/>
      </w:pPr>
      <w:r>
        <w:rPr>
          <w:b/>
        </w:rPr>
        <w:t>What we know:</w:t>
      </w:r>
      <w:r>
        <w:t xml:space="preserve"> The United Kingdom and Poland lost the most, and London alone fell 35.6%, while France and Belgium grew.</w:t>
      </w:r>
    </w:p>
    <w:p>
      <w:pPr>
        <w:pStyle w:val="ListBullet"/>
      </w:pPr>
      <w:r>
        <w:rPr>
          <w:b/>
        </w:rPr>
        <w:t>What to check:</w:t>
      </w:r>
      <w:r>
        <w:t xml:space="preserve"> Compare age group by country. If adults fell everywhere and the United Kingdom simply has more adult revenue, the cause is the same; if not, something local happened.</w:t>
      </w:r>
    </w:p>
    <w:p>
      <w:pPr>
        <w:pStyle w:val="ListBullet"/>
      </w:pPr>
      <w:r>
        <w:rPr>
          <w:b/>
        </w:rPr>
        <w:t>Decision it supports:</w:t>
      </w:r>
      <w:r>
        <w:t xml:space="preserve"> Whether to run one company-wide response or country-specific ones.</w:t>
      </w:r>
    </w:p>
    <w:p>
      <w:pPr>
        <w:pStyle w:val="Heading2"/>
      </w:pPr>
      <w:r>
        <w:t>6. Follow each segment through to the recovery season</w:t>
      </w:r>
    </w:p>
    <w:p>
      <w:pPr>
        <w:pStyle w:val="ListBullet"/>
      </w:pPr>
      <w:r>
        <w:rPr>
          <w:b/>
        </w:rPr>
        <w:t>What we know:</w:t>
      </w:r>
      <w:r>
        <w:t xml:space="preserve"> Most comparisons in Tasks 4 and 5 stop at the decline season, and the overall recovery hides segments still below baseline.</w:t>
      </w:r>
    </w:p>
    <w:p>
      <w:pPr>
        <w:pStyle w:val="ListBullet"/>
      </w:pPr>
      <w:r>
        <w:rPr>
          <w:b/>
        </w:rPr>
        <w:t>What to check:</w:t>
      </w:r>
      <w:r>
        <w:t xml:space="preserve"> Add recovery-versus-baseline columns to the Task 4 and Task 5 queries.</w:t>
      </w:r>
    </w:p>
    <w:p>
      <w:pPr>
        <w:pStyle w:val="ListBullet"/>
      </w:pPr>
      <w:r>
        <w:rPr>
          <w:b/>
        </w:rPr>
        <w:t>Decision it supports:</w:t>
      </w:r>
      <w:r>
        <w:t xml:space="preserve"> Which segments still need attention and which have already corrected themselves.</w:t>
      </w:r>
    </w:p>
    <w:p>
      <w:pPr>
        <w:pStyle w:val="Heading2"/>
      </w:pPr>
      <w:r>
        <w:t>7. Close the two data gaps</w:t>
      </w:r>
    </w:p>
    <w:p>
      <w:pPr>
        <w:pStyle w:val="ListBullet"/>
      </w:pPr>
      <w:r>
        <w:rPr>
          <w:b/>
        </w:rPr>
        <w:t>What we know:</w:t>
      </w:r>
      <w:r>
        <w:t xml:space="preserve"> The cost column's definition is unconfirmed and there is no order ID.</w:t>
      </w:r>
    </w:p>
    <w:p>
      <w:pPr>
        <w:pStyle w:val="ListBullet"/>
      </w:pPr>
      <w:r>
        <w:rPr>
          <w:b/>
        </w:rPr>
        <w:t>What to check:</w:t>
      </w:r>
      <w:r>
        <w:t xml:space="preserve"> Confirm with the data owner what cost includes. If an order ID becomes available, replace the row counts marked </w:t>
      </w:r>
      <w:r>
        <w:rPr>
          <w:color w:val="1E7B34"/>
        </w:rPr>
        <w:t>-- GRAIN</w:t>
      </w:r>
      <w:r>
        <w:t xml:space="preserve"> in the script with distinct order counts and rerun Task 2.</w:t>
      </w:r>
    </w:p>
    <w:p>
      <w:pPr>
        <w:pStyle w:val="ListBullet"/>
      </w:pPr>
      <w:r>
        <w:rPr>
          <w:b/>
        </w:rPr>
        <w:t>Decision it supports:</w:t>
      </w:r>
      <w:r>
        <w:t xml:space="preserve"> Whether margins can be used to compare channels, and whether the response should aim at more visits or at larger baskets.</w:t>
      </w:r>
    </w:p>
    <w:p>
      <w:pPr>
        <w:pStyle w:val="Heading1"/>
      </w:pPr>
      <w:r>
        <w:t>08. Data Quality and Assumptions</w:t>
      </w:r>
    </w:p>
    <w:p>
      <w:pPr>
        <w:pStyle w:val="ListBullet"/>
      </w:pPr>
      <w:r>
        <w:rPr>
          <w:b/>
        </w:rPr>
        <w:t>Missing values:</w:t>
      </w:r>
      <w:r>
        <w:t xml:space="preserve"> 0 in each of the 15 columns the analysis depends on.</w:t>
      </w:r>
    </w:p>
    <w:p>
      <w:pPr>
        <w:pStyle w:val="ListBullet"/>
      </w:pPr>
      <w:r>
        <w:rPr>
          <w:b/>
        </w:rPr>
        <w:t>Duplicate rows:</w:t>
      </w:r>
      <w:r>
        <w:t xml:space="preserve"> 0, comparing all 19 columns.</w:t>
      </w:r>
    </w:p>
    <w:p>
      <w:pPr>
        <w:pStyle w:val="ListBullet"/>
      </w:pPr>
      <w:r>
        <w:rPr>
          <w:b/>
        </w:rPr>
        <w:t>Sales = cost + profit:</w:t>
      </w:r>
      <w:r>
        <w:t xml:space="preserve"> holds for every row (tolerance of $0.01).</w:t>
      </w:r>
    </w:p>
    <w:p>
      <w:pPr>
        <w:pStyle w:val="ListBullet"/>
      </w:pPr>
      <w:r>
        <w:rPr>
          <w:b/>
        </w:rPr>
        <w:t>Negative values:</w:t>
      </w:r>
      <w:r>
        <w:t xml:space="preserve"> 0 in total sales, quantity, cost, profit and unit price.</w:t>
      </w:r>
    </w:p>
    <w:p>
      <w:pPr>
        <w:pStyle w:val="ListBullet"/>
      </w:pPr>
      <w:r>
        <w:rPr>
          <w:b/>
        </w:rPr>
        <w:t>Season definition:</w:t>
      </w:r>
      <w:r>
        <w:t xml:space="preserve"> November and December plus the following January. A season is included only if all three months have data reaching the first and last week of the month.</w:t>
      </w:r>
    </w:p>
    <w:p>
      <w:pPr>
        <w:pStyle w:val="ListBullet"/>
      </w:pPr>
      <w:r>
        <w:rPr>
          <w:b/>
        </w:rPr>
        <w:t>Dates:</w:t>
      </w:r>
      <w:r>
        <w:t xml:space="preserve"> every month in the table ends on the 28th, so the last days of each month are not recorded. This applies equally to all seasons and does not affect the comparisons.</w:t>
      </w:r>
    </w:p>
    <w:p>
      <w:pPr>
        <w:pStyle w:val="ListBullet"/>
      </w:pPr>
      <w:r>
        <w:rPr>
          <w:b/>
        </w:rPr>
        <w:t>Counts:</w:t>
      </w:r>
      <w:r>
        <w:t xml:space="preserve"> "sales records" are rows of the table (product lines), not confirmed transactions.</w:t>
      </w:r>
    </w:p>
    <w:p>
      <w:pPr>
        <w:pStyle w:val="ListBullet"/>
      </w:pPr>
      <w:r>
        <w:rPr>
          <w:b/>
        </w:rPr>
        <w:t>Verification:</w:t>
      </w:r>
      <w:r>
        <w:t xml:space="preserve"> the full script was last run on 7 October 2026 against a local SQL Server 2022 restore of the database. All 34 result sets returned without errors or warnings.</w:t>
      </w:r>
    </w:p>
    <w:p>
      <w:pPr>
        <w:pStyle w:val="Heading1"/>
      </w:pPr>
      <w:r>
        <w:t>Appendix: Where Each Result Comes From</w:t>
      </w:r>
    </w:p>
    <w:tbl>
      <w:tblPr>
        <w:tblW w:type="dxa" w:w="9072"/>
        <w:jc w:val="center"/>
        <w:tblLayout w:type="fixed"/>
        <w:tblLook w:firstColumn="1" w:firstRow="1" w:lastColumn="0" w:lastRow="0" w:noHBand="0" w:noVBand="1" w:val="04A0"/>
        <w:tblCellMar>
          <w:top w:w="70" w:type="dxa"/>
          <w:left w:w="90" w:type="dxa"/>
          <w:bottom w:w="70" w:type="dxa"/>
          <w:right w:w="90" w:type="dxa"/>
        </w:tblCellMar>
        <w:tblLayout w:type="fixed"/>
      </w:tblPr>
      <w:tblGrid>
        <w:gridCol w:w="2984"/>
        <w:gridCol w:w="6087"/>
      </w:tblGrid>
      <w:tr>
        <w:trPr>
          <w:cantSplit/>
          <w:tblHeader/>
        </w:trPr>
        <w:tc>
          <w:tcPr>
            <w:tcW w:type="dxa" w:w="2984"/>
            <w:tcBorders>
              <w:top w:val="nil"/>
              <w:left w:val="nil"/>
              <w:right w:val="nil"/>
              <w:bottom w:val="single" w:sz="4" w:space="0" w:color="D9DEE5"/>
            </w:tcBorders>
            <w:shd w:val="clear" w:color="auto" w:fill="F1F4F8"/>
          </w:tcPr>
          <w:p>
            <w:pPr>
              <w:spacing w:after="0" w:line="276" w:lineRule="auto"/>
              <w:jc w:val="left"/>
            </w:pPr>
            <w:r>
              <w:rPr>
                <w:b/>
                <w:sz w:val="19"/>
              </w:rPr>
              <w:t>Report section</w:t>
            </w:r>
          </w:p>
        </w:tc>
        <w:tc>
          <w:tcPr>
            <w:tcW w:type="dxa" w:w="6087"/>
            <w:tcBorders>
              <w:top w:val="nil"/>
              <w:left w:val="nil"/>
              <w:right w:val="nil"/>
              <w:bottom w:val="single" w:sz="4" w:space="0" w:color="D9DEE5"/>
            </w:tcBorders>
            <w:shd w:val="clear" w:color="auto" w:fill="F1F4F8"/>
          </w:tcPr>
          <w:p>
            <w:pPr>
              <w:spacing w:after="0" w:line="276" w:lineRule="auto"/>
              <w:jc w:val="left"/>
            </w:pPr>
            <w:r>
              <w:rPr>
                <w:b/>
                <w:sz w:val="19"/>
              </w:rPr>
              <w:t xml:space="preserve">Part of </w:t>
            </w:r>
            <w:r>
              <w:rPr>
                <w:color w:val="1E7B34"/>
                <w:sz w:val="19"/>
              </w:rPr>
              <w:t>xmas.sql</w:t>
            </w:r>
          </w:p>
        </w:tc>
      </w:tr>
      <w:tr>
        <w:trPr>
          <w:cantSplit/>
        </w:trPr>
        <w:tc>
          <w:tcPr>
            <w:tcW w:type="dxa" w:w="2984"/>
            <w:tcBorders>
              <w:top w:val="nil"/>
              <w:left w:val="nil"/>
              <w:right w:val="nil"/>
              <w:bottom w:val="single" w:sz="4" w:space="0" w:color="D9DEE5"/>
            </w:tcBorders>
          </w:tcPr>
          <w:p>
            <w:pPr>
              <w:spacing w:after="0" w:line="276" w:lineRule="auto"/>
              <w:jc w:val="left"/>
            </w:pPr>
            <w:r>
              <w:rPr>
                <w:sz w:val="19"/>
              </w:rPr>
              <w:t>4.1 Data quality</w:t>
            </w:r>
          </w:p>
        </w:tc>
        <w:tc>
          <w:tcPr>
            <w:tcW w:type="dxa" w:w="6087"/>
            <w:tcBorders>
              <w:top w:val="nil"/>
              <w:left w:val="nil"/>
              <w:right w:val="nil"/>
              <w:bottom w:val="single" w:sz="4" w:space="0" w:color="D9DEE5"/>
            </w:tcBorders>
          </w:tcPr>
          <w:p>
            <w:pPr>
              <w:spacing w:after="0" w:line="276" w:lineRule="auto"/>
              <w:jc w:val="left"/>
            </w:pPr>
            <w:r>
              <w:rPr>
                <w:sz w:val="19"/>
              </w:rPr>
              <w:t>Section 0 (checks 0a to 0g)</w:t>
            </w:r>
          </w:p>
        </w:tc>
      </w:tr>
      <w:tr>
        <w:trPr>
          <w:cantSplit/>
        </w:trPr>
        <w:tc>
          <w:tcPr>
            <w:tcW w:type="dxa" w:w="2984"/>
            <w:tcBorders>
              <w:top w:val="nil"/>
              <w:left w:val="nil"/>
              <w:right w:val="nil"/>
              <w:bottom w:val="single" w:sz="4" w:space="0" w:color="D9DEE5"/>
            </w:tcBorders>
          </w:tcPr>
          <w:p>
            <w:pPr>
              <w:spacing w:after="0" w:line="276" w:lineRule="auto"/>
              <w:jc w:val="left"/>
            </w:pPr>
            <w:r>
              <w:rPr>
                <w:sz w:val="19"/>
              </w:rPr>
              <w:t>4.2 What happened</w:t>
            </w:r>
          </w:p>
        </w:tc>
        <w:tc>
          <w:tcPr>
            <w:tcW w:type="dxa" w:w="6087"/>
            <w:tcBorders>
              <w:top w:val="nil"/>
              <w:left w:val="nil"/>
              <w:right w:val="nil"/>
              <w:bottom w:val="single" w:sz="4" w:space="0" w:color="D9DEE5"/>
            </w:tcBorders>
          </w:tcPr>
          <w:p>
            <w:pPr>
              <w:spacing w:after="0" w:line="276" w:lineRule="auto"/>
              <w:jc w:val="left"/>
            </w:pPr>
            <w:r>
              <w:rPr>
                <w:sz w:val="19"/>
              </w:rPr>
              <w:t>Questions 1, 2 and 3</w:t>
            </w:r>
          </w:p>
        </w:tc>
      </w:tr>
      <w:tr>
        <w:trPr>
          <w:cantSplit/>
        </w:trPr>
        <w:tc>
          <w:tcPr>
            <w:tcW w:type="dxa" w:w="2984"/>
            <w:tcBorders>
              <w:top w:val="nil"/>
              <w:left w:val="nil"/>
              <w:right w:val="nil"/>
              <w:bottom w:val="single" w:sz="4" w:space="0" w:color="D9DEE5"/>
            </w:tcBorders>
          </w:tcPr>
          <w:p>
            <w:pPr>
              <w:spacing w:after="0" w:line="276" w:lineRule="auto"/>
              <w:jc w:val="left"/>
            </w:pPr>
            <w:r>
              <w:rPr>
                <w:sz w:val="19"/>
              </w:rPr>
              <w:t>4.3 What kind of change</w:t>
            </w:r>
          </w:p>
        </w:tc>
        <w:tc>
          <w:tcPr>
            <w:tcW w:type="dxa" w:w="6087"/>
            <w:tcBorders>
              <w:top w:val="nil"/>
              <w:left w:val="nil"/>
              <w:right w:val="nil"/>
              <w:bottom w:val="single" w:sz="4" w:space="0" w:color="D9DEE5"/>
            </w:tcBorders>
          </w:tcPr>
          <w:p>
            <w:pPr>
              <w:spacing w:after="0" w:line="276" w:lineRule="auto"/>
              <w:jc w:val="left"/>
            </w:pPr>
            <w:r>
              <w:rPr>
                <w:sz w:val="19"/>
              </w:rPr>
              <w:t>Task 2</w:t>
            </w:r>
          </w:p>
        </w:tc>
      </w:tr>
      <w:tr>
        <w:trPr>
          <w:cantSplit/>
        </w:trPr>
        <w:tc>
          <w:tcPr>
            <w:tcW w:type="dxa" w:w="2984"/>
            <w:tcBorders>
              <w:top w:val="nil"/>
              <w:left w:val="nil"/>
              <w:right w:val="nil"/>
              <w:bottom w:val="single" w:sz="4" w:space="0" w:color="D9DEE5"/>
            </w:tcBorders>
          </w:tcPr>
          <w:p>
            <w:pPr>
              <w:spacing w:after="0" w:line="276" w:lineRule="auto"/>
              <w:jc w:val="left"/>
            </w:pPr>
            <w:r>
              <w:rPr>
                <w:sz w:val="19"/>
              </w:rPr>
              <w:t>4.4 Where it happened</w:t>
            </w:r>
          </w:p>
        </w:tc>
        <w:tc>
          <w:tcPr>
            <w:tcW w:type="dxa" w:w="6087"/>
            <w:tcBorders>
              <w:top w:val="nil"/>
              <w:left w:val="nil"/>
              <w:right w:val="nil"/>
              <w:bottom w:val="single" w:sz="4" w:space="0" w:color="D9DEE5"/>
            </w:tcBorders>
          </w:tcPr>
          <w:p>
            <w:pPr>
              <w:spacing w:after="0" w:line="276" w:lineRule="auto"/>
              <w:jc w:val="left"/>
            </w:pPr>
            <w:r>
              <w:rPr>
                <w:sz w:val="19"/>
              </w:rPr>
              <w:t>Task 3: Questions 4 (channel), 6 (place), 7 (age, gender, payment), 9 (product) and 10 (time)</w:t>
            </w:r>
          </w:p>
        </w:tc>
      </w:tr>
      <w:tr>
        <w:trPr>
          <w:cantSplit/>
        </w:trPr>
        <w:tc>
          <w:tcPr>
            <w:tcW w:type="dxa" w:w="2984"/>
            <w:tcBorders>
              <w:top w:val="nil"/>
              <w:left w:val="nil"/>
              <w:right w:val="nil"/>
              <w:bottom w:val="single" w:sz="4" w:space="0" w:color="D9DEE5"/>
            </w:tcBorders>
          </w:tcPr>
          <w:p>
            <w:pPr>
              <w:spacing w:after="0" w:line="276" w:lineRule="auto"/>
              <w:jc w:val="left"/>
            </w:pPr>
            <w:r>
              <w:rPr>
                <w:sz w:val="19"/>
              </w:rPr>
              <w:t>4.5 How the findings overlap</w:t>
            </w:r>
          </w:p>
        </w:tc>
        <w:tc>
          <w:tcPr>
            <w:tcW w:type="dxa" w:w="6087"/>
            <w:tcBorders>
              <w:top w:val="nil"/>
              <w:left w:val="nil"/>
              <w:right w:val="nil"/>
              <w:bottom w:val="single" w:sz="4" w:space="0" w:color="D9DEE5"/>
            </w:tcBorders>
          </w:tcPr>
          <w:p>
            <w:pPr>
              <w:spacing w:after="0" w:line="276" w:lineRule="auto"/>
              <w:jc w:val="left"/>
            </w:pPr>
            <w:r>
              <w:rPr>
                <w:sz w:val="19"/>
              </w:rPr>
              <w:t>Task 4: parts 4a to 4d</w:t>
            </w:r>
          </w:p>
        </w:tc>
      </w:tr>
      <w:tr>
        <w:trPr>
          <w:cantSplit/>
        </w:trPr>
        <w:tc>
          <w:tcPr>
            <w:tcW w:type="dxa" w:w="2984"/>
            <w:tcBorders>
              <w:top w:val="nil"/>
              <w:left w:val="nil"/>
              <w:right w:val="nil"/>
              <w:bottom w:val="single" w:sz="4" w:space="0" w:color="D9DEE5"/>
            </w:tcBorders>
          </w:tcPr>
          <w:p>
            <w:pPr>
              <w:spacing w:after="0" w:line="276" w:lineRule="auto"/>
              <w:jc w:val="left"/>
            </w:pPr>
            <w:r>
              <w:rPr>
                <w:sz w:val="19"/>
              </w:rPr>
              <w:t>4.6 Why profit fell</w:t>
            </w:r>
          </w:p>
        </w:tc>
        <w:tc>
          <w:tcPr>
            <w:tcW w:type="dxa" w:w="6087"/>
            <w:tcBorders>
              <w:top w:val="nil"/>
              <w:left w:val="nil"/>
              <w:right w:val="nil"/>
              <w:bottom w:val="single" w:sz="4" w:space="0" w:color="D9DEE5"/>
            </w:tcBorders>
          </w:tcPr>
          <w:p>
            <w:pPr>
              <w:spacing w:after="0" w:line="276" w:lineRule="auto"/>
              <w:jc w:val="left"/>
            </w:pPr>
            <w:r>
              <w:rPr>
                <w:sz w:val="19"/>
              </w:rPr>
              <w:t>Task 5: parts 5a to 5c</w:t>
            </w:r>
          </w:p>
        </w:tc>
      </w:tr>
      <w:tr>
        <w:trPr>
          <w:cantSplit/>
        </w:trPr>
        <w:tc>
          <w:tcPr>
            <w:tcW w:type="dxa" w:w="2984"/>
            <w:tcBorders>
              <w:top w:val="nil"/>
              <w:left w:val="nil"/>
              <w:right w:val="nil"/>
              <w:bottom w:val="single" w:sz="4" w:space="0" w:color="D9DEE5"/>
            </w:tcBorders>
          </w:tcPr>
          <w:p>
            <w:pPr>
              <w:spacing w:after="0" w:line="276" w:lineRule="auto"/>
              <w:jc w:val="left"/>
            </w:pPr>
            <w:r>
              <w:rPr>
                <w:sz w:val="19"/>
              </w:rPr>
              <w:t>4.7 Reliability check</w:t>
            </w:r>
          </w:p>
        </w:tc>
        <w:tc>
          <w:tcPr>
            <w:tcW w:type="dxa" w:w="6087"/>
            <w:tcBorders>
              <w:top w:val="nil"/>
              <w:left w:val="nil"/>
              <w:right w:val="nil"/>
              <w:bottom w:val="single" w:sz="4" w:space="0" w:color="D9DEE5"/>
            </w:tcBorders>
          </w:tcPr>
          <w:p>
            <w:pPr>
              <w:spacing w:after="0" w:line="276" w:lineRule="auto"/>
              <w:jc w:val="left"/>
            </w:pPr>
            <w:r>
              <w:rPr>
                <w:sz w:val="19"/>
              </w:rPr>
              <w:t>Task 6</w:t>
            </w:r>
          </w:p>
        </w:tc>
      </w:tr>
    </w:tbl>
    <w:p>
      <w:pPr>
        <w:spacing w:after="80" w:line="144" w:lineRule="auto"/>
      </w:pPr>
    </w:p>
    <w:sectPr w:rsidR="00FC693F" w:rsidRPr="0006063C" w:rsidSect="00034616">
      <w:footerReference w:type="default" r:id="rId9"/>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r>
    <w:r>
      <w:rPr>
        <w:color w:val="555555"/>
        <w:sz w:val="18"/>
      </w:rPr>
      <w:instrText xml:space="preserve">PAGE</w:instrText>
    </w:r>
    <w:r>
      <w:rPr>
        <w:color w:val="555555"/>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s="Arial"/>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Arial" w:hAnsi="Arial" w:eastAsia="Arial" w:cs="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eastAsia="Arial" w:cs="Arial"/>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eastAsia="Arial" w:cs="Arial"/>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Arial" w:hAnsi="Arial" w:eastAsia="Arial" w:cs="Arial"/>
      <w:b w:val="0"/>
      <w:i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00" w:lineRule="auto"/>
      <w:contextualSpacing/>
    </w:pPr>
    <w:rPr>
      <w:rFonts w:ascii="Arial" w:hAnsi="Arial" w:eastAsia="Arial" w:cs="Arial"/>
      <w:b w:val="0"/>
      <w:i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Christmas Season Sales Analysis</dc:title>
  <dc:subject/>
  <dc:creator>Nguyen Khanh Linh</dc:creator>
  <cp:keywords/>
  <dc:description>generated by python-docx</dc:description>
  <cp:lastModifiedBy/>
  <cp:revision>1</cp:revision>
  <dcterms:created xsi:type="dcterms:W3CDTF">2013-12-23T23:15:00Z</dcterms:created>
  <dcterms:modified xsi:type="dcterms:W3CDTF">2013-12-23T23:15:00Z</dcterms:modified>
  <cp:category/>
</cp:coreProperties>
</file>