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7.1. ARIMA (Mô hình 1)</w:t>
      </w:r>
    </w:p>
    <w:p>
      <w:pPr>
        <w:jc w:val="both"/>
      </w:pPr>
      <w:r>
        <w:t>ARIMA(p,d,q) kết hợp tự hồi quy, sai phân và trung bình trượt; cơ sở lý thuyết được trình bày ở Phần I, mục 4.1. Trên chuỗi log-price USD/VND, ADF gợi ý d = 1; hai bậc p, q được chọn theo Train/Validation, có kiểm tra điều kiện dừng, khả nghịch và phần dư.</w:t>
      </w:r>
    </w:p>
    <w:p>
      <w:pPr>
        <w:jc w:val="center"/>
      </w:pPr>
      <w:r>
        <w:rPr>
          <w:rFonts w:ascii="Cambria Math" w:hAnsi="Cambria Math"/>
        </w:rPr>
        <w:t>Φ(B)(1 − B)ᵈ yₜ = c + Θ(B)εₜ</w:t>
      </w:r>
    </w:p>
    <w:p>
      <w:pPr>
        <w:pStyle w:val="Heading3"/>
      </w:pPr>
      <w:r>
        <w:t>7.1.1. Mục tiêu, dữ liệu và thiết kế thực nghiệm</w:t>
      </w:r>
    </w:p>
    <w:p>
      <w:pPr>
        <w:jc w:val="both"/>
      </w:pPr>
      <w:r>
        <w:t>Mô hình số 1 dự báo tỷ giá đóng cửa USD/VND của phiên kế tiếp. Biến được mô hình hóa là yₜ = 100 · ln(Pₜ), trong đó Pₜ là tỷ giá VND cho 1 USD. Với cách chọn này, sai phân Δyₜ trùng với log-return tính theo phần trăm ở Phần II mục 2.4. Dữ liệu và cách chia tập giữ nguyên như Phần II mục 3: Train 2.347 phiên (04/01/2016–31/12/2024), Validation 262 phiên (năm 2025) và Test 175 phiên (01/01–31/08/2026).</w:t>
      </w:r>
    </w:p>
    <w:p>
      <w:pPr>
        <w:jc w:val="both"/>
      </w:pPr>
      <w:r>
        <w:t>Các ứng viên được ước lượng trên Train và so sánh trên Validation theo một quy tắc cố định trước khi đánh giá Test (mục 7.1.3). Sau khi khóa cấu hình, tham số được ước lượng lại trên Train + Validation và giữ cố định khi dự báo rolling one-step trên Test: tại phiên t, dự báo chỉ dùng dữ liệu đến t − 1, và mô hình được lọc qua chuỗi mở rộng bằng Kalman Filter. Dự báo được quy đổi về giá theo kỳ vọng log-normal P̂ₜ = exp(mₜ/100 + vₜ/(2·100²)), cùng quy ước với mô hình 3, trong đó mₜ, vₜ là trung bình và phương sai dự báo của yₜ. Hiệu chỉnh này chỉ chênh khoảng 0,02–0,03 VND so với trung vị exp(mₜ/100).</w:t>
      </w:r>
    </w:p>
    <w:p>
      <w:pPr>
        <w:jc w:val="both"/>
      </w:pPr>
      <w:r>
        <w:t xml:space="preserve">Các chỉ số đánh giá theo giao thức chung (Phần I mục 3.4–3.6). Mẫu số MASE là MAE của Naive trên mẫu ước lượng (17,4923 cho Validation, 18,2653 cho Test), nên MASE của Naive trùng với Phần II mục 6.2. Khoảng dự báo 95% được đánh giá bằng độ phủ, độ rộng trung bình và interval score của Gneiting &amp; Raftery [7]. Tỷ lệ dự báo đúng hướng (DA) được tính trên mọi phiên và trên các phiên giá thực tế thay đổi; ngoài mốc 50%, DA được so với mốc </w:t>
      </w:r>
      <w:r>
        <w:rPr>
          <w:i/>
        </w:rPr>
        <w:t>luôn đoán theo chiều chiếm đa số</w:t>
      </w:r>
      <w:r>
        <w:t xml:space="preserve"> trong chính tập đánh giá, vì một quy tắc cố định như vậy đã đạt tỷ lệ trên 50% khi số phiên tăng và giảm lệch nhau. Chênh lệch loss so với Naive được kiểm định bằng thống kê DM với sai số chuẩn HAC Newey–West 5 độ trễ, kèm bootstrap khối vòng ghép cặp (2.000 lần, khối dài 5, seed 20261010), cùng thiết lập với mô hình 3 và 4.</w:t>
      </w:r>
    </w:p>
    <w:p>
      <w:pPr>
        <w:jc w:val="both"/>
      </w:pPr>
      <w:r>
        <w:t>Ngoài 569 bản ghi OHLC bất nhất, dữ liệu có 105 phiên nghỉ lễ (Tết, 30/4, 1/5, 2/9, 1/1) bị điền bằng giá phiên trước. Các phiên này tạo return bằng 0 và dồn biến động vào phiên mở cửa lại. Thiết kế chính giữ nguyên lịch quan sát như phần chung; ảnh hưởng của chúng được kiểm tra ở mục 7.1.9.</w:t>
      </w:r>
    </w:p>
    <w:p>
      <w:pPr>
        <w:pStyle w:val="Heading3"/>
      </w:pPr>
      <w:r>
        <w:t>7.1.2. Đặc tả mô hình và nhận dạng</w:t>
      </w:r>
    </w:p>
    <w:p>
      <w:pPr>
        <w:jc w:val="both"/>
      </w:pPr>
      <w:r>
        <w:t>Với d = 1 và không có hằng số, mô hình có dạng:</w:t>
      </w:r>
    </w:p>
    <w:p>
      <w:pPr>
        <w:jc w:val="center"/>
      </w:pPr>
      <w:r>
        <w:rPr>
          <w:rFonts w:ascii="Cambria Math" w:hAnsi="Cambria Math"/>
        </w:rPr>
        <w:t>(1 − φ₁B − … − φₚBᵖ)(1 − B) yₜ = (1 + θ₁B + … + θ</w:t>
      </w:r>
      <w:r>
        <w:rPr>
          <w:rFonts w:ascii="Cambria Math" w:hAnsi="Cambria Math"/>
          <w:vertAlign w:val="subscript"/>
        </w:rPr>
        <w:t>q</w:t>
      </w:r>
      <w:r>
        <w:rPr>
          <w:rFonts w:ascii="Cambria Math" w:hAnsi="Cambria Math"/>
        </w:rPr>
        <w:t>B</w:t>
      </w:r>
      <w:r>
        <w:rPr>
          <w:rFonts w:ascii="Cambria Math" w:hAnsi="Cambria Math"/>
          <w:vertAlign w:val="superscript"/>
        </w:rPr>
        <w:t>q</w:t>
      </w:r>
      <w:r>
        <w:rPr>
          <w:rFonts w:ascii="Cambria Math" w:hAnsi="Cambria Math"/>
        </w:rPr>
        <w:t>) εₜ ,   εₜ ~ N(0, σ²)</w:t>
      </w:r>
    </w:p>
    <w:p>
      <w:pPr>
        <w:jc w:val="both"/>
      </w:pPr>
      <w:r>
        <w:t>Tham số được ước lượng bằng maximum likelihood chính xác. Thư viện statsmodels biểu diễn mô hình dưới dạng không gian trạng thái và tối ưu bằng L-BFGS. Bậc sai phân d = 1 dựa trên Phần II mục 5.1: ADF không bác bỏ nghiệm đơn vị của log-price ở d = 0 (p = 0,908) nhưng bác bỏ với sai phân bậc một ở d = 1 (p &lt; 0,001). KPSS (H₀: chuỗi dừng quanh một mức trung bình), tính bổ sung trong notebook ARIMA, cho kết luận nhất quán: ở d = 0, thống kê bằng 5,118 (p &lt; 0,01), vượt xa giá trị tới hạn 5% là 0,463, nên bác bỏ tính dừng của log-price; ở d = 1, thống kê bằng 0,140 (p &gt; 0,10) nên không bác bỏ tính dừng của sai phân. Hai kiểm định có giả thuyết H₀ ngược nhau nhưng cùng chỉ ra log-price là I(1), nên chọn d = 1. Phương trình ARIMA không đưa vào hằng số drift. Return trung bình trên Train chỉ 0,0054 %/ngày với p = 0,049, sát ngưỡng, và không ổn định giữa các năm: năm 2021 giảm 1,1%, năm 2024 tăng 5,0%.</w:t>
      </w:r>
    </w:p>
    <w:p>
      <w:pPr>
        <w:jc w:val="both"/>
      </w:pPr>
      <w:r>
        <w:t>ACF và PACF của Δyₜ vượt ngưỡng ±0,0405 ở các độ trễ 1, 3, 4, 6 và đều không cắt cụt rõ (Hình P1.1). Đây là dạng điển hình của ARMA hỗn hợp, nên p, q được chọn bằng lưới tiêu chí thông tin thay vì đọc trực tiếp từ đồ thị. Tự tương quan này không do ngoại lai tạo ra. Hệ số AR(1) bằng 0,109 (p &lt; 0,001), và vẫn bằng 0,071, có ý nghĩa, sau khi thêm biến giả cho 18 phiên có |z| &gt; 4.</w:t>
      </w:r>
    </w:p>
    <w:p>
      <w:pPr>
        <w:keepNext/>
        <w:jc w:val="center"/>
      </w:pPr>
      <w:r>
        <w:drawing>
          <wp:inline xmlns:a="http://schemas.openxmlformats.org/drawingml/2006/main" xmlns:pic="http://schemas.openxmlformats.org/drawingml/2006/picture">
            <wp:extent cx="5760000" cy="3702857"/>
            <wp:docPr id="1" name="Picture 1"/>
            <wp:cNvGraphicFramePr>
              <a:graphicFrameLocks noChangeAspect="1"/>
            </wp:cNvGraphicFramePr>
            <a:graphic>
              <a:graphicData uri="http://schemas.openxmlformats.org/drawingml/2006/picture">
                <pic:pic>
                  <pic:nvPicPr>
                    <pic:cNvPr id="0" name="10_arima_identification.png"/>
                    <pic:cNvPicPr/>
                  </pic:nvPicPr>
                  <pic:blipFill>
                    <a:blip r:embed="rId9"/>
                    <a:stretch>
                      <a:fillRect/>
                    </a:stretch>
                  </pic:blipFill>
                  <pic:spPr>
                    <a:xfrm>
                      <a:off x="0" y="0"/>
                      <a:ext cx="5760000" cy="3702857"/>
                    </a:xfrm>
                    <a:prstGeom prst="rect"/>
                  </pic:spPr>
                </pic:pic>
              </a:graphicData>
            </a:graphic>
          </wp:inline>
        </w:drawing>
      </w:r>
    </w:p>
    <w:p>
      <w:pPr>
        <w:jc w:val="center"/>
      </w:pPr>
      <w:r>
        <w:rPr>
          <w:i/>
          <w:sz w:val="20"/>
        </w:rPr>
        <w:t xml:space="preserve">Hình P1.1. </w:t>
      </w:r>
      <w:r>
        <w:rPr>
          <w:sz w:val="20"/>
        </w:rPr>
        <w:t>ACF/PACF của log-price (hàng trên, d = 0) và của sai phân bậc một (hàng dưới, d = 1) trên Train; vùng tô màu là khoảng tin cậy 95%.</w:t>
      </w:r>
    </w:p>
    <w:p>
      <w:pPr>
        <w:pStyle w:val="Heading3"/>
      </w:pPr>
      <w:r>
        <w:t>7.1.3. Lựa chọn cấu hình trên Train và Validation</w:t>
      </w:r>
    </w:p>
    <w:p>
      <w:pPr>
        <w:jc w:val="both"/>
      </w:pPr>
      <w:r>
        <w:t>Lưới 25 mô hình ARIMA(p,1,q) với p, q ∈ {0,…,4} được ước lượng trên Train. AIC chọn ARIMA(3,1,4), còn BIC, vốn phạt số tham số nặng hơn, chọn ARIMA(3,1,1) (Bảng P1.1). So với Random Walk, hai mô hình này tăng log-likelihood khoảng 52–57 đơn vị, cho thấy Δyₜ có cấu trúc tự tương quan thật trong mẫu. Khi thêm một bậc vào AR(1) hoặc MA(1), hệ số mới rất nhỏ (φ₂ = −0,018; θ₂ = −0,028); phụ thuộc chủ yếu nằm ở các độ trễ 3–4.</w:t>
      </w:r>
    </w:p>
    <w:p>
      <w:pPr>
        <w:keepNext/>
        <w:spacing w:before="120"/>
      </w:pPr>
      <w:r>
        <w:rPr>
          <w:b/>
        </w:rPr>
        <w:t xml:space="preserve">Bảng P1.1. </w:t>
      </w:r>
      <w:r>
        <w:t>Tiêu chí thông tin của các ứng viên trên Train (N = 2.347)</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rPr>
          <w:cantSplit/>
          <w:tblHeader/>
        </w:trPr>
        <w:tc>
          <w:tcPr>
            <w:tcW w:type="dxa" w:w="1644"/>
            <w:shd w:val="clear" w:color="auto" w:fill="DCE6F1"/>
          </w:tcPr>
          <w:p>
            <w:pPr>
              <w:spacing w:after="20" w:line="252" w:lineRule="auto"/>
              <w:jc w:val="left"/>
            </w:pPr>
            <w:r>
              <w:rPr>
                <w:b/>
              </w:rPr>
            </w:r>
            <w:r>
              <w:rPr>
                <w:b/>
                <w:sz w:val="20"/>
              </w:rPr>
              <w:t>Mô hình</w:t>
            </w:r>
          </w:p>
        </w:tc>
        <w:tc>
          <w:tcPr>
            <w:tcW w:type="dxa" w:w="1134"/>
            <w:shd w:val="clear" w:color="auto" w:fill="DCE6F1"/>
          </w:tcPr>
          <w:p>
            <w:pPr>
              <w:spacing w:after="20" w:line="252" w:lineRule="auto"/>
              <w:jc w:val="center"/>
            </w:pPr>
            <w:r>
              <w:rPr>
                <w:b/>
              </w:rPr>
            </w:r>
            <w:r>
              <w:rPr>
                <w:b/>
                <w:sz w:val="20"/>
              </w:rPr>
              <w:t>Số tham số</w:t>
            </w:r>
          </w:p>
        </w:tc>
        <w:tc>
          <w:tcPr>
            <w:tcW w:type="dxa" w:w="1474"/>
            <w:shd w:val="clear" w:color="auto" w:fill="DCE6F1"/>
          </w:tcPr>
          <w:p>
            <w:pPr>
              <w:spacing w:after="20" w:line="252" w:lineRule="auto"/>
              <w:jc w:val="center"/>
            </w:pPr>
            <w:r>
              <w:rPr>
                <w:b/>
              </w:rPr>
            </w:r>
            <w:r>
              <w:rPr>
                <w:b/>
                <w:sz w:val="20"/>
              </w:rPr>
              <w:t>Log-likelihood</w:t>
            </w:r>
          </w:p>
        </w:tc>
        <w:tc>
          <w:tcPr>
            <w:tcW w:type="dxa" w:w="1474"/>
            <w:shd w:val="clear" w:color="auto" w:fill="DCE6F1"/>
          </w:tcPr>
          <w:p>
            <w:pPr>
              <w:spacing w:after="20" w:line="252" w:lineRule="auto"/>
              <w:jc w:val="center"/>
            </w:pPr>
            <w:r>
              <w:rPr>
                <w:b/>
              </w:rPr>
            </w:r>
            <w:r>
              <w:rPr>
                <w:b/>
                <w:sz w:val="20"/>
              </w:rPr>
              <w:t>AIC</w:t>
            </w:r>
          </w:p>
        </w:tc>
        <w:tc>
          <w:tcPr>
            <w:tcW w:type="dxa" w:w="1474"/>
            <w:shd w:val="clear" w:color="auto" w:fill="DCE6F1"/>
          </w:tcPr>
          <w:p>
            <w:pPr>
              <w:spacing w:after="20" w:line="252" w:lineRule="auto"/>
              <w:jc w:val="center"/>
            </w:pPr>
            <w:r>
              <w:rPr>
                <w:b/>
              </w:rPr>
            </w:r>
            <w:r>
              <w:rPr>
                <w:b/>
                <w:sz w:val="20"/>
              </w:rPr>
              <w:t>BIC</w:t>
            </w:r>
          </w:p>
        </w:tc>
        <w:tc>
          <w:tcPr>
            <w:tcW w:type="dxa" w:w="1871"/>
            <w:shd w:val="clear" w:color="auto" w:fill="DCE6F1"/>
          </w:tcPr>
          <w:p>
            <w:pPr>
              <w:spacing w:after="20" w:line="252" w:lineRule="auto"/>
              <w:jc w:val="center"/>
            </w:pPr>
            <w:r>
              <w:rPr>
                <w:b/>
              </w:rPr>
            </w:r>
            <w:r>
              <w:rPr>
                <w:b/>
                <w:sz w:val="20"/>
              </w:rPr>
              <w:t>Ghi chú</w:t>
            </w:r>
          </w:p>
        </w:tc>
      </w:tr>
      <w:tr>
        <w:trPr>
          <w:cantSplit/>
        </w:trPr>
        <w:tc>
          <w:tcPr>
            <w:tcW w:type="dxa" w:w="1644"/>
          </w:tcPr>
          <w:p>
            <w:pPr>
              <w:spacing w:after="20" w:line="252" w:lineRule="auto"/>
              <w:jc w:val="left"/>
            </w:pPr>
            <w:r/>
            <w:r>
              <w:rPr>
                <w:sz w:val="20"/>
              </w:rPr>
              <w:t>ARIMA(3,1,4)</w:t>
            </w:r>
          </w:p>
        </w:tc>
        <w:tc>
          <w:tcPr>
            <w:tcW w:type="dxa" w:w="1134"/>
          </w:tcPr>
          <w:p>
            <w:pPr>
              <w:spacing w:after="20" w:line="252" w:lineRule="auto"/>
              <w:jc w:val="center"/>
            </w:pPr>
            <w:r/>
            <w:r>
              <w:rPr>
                <w:sz w:val="20"/>
              </w:rPr>
              <w:t>8</w:t>
            </w:r>
          </w:p>
        </w:tc>
        <w:tc>
          <w:tcPr>
            <w:tcW w:type="dxa" w:w="1474"/>
          </w:tcPr>
          <w:p>
            <w:pPr>
              <w:spacing w:after="20" w:line="252" w:lineRule="auto"/>
              <w:jc w:val="center"/>
            </w:pPr>
            <w:r/>
            <w:r>
              <w:rPr>
                <w:sz w:val="20"/>
              </w:rPr>
              <w:t>1.441,11</w:t>
            </w:r>
          </w:p>
        </w:tc>
        <w:tc>
          <w:tcPr>
            <w:tcW w:type="dxa" w:w="1474"/>
          </w:tcPr>
          <w:p>
            <w:pPr>
              <w:spacing w:after="20" w:line="252" w:lineRule="auto"/>
              <w:jc w:val="center"/>
            </w:pPr>
            <w:r/>
            <w:r>
              <w:rPr>
                <w:sz w:val="20"/>
              </w:rPr>
              <w:t>−2.866,23</w:t>
            </w:r>
          </w:p>
        </w:tc>
        <w:tc>
          <w:tcPr>
            <w:tcW w:type="dxa" w:w="1474"/>
          </w:tcPr>
          <w:p>
            <w:pPr>
              <w:spacing w:after="20" w:line="252" w:lineRule="auto"/>
              <w:jc w:val="center"/>
            </w:pPr>
            <w:r/>
            <w:r>
              <w:rPr>
                <w:sz w:val="20"/>
              </w:rPr>
              <w:t>−2.820,14</w:t>
            </w:r>
          </w:p>
        </w:tc>
        <w:tc>
          <w:tcPr>
            <w:tcW w:type="dxa" w:w="1871"/>
          </w:tcPr>
          <w:p>
            <w:pPr>
              <w:spacing w:after="20" w:line="252" w:lineRule="auto"/>
              <w:jc w:val="center"/>
            </w:pPr>
            <w:r/>
            <w:r>
              <w:rPr>
                <w:sz w:val="20"/>
              </w:rPr>
              <w:t>AIC nhỏ nhất</w:t>
            </w:r>
          </w:p>
        </w:tc>
      </w:tr>
      <w:tr>
        <w:trPr>
          <w:cantSplit/>
        </w:trPr>
        <w:tc>
          <w:tcPr>
            <w:tcW w:type="dxa" w:w="1644"/>
          </w:tcPr>
          <w:p>
            <w:pPr>
              <w:spacing w:after="20" w:line="252" w:lineRule="auto"/>
              <w:jc w:val="left"/>
            </w:pPr>
            <w:r/>
            <w:r>
              <w:rPr>
                <w:sz w:val="20"/>
              </w:rPr>
              <w:t>ARIMA(4,1,3)</w:t>
            </w:r>
          </w:p>
        </w:tc>
        <w:tc>
          <w:tcPr>
            <w:tcW w:type="dxa" w:w="1134"/>
          </w:tcPr>
          <w:p>
            <w:pPr>
              <w:spacing w:after="20" w:line="252" w:lineRule="auto"/>
              <w:jc w:val="center"/>
            </w:pPr>
            <w:r/>
            <w:r>
              <w:rPr>
                <w:sz w:val="20"/>
              </w:rPr>
              <w:t>8</w:t>
            </w:r>
          </w:p>
        </w:tc>
        <w:tc>
          <w:tcPr>
            <w:tcW w:type="dxa" w:w="1474"/>
          </w:tcPr>
          <w:p>
            <w:pPr>
              <w:spacing w:after="20" w:line="252" w:lineRule="auto"/>
              <w:jc w:val="center"/>
            </w:pPr>
            <w:r/>
            <w:r>
              <w:rPr>
                <w:sz w:val="20"/>
              </w:rPr>
              <w:t>1.440,96</w:t>
            </w:r>
          </w:p>
        </w:tc>
        <w:tc>
          <w:tcPr>
            <w:tcW w:type="dxa" w:w="1474"/>
          </w:tcPr>
          <w:p>
            <w:pPr>
              <w:spacing w:after="20" w:line="252" w:lineRule="auto"/>
              <w:jc w:val="center"/>
            </w:pPr>
            <w:r/>
            <w:r>
              <w:rPr>
                <w:sz w:val="20"/>
              </w:rPr>
              <w:t>−2.865,91</w:t>
            </w:r>
          </w:p>
        </w:tc>
        <w:tc>
          <w:tcPr>
            <w:tcW w:type="dxa" w:w="1474"/>
          </w:tcPr>
          <w:p>
            <w:pPr>
              <w:spacing w:after="20" w:line="252" w:lineRule="auto"/>
              <w:jc w:val="center"/>
            </w:pPr>
            <w:r/>
            <w:r>
              <w:rPr>
                <w:sz w:val="20"/>
              </w:rPr>
              <w:t>−2.819,83</w:t>
            </w:r>
          </w:p>
        </w:tc>
        <w:tc>
          <w:tcPr>
            <w:tcW w:type="dxa" w:w="1871"/>
          </w:tcPr>
          <w:p>
            <w:pPr>
              <w:spacing w:after="20" w:line="252" w:lineRule="auto"/>
              <w:jc w:val="center"/>
            </w:pPr>
            <w:r/>
            <w:r>
              <w:rPr>
                <w:sz w:val="20"/>
              </w:rPr>
              <w:t>Thứ 2 theo AIC</w:t>
            </w:r>
          </w:p>
        </w:tc>
      </w:tr>
      <w:tr>
        <w:trPr>
          <w:cantSplit/>
        </w:trPr>
        <w:tc>
          <w:tcPr>
            <w:tcW w:type="dxa" w:w="1644"/>
            <w:shd w:val="clear" w:color="auto" w:fill="FFF2CC"/>
          </w:tcPr>
          <w:p>
            <w:pPr>
              <w:spacing w:after="20" w:line="252" w:lineRule="auto"/>
              <w:jc w:val="left"/>
            </w:pPr>
            <w:r>
              <w:rPr>
                <w:b/>
              </w:rPr>
            </w:r>
            <w:r>
              <w:rPr>
                <w:b/>
                <w:sz w:val="20"/>
              </w:rPr>
              <w:t>ARIMA(3,1,1)</w:t>
            </w:r>
          </w:p>
        </w:tc>
        <w:tc>
          <w:tcPr>
            <w:tcW w:type="dxa" w:w="1134"/>
            <w:shd w:val="clear" w:color="auto" w:fill="FFF2CC"/>
          </w:tcPr>
          <w:p>
            <w:pPr>
              <w:spacing w:after="20" w:line="252" w:lineRule="auto"/>
              <w:jc w:val="center"/>
            </w:pPr>
            <w:r>
              <w:rPr>
                <w:b/>
              </w:rPr>
            </w:r>
            <w:r>
              <w:rPr>
                <w:b/>
                <w:sz w:val="20"/>
              </w:rPr>
              <w:t>5</w:t>
            </w:r>
          </w:p>
        </w:tc>
        <w:tc>
          <w:tcPr>
            <w:tcW w:type="dxa" w:w="1474"/>
            <w:shd w:val="clear" w:color="auto" w:fill="FFF2CC"/>
          </w:tcPr>
          <w:p>
            <w:pPr>
              <w:spacing w:after="20" w:line="252" w:lineRule="auto"/>
              <w:jc w:val="center"/>
            </w:pPr>
            <w:r>
              <w:rPr>
                <w:b/>
              </w:rPr>
            </w:r>
            <w:r>
              <w:rPr>
                <w:b/>
                <w:sz w:val="20"/>
              </w:rPr>
              <w:t>1.436,28</w:t>
            </w:r>
          </w:p>
        </w:tc>
        <w:tc>
          <w:tcPr>
            <w:tcW w:type="dxa" w:w="1474"/>
            <w:shd w:val="clear" w:color="auto" w:fill="FFF2CC"/>
          </w:tcPr>
          <w:p>
            <w:pPr>
              <w:spacing w:after="20" w:line="252" w:lineRule="auto"/>
              <w:jc w:val="center"/>
            </w:pPr>
            <w:r>
              <w:rPr>
                <w:b/>
              </w:rPr>
            </w:r>
            <w:r>
              <w:rPr>
                <w:b/>
                <w:sz w:val="20"/>
              </w:rPr>
              <w:t>−2.862,55</w:t>
            </w:r>
          </w:p>
        </w:tc>
        <w:tc>
          <w:tcPr>
            <w:tcW w:type="dxa" w:w="1474"/>
            <w:shd w:val="clear" w:color="auto" w:fill="FFF2CC"/>
          </w:tcPr>
          <w:p>
            <w:pPr>
              <w:spacing w:after="20" w:line="252" w:lineRule="auto"/>
              <w:jc w:val="center"/>
            </w:pPr>
            <w:r>
              <w:rPr>
                <w:b/>
              </w:rPr>
            </w:r>
            <w:r>
              <w:rPr>
                <w:b/>
                <w:sz w:val="20"/>
              </w:rPr>
              <w:t>−2.833,75</w:t>
            </w:r>
          </w:p>
        </w:tc>
        <w:tc>
          <w:tcPr>
            <w:tcW w:type="dxa" w:w="1871"/>
            <w:shd w:val="clear" w:color="auto" w:fill="FFF2CC"/>
          </w:tcPr>
          <w:p>
            <w:pPr>
              <w:spacing w:after="20" w:line="252" w:lineRule="auto"/>
              <w:jc w:val="center"/>
            </w:pPr>
            <w:r>
              <w:rPr>
                <w:b/>
              </w:rPr>
            </w:r>
            <w:r>
              <w:rPr>
                <w:b/>
                <w:sz w:val="20"/>
              </w:rPr>
              <w:t>BIC nhỏ nhất</w:t>
            </w:r>
          </w:p>
        </w:tc>
      </w:tr>
      <w:tr>
        <w:trPr>
          <w:cantSplit/>
        </w:trPr>
        <w:tc>
          <w:tcPr>
            <w:tcW w:type="dxa" w:w="1644"/>
          </w:tcPr>
          <w:p>
            <w:pPr>
              <w:spacing w:after="20" w:line="252" w:lineRule="auto"/>
              <w:jc w:val="left"/>
            </w:pPr>
            <w:r/>
            <w:r>
              <w:rPr>
                <w:sz w:val="20"/>
              </w:rPr>
              <w:t>ARIMA(4,1,0)</w:t>
            </w:r>
          </w:p>
        </w:tc>
        <w:tc>
          <w:tcPr>
            <w:tcW w:type="dxa" w:w="1134"/>
          </w:tcPr>
          <w:p>
            <w:pPr>
              <w:spacing w:after="20" w:line="252" w:lineRule="auto"/>
              <w:jc w:val="center"/>
            </w:pPr>
            <w:r/>
            <w:r>
              <w:rPr>
                <w:sz w:val="20"/>
              </w:rPr>
              <w:t>5</w:t>
            </w:r>
          </w:p>
        </w:tc>
        <w:tc>
          <w:tcPr>
            <w:tcW w:type="dxa" w:w="1474"/>
          </w:tcPr>
          <w:p>
            <w:pPr>
              <w:spacing w:after="20" w:line="252" w:lineRule="auto"/>
              <w:jc w:val="center"/>
            </w:pPr>
            <w:r/>
            <w:r>
              <w:rPr>
                <w:sz w:val="20"/>
              </w:rPr>
              <w:t>1.435,08</w:t>
            </w:r>
          </w:p>
        </w:tc>
        <w:tc>
          <w:tcPr>
            <w:tcW w:type="dxa" w:w="1474"/>
          </w:tcPr>
          <w:p>
            <w:pPr>
              <w:spacing w:after="20" w:line="252" w:lineRule="auto"/>
              <w:jc w:val="center"/>
            </w:pPr>
            <w:r/>
            <w:r>
              <w:rPr>
                <w:sz w:val="20"/>
              </w:rPr>
              <w:t>−2.860,16</w:t>
            </w:r>
          </w:p>
        </w:tc>
        <w:tc>
          <w:tcPr>
            <w:tcW w:type="dxa" w:w="1474"/>
          </w:tcPr>
          <w:p>
            <w:pPr>
              <w:spacing w:after="20" w:line="252" w:lineRule="auto"/>
              <w:jc w:val="center"/>
            </w:pPr>
            <w:r/>
            <w:r>
              <w:rPr>
                <w:sz w:val="20"/>
              </w:rPr>
              <w:t>−2.831,35</w:t>
            </w:r>
          </w:p>
        </w:tc>
        <w:tc>
          <w:tcPr>
            <w:tcW w:type="dxa" w:w="1871"/>
          </w:tcPr>
          <w:p>
            <w:pPr>
              <w:spacing w:after="20" w:line="252" w:lineRule="auto"/>
              <w:jc w:val="center"/>
            </w:pPr>
            <w:r/>
            <w:r>
              <w:rPr>
                <w:sz w:val="20"/>
              </w:rPr>
              <w:t>Thứ 2 theo BIC</w:t>
            </w:r>
          </w:p>
        </w:tc>
      </w:tr>
      <w:tr>
        <w:trPr>
          <w:cantSplit/>
        </w:trPr>
        <w:tc>
          <w:tcPr>
            <w:tcW w:type="dxa" w:w="1644"/>
          </w:tcPr>
          <w:p>
            <w:pPr>
              <w:spacing w:after="20" w:line="252" w:lineRule="auto"/>
              <w:jc w:val="left"/>
            </w:pPr>
            <w:r/>
            <w:r>
              <w:rPr>
                <w:sz w:val="20"/>
              </w:rPr>
              <w:t>ARIMA(1,1,1)</w:t>
            </w:r>
          </w:p>
        </w:tc>
        <w:tc>
          <w:tcPr>
            <w:tcW w:type="dxa" w:w="1134"/>
          </w:tcPr>
          <w:p>
            <w:pPr>
              <w:spacing w:after="20" w:line="252" w:lineRule="auto"/>
              <w:jc w:val="center"/>
            </w:pPr>
            <w:r/>
            <w:r>
              <w:rPr>
                <w:sz w:val="20"/>
              </w:rPr>
              <w:t>3</w:t>
            </w:r>
          </w:p>
        </w:tc>
        <w:tc>
          <w:tcPr>
            <w:tcW w:type="dxa" w:w="1474"/>
          </w:tcPr>
          <w:p>
            <w:pPr>
              <w:spacing w:after="20" w:line="252" w:lineRule="auto"/>
              <w:jc w:val="center"/>
            </w:pPr>
            <w:r/>
            <w:r>
              <w:rPr>
                <w:sz w:val="20"/>
              </w:rPr>
              <w:t>1.401,94</w:t>
            </w:r>
          </w:p>
        </w:tc>
        <w:tc>
          <w:tcPr>
            <w:tcW w:type="dxa" w:w="1474"/>
          </w:tcPr>
          <w:p>
            <w:pPr>
              <w:spacing w:after="20" w:line="252" w:lineRule="auto"/>
              <w:jc w:val="center"/>
            </w:pPr>
            <w:r/>
            <w:r>
              <w:rPr>
                <w:sz w:val="20"/>
              </w:rPr>
              <w:t>−2.797,88</w:t>
            </w:r>
          </w:p>
        </w:tc>
        <w:tc>
          <w:tcPr>
            <w:tcW w:type="dxa" w:w="1474"/>
          </w:tcPr>
          <w:p>
            <w:pPr>
              <w:spacing w:after="20" w:line="252" w:lineRule="auto"/>
              <w:jc w:val="center"/>
            </w:pPr>
            <w:r/>
            <w:r>
              <w:rPr>
                <w:sz w:val="20"/>
              </w:rPr>
              <w:t>−2.780,59</w:t>
            </w:r>
          </w:p>
        </w:tc>
        <w:tc>
          <w:tcPr>
            <w:tcW w:type="dxa" w:w="1871"/>
          </w:tcPr>
          <w:p>
            <w:pPr>
              <w:spacing w:after="20" w:line="252" w:lineRule="auto"/>
              <w:jc w:val="center"/>
            </w:pPr>
            <w:r/>
            <w:r>
              <w:rPr>
                <w:sz w:val="20"/>
              </w:rPr>
              <w:t>Mô hình gọn để đối chiếu</w:t>
            </w:r>
          </w:p>
        </w:tc>
      </w:tr>
      <w:tr>
        <w:trPr>
          <w:cantSplit/>
        </w:trPr>
        <w:tc>
          <w:tcPr>
            <w:tcW w:type="dxa" w:w="1644"/>
          </w:tcPr>
          <w:p>
            <w:pPr>
              <w:spacing w:after="20" w:line="252" w:lineRule="auto"/>
              <w:jc w:val="left"/>
            </w:pPr>
            <w:r/>
            <w:r>
              <w:rPr>
                <w:sz w:val="20"/>
              </w:rPr>
              <w:t>ARIMA(0,1,0)</w:t>
            </w:r>
          </w:p>
        </w:tc>
        <w:tc>
          <w:tcPr>
            <w:tcW w:type="dxa" w:w="1134"/>
          </w:tcPr>
          <w:p>
            <w:pPr>
              <w:spacing w:after="20" w:line="252" w:lineRule="auto"/>
              <w:jc w:val="center"/>
            </w:pPr>
            <w:r/>
            <w:r>
              <w:rPr>
                <w:sz w:val="20"/>
              </w:rPr>
              <w:t>1</w:t>
            </w:r>
          </w:p>
        </w:tc>
        <w:tc>
          <w:tcPr>
            <w:tcW w:type="dxa" w:w="1474"/>
          </w:tcPr>
          <w:p>
            <w:pPr>
              <w:spacing w:after="20" w:line="252" w:lineRule="auto"/>
              <w:jc w:val="center"/>
            </w:pPr>
            <w:r/>
            <w:r>
              <w:rPr>
                <w:sz w:val="20"/>
              </w:rPr>
              <w:t>1.384,28</w:t>
            </w:r>
          </w:p>
        </w:tc>
        <w:tc>
          <w:tcPr>
            <w:tcW w:type="dxa" w:w="1474"/>
          </w:tcPr>
          <w:p>
            <w:pPr>
              <w:spacing w:after="20" w:line="252" w:lineRule="auto"/>
              <w:jc w:val="center"/>
            </w:pPr>
            <w:r/>
            <w:r>
              <w:rPr>
                <w:sz w:val="20"/>
              </w:rPr>
              <w:t>−2.766,57</w:t>
            </w:r>
          </w:p>
        </w:tc>
        <w:tc>
          <w:tcPr>
            <w:tcW w:type="dxa" w:w="1474"/>
          </w:tcPr>
          <w:p>
            <w:pPr>
              <w:spacing w:after="20" w:line="252" w:lineRule="auto"/>
              <w:jc w:val="center"/>
            </w:pPr>
            <w:r/>
            <w:r>
              <w:rPr>
                <w:sz w:val="20"/>
              </w:rPr>
              <w:t>−2.760,81</w:t>
            </w:r>
          </w:p>
        </w:tc>
        <w:tc>
          <w:tcPr>
            <w:tcW w:type="dxa" w:w="1871"/>
          </w:tcPr>
          <w:p>
            <w:pPr>
              <w:spacing w:after="20" w:line="252" w:lineRule="auto"/>
              <w:jc w:val="center"/>
            </w:pPr>
            <w:r/>
            <w:r>
              <w:rPr>
                <w:sz w:val="20"/>
              </w:rPr>
              <w:t>Random Walk</w:t>
            </w:r>
          </w:p>
        </w:tc>
      </w:tr>
    </w:tbl>
    <w:p>
      <w:pPr>
        <w:spacing w:after="0"/>
      </w:pPr>
    </w:p>
    <w:p>
      <w:pPr>
        <w:jc w:val="both"/>
      </w:pPr>
      <w:r>
        <w:t>Tập ứng viên gồm 5 mô hình tốt nhất theo AIC, 5 mô hình tốt nhất theo BIC và 4 mô hình bậc thấp, tổng cộng 14 cấu hình. Quy tắc chọn được cố định trước khi đánh giá Test và gồm hai bước. Bước một giữ lại các mô hình hợp lệ: ước lượng hội tụ, mọi nghiệm AR/MA nằm ngoài đường tròn đơn vị, và Ljung–Box trên phần dư Train (đã trừ bậc tự do p + q) có p &gt; 0,05 ở độ trễ 10 và 20. Bước hai lấy các mô hình hợp lệ có RMSE tỷ giá trên Validation không vượt quá 1% so với mức tốt nhất, rồi chọn mô hình ít tham số nhất (p + q nhỏ nhất). Quy tắc này ưu tiên mô hình gọn khi chênh lệch sai số không đáng kể, tránh chọn mô hình thừa tham số chỉ vì RMSE thấp hơn vài phần nghìn.</w:t>
      </w:r>
    </w:p>
    <w:p>
      <w:pPr>
        <w:keepNext/>
        <w:spacing w:before="120"/>
      </w:pPr>
      <w:r>
        <w:rPr>
          <w:b/>
        </w:rPr>
        <w:t xml:space="preserve">Bảng P1.2. </w:t>
      </w:r>
      <w:r>
        <w:t>Các ứng viên tiêu biểu trên Validation 2025 (N = 262) và điều kiện hợp lệ</w:t>
      </w:r>
    </w:p>
    <w:tbl>
      <w:tblPr>
        <w:tblStyle w:val="TableGrid"/>
        <w:tblW w:type="auto" w:w="0"/>
        <w:jc w:val="center"/>
        <w:tblLook w:firstColumn="1" w:firstRow="1" w:lastColumn="0" w:lastRow="0" w:noHBand="0" w:noVBand="1" w:val="04A0"/>
      </w:tblPr>
      <w:tblGrid>
        <w:gridCol w:w="1300"/>
        <w:gridCol w:w="1300"/>
        <w:gridCol w:w="1300"/>
        <w:gridCol w:w="1300"/>
        <w:gridCol w:w="1300"/>
        <w:gridCol w:w="1300"/>
        <w:gridCol w:w="1300"/>
      </w:tblGrid>
      <w:tr>
        <w:trPr>
          <w:cantSplit/>
          <w:tblHeader/>
        </w:trPr>
        <w:tc>
          <w:tcPr>
            <w:tcW w:type="dxa" w:w="1928"/>
            <w:shd w:val="clear" w:color="auto" w:fill="DCE6F1"/>
          </w:tcPr>
          <w:p>
            <w:pPr>
              <w:spacing w:after="20" w:line="252" w:lineRule="auto"/>
              <w:jc w:val="left"/>
            </w:pPr>
            <w:r>
              <w:rPr>
                <w:b/>
              </w:rPr>
            </w:r>
            <w:r>
              <w:rPr>
                <w:b/>
                <w:sz w:val="19"/>
              </w:rPr>
              <w:t>Mô hình</w:t>
            </w:r>
          </w:p>
        </w:tc>
        <w:tc>
          <w:tcPr>
            <w:tcW w:type="dxa" w:w="680"/>
            <w:shd w:val="clear" w:color="auto" w:fill="DCE6F1"/>
          </w:tcPr>
          <w:p>
            <w:pPr>
              <w:spacing w:after="20" w:line="252" w:lineRule="auto"/>
              <w:jc w:val="center"/>
            </w:pPr>
            <w:r>
              <w:rPr>
                <w:b/>
              </w:rPr>
            </w:r>
            <w:r>
              <w:rPr>
                <w:b/>
                <w:sz w:val="19"/>
              </w:rPr>
              <w:t>p + q</w:t>
            </w:r>
          </w:p>
        </w:tc>
        <w:tc>
          <w:tcPr>
            <w:tcW w:type="dxa" w:w="1247"/>
            <w:shd w:val="clear" w:color="auto" w:fill="DCE6F1"/>
          </w:tcPr>
          <w:p>
            <w:pPr>
              <w:spacing w:after="20" w:line="252" w:lineRule="auto"/>
              <w:jc w:val="center"/>
            </w:pPr>
            <w:r>
              <w:rPr>
                <w:b/>
              </w:rPr>
            </w:r>
            <w:r>
              <w:rPr>
                <w:b/>
                <w:sz w:val="19"/>
              </w:rPr>
              <w:t>RMSE (VND/USD)</w:t>
            </w:r>
          </w:p>
        </w:tc>
        <w:tc>
          <w:tcPr>
            <w:tcW w:type="dxa" w:w="1134"/>
            <w:shd w:val="clear" w:color="auto" w:fill="DCE6F1"/>
          </w:tcPr>
          <w:p>
            <w:pPr>
              <w:spacing w:after="20" w:line="252" w:lineRule="auto"/>
              <w:jc w:val="center"/>
            </w:pPr>
            <w:r>
              <w:rPr>
                <w:b/>
              </w:rPr>
            </w:r>
            <w:r>
              <w:rPr>
                <w:b/>
                <w:sz w:val="19"/>
              </w:rPr>
              <w:t>Relative RMSE</w:t>
            </w:r>
          </w:p>
        </w:tc>
        <w:tc>
          <w:tcPr>
            <w:tcW w:type="dxa" w:w="794"/>
            <w:shd w:val="clear" w:color="auto" w:fill="DCE6F1"/>
          </w:tcPr>
          <w:p>
            <w:pPr>
              <w:spacing w:after="20" w:line="252" w:lineRule="auto"/>
              <w:jc w:val="center"/>
            </w:pPr>
            <w:r>
              <w:rPr>
                <w:b/>
              </w:rPr>
            </w:r>
            <w:r>
              <w:rPr>
                <w:b/>
                <w:sz w:val="19"/>
              </w:rPr>
              <w:t>Hội tụ</w:t>
            </w:r>
          </w:p>
        </w:tc>
        <w:tc>
          <w:tcPr>
            <w:tcW w:type="dxa" w:w="1587"/>
            <w:shd w:val="clear" w:color="auto" w:fill="DCE6F1"/>
          </w:tcPr>
          <w:p>
            <w:pPr>
              <w:spacing w:after="20" w:line="252" w:lineRule="auto"/>
              <w:jc w:val="center"/>
            </w:pPr>
            <w:r>
              <w:rPr>
                <w:b/>
              </w:rPr>
            </w:r>
            <w:r>
              <w:rPr>
                <w:b/>
                <w:sz w:val="19"/>
              </w:rPr>
              <w:t>LB(10) / LB(20) p</w:t>
            </w:r>
          </w:p>
        </w:tc>
        <w:tc>
          <w:tcPr>
            <w:tcW w:type="dxa" w:w="1701"/>
            <w:shd w:val="clear" w:color="auto" w:fill="DCE6F1"/>
          </w:tcPr>
          <w:p>
            <w:pPr>
              <w:spacing w:after="20" w:line="252" w:lineRule="auto"/>
              <w:jc w:val="center"/>
            </w:pPr>
            <w:r>
              <w:rPr>
                <w:b/>
              </w:rPr>
            </w:r>
            <w:r>
              <w:rPr>
                <w:b/>
                <w:sz w:val="19"/>
              </w:rPr>
              <w:t>Kết quả</w:t>
            </w:r>
          </w:p>
        </w:tc>
      </w:tr>
      <w:tr>
        <w:trPr>
          <w:cantSplit/>
        </w:trPr>
        <w:tc>
          <w:tcPr>
            <w:tcW w:type="dxa" w:w="1928"/>
          </w:tcPr>
          <w:p>
            <w:pPr>
              <w:spacing w:after="20" w:line="252" w:lineRule="auto"/>
              <w:jc w:val="left"/>
            </w:pPr>
            <w:r/>
            <w:r>
              <w:rPr>
                <w:sz w:val="19"/>
              </w:rPr>
              <w:t>ARIMA(0,1,0) – Naive</w:t>
            </w:r>
          </w:p>
        </w:tc>
        <w:tc>
          <w:tcPr>
            <w:tcW w:type="dxa" w:w="680"/>
          </w:tcPr>
          <w:p>
            <w:pPr>
              <w:spacing w:after="20" w:line="252" w:lineRule="auto"/>
              <w:jc w:val="center"/>
            </w:pPr>
            <w:r/>
            <w:r>
              <w:rPr>
                <w:sz w:val="19"/>
              </w:rPr>
              <w:t>0</w:t>
            </w:r>
          </w:p>
        </w:tc>
        <w:tc>
          <w:tcPr>
            <w:tcW w:type="dxa" w:w="1247"/>
          </w:tcPr>
          <w:p>
            <w:pPr>
              <w:spacing w:after="20" w:line="252" w:lineRule="auto"/>
              <w:jc w:val="center"/>
            </w:pPr>
            <w:r/>
            <w:r>
              <w:rPr>
                <w:sz w:val="19"/>
              </w:rPr>
              <w:t>43,2528</w:t>
            </w:r>
          </w:p>
        </w:tc>
        <w:tc>
          <w:tcPr>
            <w:tcW w:type="dxa" w:w="1134"/>
          </w:tcPr>
          <w:p>
            <w:pPr>
              <w:spacing w:after="20" w:line="252" w:lineRule="auto"/>
              <w:jc w:val="center"/>
            </w:pPr>
            <w:r/>
            <w:r>
              <w:rPr>
                <w:sz w:val="19"/>
              </w:rPr>
              <w:t>1,0000</w:t>
            </w:r>
          </w:p>
        </w:tc>
        <w:tc>
          <w:tcPr>
            <w:tcW w:type="dxa" w:w="794"/>
          </w:tcPr>
          <w:p>
            <w:pPr>
              <w:spacing w:after="20" w:line="252" w:lineRule="auto"/>
              <w:jc w:val="center"/>
            </w:pPr>
            <w:r/>
            <w:r>
              <w:rPr>
                <w:sz w:val="19"/>
              </w:rPr>
              <w:t>Có</w:t>
            </w:r>
          </w:p>
        </w:tc>
        <w:tc>
          <w:tcPr>
            <w:tcW w:type="dxa" w:w="1587"/>
          </w:tcPr>
          <w:p>
            <w:pPr>
              <w:spacing w:after="20" w:line="252" w:lineRule="auto"/>
              <w:jc w:val="center"/>
            </w:pPr>
            <w:r/>
            <w:r>
              <w:rPr>
                <w:sz w:val="19"/>
              </w:rPr>
              <w:t>&lt; 0,001 / &lt; 0,001</w:t>
            </w:r>
          </w:p>
        </w:tc>
        <w:tc>
          <w:tcPr>
            <w:tcW w:type="dxa" w:w="1701"/>
          </w:tcPr>
          <w:p>
            <w:pPr>
              <w:spacing w:after="20" w:line="252" w:lineRule="auto"/>
              <w:jc w:val="center"/>
            </w:pPr>
            <w:r/>
            <w:r>
              <w:rPr>
                <w:sz w:val="19"/>
              </w:rPr>
              <w:t>Loại (Ljung–Box)</w:t>
            </w:r>
          </w:p>
        </w:tc>
      </w:tr>
      <w:tr>
        <w:trPr>
          <w:cantSplit/>
        </w:trPr>
        <w:tc>
          <w:tcPr>
            <w:tcW w:type="dxa" w:w="1928"/>
          </w:tcPr>
          <w:p>
            <w:pPr>
              <w:spacing w:after="20" w:line="252" w:lineRule="auto"/>
              <w:jc w:val="left"/>
            </w:pPr>
            <w:r/>
            <w:r>
              <w:rPr>
                <w:sz w:val="19"/>
              </w:rPr>
              <w:t>ARIMA(1,1,1)</w:t>
            </w:r>
          </w:p>
        </w:tc>
        <w:tc>
          <w:tcPr>
            <w:tcW w:type="dxa" w:w="680"/>
          </w:tcPr>
          <w:p>
            <w:pPr>
              <w:spacing w:after="20" w:line="252" w:lineRule="auto"/>
              <w:jc w:val="center"/>
            </w:pPr>
            <w:r/>
            <w:r>
              <w:rPr>
                <w:sz w:val="19"/>
              </w:rPr>
              <w:t>2</w:t>
            </w:r>
          </w:p>
        </w:tc>
        <w:tc>
          <w:tcPr>
            <w:tcW w:type="dxa" w:w="1247"/>
          </w:tcPr>
          <w:p>
            <w:pPr>
              <w:spacing w:after="20" w:line="252" w:lineRule="auto"/>
              <w:jc w:val="center"/>
            </w:pPr>
            <w:r/>
            <w:r>
              <w:rPr>
                <w:sz w:val="19"/>
              </w:rPr>
              <w:t>43,1741</w:t>
            </w:r>
          </w:p>
        </w:tc>
        <w:tc>
          <w:tcPr>
            <w:tcW w:type="dxa" w:w="1134"/>
          </w:tcPr>
          <w:p>
            <w:pPr>
              <w:spacing w:after="20" w:line="252" w:lineRule="auto"/>
              <w:jc w:val="center"/>
            </w:pPr>
            <w:r/>
            <w:r>
              <w:rPr>
                <w:sz w:val="19"/>
              </w:rPr>
              <w:t>0,9982</w:t>
            </w:r>
          </w:p>
        </w:tc>
        <w:tc>
          <w:tcPr>
            <w:tcW w:type="dxa" w:w="794"/>
          </w:tcPr>
          <w:p>
            <w:pPr>
              <w:spacing w:after="20" w:line="252" w:lineRule="auto"/>
              <w:jc w:val="center"/>
            </w:pPr>
            <w:r/>
            <w:r>
              <w:rPr>
                <w:sz w:val="19"/>
              </w:rPr>
              <w:t>Có</w:t>
            </w:r>
          </w:p>
        </w:tc>
        <w:tc>
          <w:tcPr>
            <w:tcW w:type="dxa" w:w="1587"/>
          </w:tcPr>
          <w:p>
            <w:pPr>
              <w:spacing w:after="20" w:line="252" w:lineRule="auto"/>
              <w:jc w:val="center"/>
            </w:pPr>
            <w:r/>
            <w:r>
              <w:rPr>
                <w:sz w:val="19"/>
              </w:rPr>
              <w:t>&lt; 0,001 / &lt; 0,001</w:t>
            </w:r>
          </w:p>
        </w:tc>
        <w:tc>
          <w:tcPr>
            <w:tcW w:type="dxa" w:w="1701"/>
          </w:tcPr>
          <w:p>
            <w:pPr>
              <w:spacing w:after="20" w:line="252" w:lineRule="auto"/>
              <w:jc w:val="center"/>
            </w:pPr>
            <w:r/>
            <w:r>
              <w:rPr>
                <w:sz w:val="19"/>
              </w:rPr>
              <w:t>Loại (Ljung–Box)</w:t>
            </w:r>
          </w:p>
        </w:tc>
      </w:tr>
      <w:tr>
        <w:trPr>
          <w:cantSplit/>
        </w:trPr>
        <w:tc>
          <w:tcPr>
            <w:tcW w:type="dxa" w:w="1928"/>
          </w:tcPr>
          <w:p>
            <w:pPr>
              <w:spacing w:after="20" w:line="252" w:lineRule="auto"/>
              <w:jc w:val="left"/>
            </w:pPr>
            <w:r/>
            <w:r>
              <w:rPr>
                <w:sz w:val="19"/>
              </w:rPr>
              <w:t>ARIMA(3,1,3)</w:t>
            </w:r>
          </w:p>
        </w:tc>
        <w:tc>
          <w:tcPr>
            <w:tcW w:type="dxa" w:w="680"/>
          </w:tcPr>
          <w:p>
            <w:pPr>
              <w:spacing w:after="20" w:line="252" w:lineRule="auto"/>
              <w:jc w:val="center"/>
            </w:pPr>
            <w:r/>
            <w:r>
              <w:rPr>
                <w:sz w:val="19"/>
              </w:rPr>
              <w:t>6</w:t>
            </w:r>
          </w:p>
        </w:tc>
        <w:tc>
          <w:tcPr>
            <w:tcW w:type="dxa" w:w="1247"/>
          </w:tcPr>
          <w:p>
            <w:pPr>
              <w:spacing w:after="20" w:line="252" w:lineRule="auto"/>
              <w:jc w:val="center"/>
            </w:pPr>
            <w:r/>
            <w:r>
              <w:rPr>
                <w:sz w:val="19"/>
              </w:rPr>
              <w:t>42,8987</w:t>
            </w:r>
          </w:p>
        </w:tc>
        <w:tc>
          <w:tcPr>
            <w:tcW w:type="dxa" w:w="1134"/>
          </w:tcPr>
          <w:p>
            <w:pPr>
              <w:spacing w:after="20" w:line="252" w:lineRule="auto"/>
              <w:jc w:val="center"/>
            </w:pPr>
            <w:r/>
            <w:r>
              <w:rPr>
                <w:sz w:val="19"/>
              </w:rPr>
              <w:t>0,9916</w:t>
            </w:r>
          </w:p>
        </w:tc>
        <w:tc>
          <w:tcPr>
            <w:tcW w:type="dxa" w:w="794"/>
          </w:tcPr>
          <w:p>
            <w:pPr>
              <w:spacing w:after="20" w:line="252" w:lineRule="auto"/>
              <w:jc w:val="center"/>
            </w:pPr>
            <w:r/>
            <w:r>
              <w:rPr>
                <w:sz w:val="19"/>
              </w:rPr>
              <w:t>Không</w:t>
            </w:r>
          </w:p>
        </w:tc>
        <w:tc>
          <w:tcPr>
            <w:tcW w:type="dxa" w:w="1587"/>
          </w:tcPr>
          <w:p>
            <w:pPr>
              <w:spacing w:after="20" w:line="252" w:lineRule="auto"/>
              <w:jc w:val="center"/>
            </w:pPr>
            <w:r/>
            <w:r>
              <w:rPr>
                <w:sz w:val="19"/>
              </w:rPr>
              <w:t>0,341 / 0,534</w:t>
            </w:r>
          </w:p>
        </w:tc>
        <w:tc>
          <w:tcPr>
            <w:tcW w:type="dxa" w:w="1701"/>
          </w:tcPr>
          <w:p>
            <w:pPr>
              <w:spacing w:after="20" w:line="252" w:lineRule="auto"/>
              <w:jc w:val="center"/>
            </w:pPr>
            <w:r/>
            <w:r>
              <w:rPr>
                <w:sz w:val="19"/>
              </w:rPr>
              <w:t>Loại (không hội tụ)</w:t>
            </w:r>
          </w:p>
        </w:tc>
      </w:tr>
      <w:tr>
        <w:trPr>
          <w:cantSplit/>
        </w:trPr>
        <w:tc>
          <w:tcPr>
            <w:tcW w:type="dxa" w:w="1928"/>
          </w:tcPr>
          <w:p>
            <w:pPr>
              <w:spacing w:after="20" w:line="252" w:lineRule="auto"/>
              <w:jc w:val="left"/>
            </w:pPr>
            <w:r/>
            <w:r>
              <w:rPr>
                <w:sz w:val="19"/>
              </w:rPr>
              <w:t>ARIMA(4,1,4)</w:t>
            </w:r>
          </w:p>
        </w:tc>
        <w:tc>
          <w:tcPr>
            <w:tcW w:type="dxa" w:w="680"/>
          </w:tcPr>
          <w:p>
            <w:pPr>
              <w:spacing w:after="20" w:line="252" w:lineRule="auto"/>
              <w:jc w:val="center"/>
            </w:pPr>
            <w:r/>
            <w:r>
              <w:rPr>
                <w:sz w:val="19"/>
              </w:rPr>
              <w:t>8</w:t>
            </w:r>
          </w:p>
        </w:tc>
        <w:tc>
          <w:tcPr>
            <w:tcW w:type="dxa" w:w="1247"/>
          </w:tcPr>
          <w:p>
            <w:pPr>
              <w:spacing w:after="20" w:line="252" w:lineRule="auto"/>
              <w:jc w:val="center"/>
            </w:pPr>
            <w:r/>
            <w:r>
              <w:rPr>
                <w:sz w:val="19"/>
              </w:rPr>
              <w:t>42,9508</w:t>
            </w:r>
          </w:p>
        </w:tc>
        <w:tc>
          <w:tcPr>
            <w:tcW w:type="dxa" w:w="1134"/>
          </w:tcPr>
          <w:p>
            <w:pPr>
              <w:spacing w:after="20" w:line="252" w:lineRule="auto"/>
              <w:jc w:val="center"/>
            </w:pPr>
            <w:r/>
            <w:r>
              <w:rPr>
                <w:sz w:val="19"/>
              </w:rPr>
              <w:t>0,9929</w:t>
            </w:r>
          </w:p>
        </w:tc>
        <w:tc>
          <w:tcPr>
            <w:tcW w:type="dxa" w:w="794"/>
          </w:tcPr>
          <w:p>
            <w:pPr>
              <w:spacing w:after="20" w:line="252" w:lineRule="auto"/>
              <w:jc w:val="center"/>
            </w:pPr>
            <w:r/>
            <w:r>
              <w:rPr>
                <w:sz w:val="19"/>
              </w:rPr>
              <w:t>Không</w:t>
            </w:r>
          </w:p>
        </w:tc>
        <w:tc>
          <w:tcPr>
            <w:tcW w:type="dxa" w:w="1587"/>
          </w:tcPr>
          <w:p>
            <w:pPr>
              <w:spacing w:after="20" w:line="252" w:lineRule="auto"/>
              <w:jc w:val="center"/>
            </w:pPr>
            <w:r/>
            <w:r>
              <w:rPr>
                <w:sz w:val="19"/>
              </w:rPr>
              <w:t>0,690 / 0,854</w:t>
            </w:r>
          </w:p>
        </w:tc>
        <w:tc>
          <w:tcPr>
            <w:tcW w:type="dxa" w:w="1701"/>
          </w:tcPr>
          <w:p>
            <w:pPr>
              <w:spacing w:after="20" w:line="252" w:lineRule="auto"/>
              <w:jc w:val="center"/>
            </w:pPr>
            <w:r/>
            <w:r>
              <w:rPr>
                <w:sz w:val="19"/>
              </w:rPr>
              <w:t>Loại (không hội tụ)</w:t>
            </w:r>
          </w:p>
        </w:tc>
      </w:tr>
      <w:tr>
        <w:trPr>
          <w:cantSplit/>
        </w:trPr>
        <w:tc>
          <w:tcPr>
            <w:tcW w:type="dxa" w:w="1928"/>
          </w:tcPr>
          <w:p>
            <w:pPr>
              <w:spacing w:after="20" w:line="252" w:lineRule="auto"/>
              <w:jc w:val="left"/>
            </w:pPr>
            <w:r/>
            <w:r>
              <w:rPr>
                <w:sz w:val="19"/>
              </w:rPr>
              <w:t>ARIMA(3,1,4) – AIC</w:t>
            </w:r>
          </w:p>
        </w:tc>
        <w:tc>
          <w:tcPr>
            <w:tcW w:type="dxa" w:w="680"/>
          </w:tcPr>
          <w:p>
            <w:pPr>
              <w:spacing w:after="20" w:line="252" w:lineRule="auto"/>
              <w:jc w:val="center"/>
            </w:pPr>
            <w:r/>
            <w:r>
              <w:rPr>
                <w:sz w:val="19"/>
              </w:rPr>
              <w:t>7</w:t>
            </w:r>
          </w:p>
        </w:tc>
        <w:tc>
          <w:tcPr>
            <w:tcW w:type="dxa" w:w="1247"/>
          </w:tcPr>
          <w:p>
            <w:pPr>
              <w:spacing w:after="20" w:line="252" w:lineRule="auto"/>
              <w:jc w:val="center"/>
            </w:pPr>
            <w:r/>
            <w:r>
              <w:rPr>
                <w:sz w:val="19"/>
              </w:rPr>
              <w:t>42,9528</w:t>
            </w:r>
          </w:p>
        </w:tc>
        <w:tc>
          <w:tcPr>
            <w:tcW w:type="dxa" w:w="1134"/>
          </w:tcPr>
          <w:p>
            <w:pPr>
              <w:spacing w:after="20" w:line="252" w:lineRule="auto"/>
              <w:jc w:val="center"/>
            </w:pPr>
            <w:r/>
            <w:r>
              <w:rPr>
                <w:sz w:val="19"/>
              </w:rPr>
              <w:t>0,9929</w:t>
            </w:r>
          </w:p>
        </w:tc>
        <w:tc>
          <w:tcPr>
            <w:tcW w:type="dxa" w:w="794"/>
          </w:tcPr>
          <w:p>
            <w:pPr>
              <w:spacing w:after="20" w:line="252" w:lineRule="auto"/>
              <w:jc w:val="center"/>
            </w:pPr>
            <w:r/>
            <w:r>
              <w:rPr>
                <w:sz w:val="19"/>
              </w:rPr>
              <w:t>Có</w:t>
            </w:r>
          </w:p>
        </w:tc>
        <w:tc>
          <w:tcPr>
            <w:tcW w:type="dxa" w:w="1587"/>
          </w:tcPr>
          <w:p>
            <w:pPr>
              <w:spacing w:after="20" w:line="252" w:lineRule="auto"/>
              <w:jc w:val="center"/>
            </w:pPr>
            <w:r/>
            <w:r>
              <w:rPr>
                <w:sz w:val="19"/>
              </w:rPr>
              <w:t>0,904 / 0,903</w:t>
            </w:r>
          </w:p>
        </w:tc>
        <w:tc>
          <w:tcPr>
            <w:tcW w:type="dxa" w:w="1701"/>
          </w:tcPr>
          <w:p>
            <w:pPr>
              <w:spacing w:after="20" w:line="252" w:lineRule="auto"/>
              <w:jc w:val="center"/>
            </w:pPr>
            <w:r/>
            <w:r>
              <w:rPr>
                <w:sz w:val="19"/>
              </w:rPr>
              <w:t>Hợp lệ, RMSE tốt nhất</w:t>
            </w:r>
          </w:p>
        </w:tc>
      </w:tr>
      <w:tr>
        <w:trPr>
          <w:cantSplit/>
        </w:trPr>
        <w:tc>
          <w:tcPr>
            <w:tcW w:type="dxa" w:w="1928"/>
          </w:tcPr>
          <w:p>
            <w:pPr>
              <w:spacing w:after="20" w:line="252" w:lineRule="auto"/>
              <w:jc w:val="left"/>
            </w:pPr>
            <w:r/>
            <w:r>
              <w:rPr>
                <w:sz w:val="19"/>
              </w:rPr>
              <w:t>ARIMA(4,1,1)</w:t>
            </w:r>
          </w:p>
        </w:tc>
        <w:tc>
          <w:tcPr>
            <w:tcW w:type="dxa" w:w="680"/>
          </w:tcPr>
          <w:p>
            <w:pPr>
              <w:spacing w:after="20" w:line="252" w:lineRule="auto"/>
              <w:jc w:val="center"/>
            </w:pPr>
            <w:r/>
            <w:r>
              <w:rPr>
                <w:sz w:val="19"/>
              </w:rPr>
              <w:t>5</w:t>
            </w:r>
          </w:p>
        </w:tc>
        <w:tc>
          <w:tcPr>
            <w:tcW w:type="dxa" w:w="1247"/>
          </w:tcPr>
          <w:p>
            <w:pPr>
              <w:spacing w:after="20" w:line="252" w:lineRule="auto"/>
              <w:jc w:val="center"/>
            </w:pPr>
            <w:r/>
            <w:r>
              <w:rPr>
                <w:sz w:val="19"/>
              </w:rPr>
              <w:t>43,1278</w:t>
            </w:r>
          </w:p>
        </w:tc>
        <w:tc>
          <w:tcPr>
            <w:tcW w:type="dxa" w:w="1134"/>
          </w:tcPr>
          <w:p>
            <w:pPr>
              <w:spacing w:after="20" w:line="252" w:lineRule="auto"/>
              <w:jc w:val="center"/>
            </w:pPr>
            <w:r/>
            <w:r>
              <w:rPr>
                <w:sz w:val="19"/>
              </w:rPr>
              <w:t>0,9968</w:t>
            </w:r>
          </w:p>
        </w:tc>
        <w:tc>
          <w:tcPr>
            <w:tcW w:type="dxa" w:w="794"/>
          </w:tcPr>
          <w:p>
            <w:pPr>
              <w:spacing w:after="20" w:line="252" w:lineRule="auto"/>
              <w:jc w:val="center"/>
            </w:pPr>
            <w:r/>
            <w:r>
              <w:rPr>
                <w:sz w:val="19"/>
              </w:rPr>
              <w:t>Có</w:t>
            </w:r>
          </w:p>
        </w:tc>
        <w:tc>
          <w:tcPr>
            <w:tcW w:type="dxa" w:w="1587"/>
          </w:tcPr>
          <w:p>
            <w:pPr>
              <w:spacing w:after="20" w:line="252" w:lineRule="auto"/>
              <w:jc w:val="center"/>
            </w:pPr>
            <w:r/>
            <w:r>
              <w:rPr>
                <w:sz w:val="19"/>
              </w:rPr>
              <w:t>0,100 / 0,322</w:t>
            </w:r>
          </w:p>
        </w:tc>
        <w:tc>
          <w:tcPr>
            <w:tcW w:type="dxa" w:w="1701"/>
          </w:tcPr>
          <w:p>
            <w:pPr>
              <w:spacing w:after="20" w:line="252" w:lineRule="auto"/>
              <w:jc w:val="center"/>
            </w:pPr>
            <w:r/>
            <w:r>
              <w:rPr>
                <w:sz w:val="19"/>
              </w:rPr>
              <w:t>Hợp lệ, trong ngưỡng 1%</w:t>
            </w:r>
          </w:p>
        </w:tc>
      </w:tr>
      <w:tr>
        <w:trPr>
          <w:cantSplit/>
        </w:trPr>
        <w:tc>
          <w:tcPr>
            <w:tcW w:type="dxa" w:w="1928"/>
          </w:tcPr>
          <w:p>
            <w:pPr>
              <w:spacing w:after="20" w:line="252" w:lineRule="auto"/>
              <w:jc w:val="left"/>
            </w:pPr>
            <w:r/>
            <w:r>
              <w:rPr>
                <w:sz w:val="19"/>
              </w:rPr>
              <w:t>ARIMA(3,1,2)</w:t>
            </w:r>
          </w:p>
        </w:tc>
        <w:tc>
          <w:tcPr>
            <w:tcW w:type="dxa" w:w="680"/>
          </w:tcPr>
          <w:p>
            <w:pPr>
              <w:spacing w:after="20" w:line="252" w:lineRule="auto"/>
              <w:jc w:val="center"/>
            </w:pPr>
            <w:r/>
            <w:r>
              <w:rPr>
                <w:sz w:val="19"/>
              </w:rPr>
              <w:t>5</w:t>
            </w:r>
          </w:p>
        </w:tc>
        <w:tc>
          <w:tcPr>
            <w:tcW w:type="dxa" w:w="1247"/>
          </w:tcPr>
          <w:p>
            <w:pPr>
              <w:spacing w:after="20" w:line="252" w:lineRule="auto"/>
              <w:jc w:val="center"/>
            </w:pPr>
            <w:r/>
            <w:r>
              <w:rPr>
                <w:sz w:val="19"/>
              </w:rPr>
              <w:t>43,1269</w:t>
            </w:r>
          </w:p>
        </w:tc>
        <w:tc>
          <w:tcPr>
            <w:tcW w:type="dxa" w:w="1134"/>
          </w:tcPr>
          <w:p>
            <w:pPr>
              <w:spacing w:after="20" w:line="252" w:lineRule="auto"/>
              <w:jc w:val="center"/>
            </w:pPr>
            <w:r/>
            <w:r>
              <w:rPr>
                <w:sz w:val="19"/>
              </w:rPr>
              <w:t>0,9968</w:t>
            </w:r>
          </w:p>
        </w:tc>
        <w:tc>
          <w:tcPr>
            <w:tcW w:type="dxa" w:w="794"/>
          </w:tcPr>
          <w:p>
            <w:pPr>
              <w:spacing w:after="20" w:line="252" w:lineRule="auto"/>
              <w:jc w:val="center"/>
            </w:pPr>
            <w:r/>
            <w:r>
              <w:rPr>
                <w:sz w:val="19"/>
              </w:rPr>
              <w:t>Có</w:t>
            </w:r>
          </w:p>
        </w:tc>
        <w:tc>
          <w:tcPr>
            <w:tcW w:type="dxa" w:w="1587"/>
          </w:tcPr>
          <w:p>
            <w:pPr>
              <w:spacing w:after="20" w:line="252" w:lineRule="auto"/>
              <w:jc w:val="center"/>
            </w:pPr>
            <w:r/>
            <w:r>
              <w:rPr>
                <w:sz w:val="19"/>
              </w:rPr>
              <w:t>0,100 / 0,322</w:t>
            </w:r>
          </w:p>
        </w:tc>
        <w:tc>
          <w:tcPr>
            <w:tcW w:type="dxa" w:w="1701"/>
          </w:tcPr>
          <w:p>
            <w:pPr>
              <w:spacing w:after="20" w:line="252" w:lineRule="auto"/>
              <w:jc w:val="center"/>
            </w:pPr>
            <w:r/>
            <w:r>
              <w:rPr>
                <w:sz w:val="19"/>
              </w:rPr>
              <w:t>Hợp lệ, trong ngưỡng 1%</w:t>
            </w:r>
          </w:p>
        </w:tc>
      </w:tr>
      <w:tr>
        <w:trPr>
          <w:cantSplit/>
        </w:trPr>
        <w:tc>
          <w:tcPr>
            <w:tcW w:type="dxa" w:w="1928"/>
          </w:tcPr>
          <w:p>
            <w:pPr>
              <w:spacing w:after="20" w:line="252" w:lineRule="auto"/>
              <w:jc w:val="left"/>
            </w:pPr>
            <w:r/>
            <w:r>
              <w:rPr>
                <w:sz w:val="19"/>
              </w:rPr>
              <w:t>ARIMA(4,1,0)</w:t>
            </w:r>
          </w:p>
        </w:tc>
        <w:tc>
          <w:tcPr>
            <w:tcW w:type="dxa" w:w="680"/>
          </w:tcPr>
          <w:p>
            <w:pPr>
              <w:spacing w:after="20" w:line="252" w:lineRule="auto"/>
              <w:jc w:val="center"/>
            </w:pPr>
            <w:r/>
            <w:r>
              <w:rPr>
                <w:sz w:val="19"/>
              </w:rPr>
              <w:t>4</w:t>
            </w:r>
          </w:p>
        </w:tc>
        <w:tc>
          <w:tcPr>
            <w:tcW w:type="dxa" w:w="1247"/>
          </w:tcPr>
          <w:p>
            <w:pPr>
              <w:spacing w:after="20" w:line="252" w:lineRule="auto"/>
              <w:jc w:val="center"/>
            </w:pPr>
            <w:r/>
            <w:r>
              <w:rPr>
                <w:sz w:val="19"/>
              </w:rPr>
              <w:t>43,1701</w:t>
            </w:r>
          </w:p>
        </w:tc>
        <w:tc>
          <w:tcPr>
            <w:tcW w:type="dxa" w:w="1134"/>
          </w:tcPr>
          <w:p>
            <w:pPr>
              <w:spacing w:after="20" w:line="252" w:lineRule="auto"/>
              <w:jc w:val="center"/>
            </w:pPr>
            <w:r/>
            <w:r>
              <w:rPr>
                <w:sz w:val="19"/>
              </w:rPr>
              <w:t>0,9978</w:t>
            </w:r>
          </w:p>
        </w:tc>
        <w:tc>
          <w:tcPr>
            <w:tcW w:type="dxa" w:w="794"/>
          </w:tcPr>
          <w:p>
            <w:pPr>
              <w:spacing w:after="20" w:line="252" w:lineRule="auto"/>
              <w:jc w:val="center"/>
            </w:pPr>
            <w:r/>
            <w:r>
              <w:rPr>
                <w:sz w:val="19"/>
              </w:rPr>
              <w:t>Có</w:t>
            </w:r>
          </w:p>
        </w:tc>
        <w:tc>
          <w:tcPr>
            <w:tcW w:type="dxa" w:w="1587"/>
          </w:tcPr>
          <w:p>
            <w:pPr>
              <w:spacing w:after="20" w:line="252" w:lineRule="auto"/>
              <w:jc w:val="center"/>
            </w:pPr>
            <w:r/>
            <w:r>
              <w:rPr>
                <w:sz w:val="19"/>
              </w:rPr>
              <w:t>0,074 / 0,242</w:t>
            </w:r>
          </w:p>
        </w:tc>
        <w:tc>
          <w:tcPr>
            <w:tcW w:type="dxa" w:w="1701"/>
          </w:tcPr>
          <w:p>
            <w:pPr>
              <w:spacing w:after="20" w:line="252" w:lineRule="auto"/>
              <w:jc w:val="center"/>
            </w:pPr>
            <w:r/>
            <w:r>
              <w:rPr>
                <w:sz w:val="19"/>
              </w:rPr>
              <w:t>Hợp lệ, trong ngưỡng 1%</w:t>
            </w:r>
          </w:p>
        </w:tc>
      </w:tr>
      <w:tr>
        <w:trPr>
          <w:cantSplit/>
        </w:trPr>
        <w:tc>
          <w:tcPr>
            <w:tcW w:type="dxa" w:w="1928"/>
            <w:shd w:val="clear" w:color="auto" w:fill="FFF2CC"/>
          </w:tcPr>
          <w:p>
            <w:pPr>
              <w:spacing w:after="20" w:line="252" w:lineRule="auto"/>
              <w:jc w:val="left"/>
            </w:pPr>
            <w:r>
              <w:rPr>
                <w:b/>
              </w:rPr>
            </w:r>
            <w:r>
              <w:rPr>
                <w:b/>
                <w:sz w:val="19"/>
              </w:rPr>
              <w:t>ARIMA(3,1,1) – BIC</w:t>
            </w:r>
          </w:p>
        </w:tc>
        <w:tc>
          <w:tcPr>
            <w:tcW w:type="dxa" w:w="680"/>
            <w:shd w:val="clear" w:color="auto" w:fill="FFF2CC"/>
          </w:tcPr>
          <w:p>
            <w:pPr>
              <w:spacing w:after="20" w:line="252" w:lineRule="auto"/>
              <w:jc w:val="center"/>
            </w:pPr>
            <w:r>
              <w:rPr>
                <w:b/>
              </w:rPr>
            </w:r>
            <w:r>
              <w:rPr>
                <w:b/>
                <w:sz w:val="19"/>
              </w:rPr>
              <w:t>4</w:t>
            </w:r>
          </w:p>
        </w:tc>
        <w:tc>
          <w:tcPr>
            <w:tcW w:type="dxa" w:w="1247"/>
            <w:shd w:val="clear" w:color="auto" w:fill="FFF2CC"/>
          </w:tcPr>
          <w:p>
            <w:pPr>
              <w:spacing w:after="20" w:line="252" w:lineRule="auto"/>
              <w:jc w:val="center"/>
            </w:pPr>
            <w:r>
              <w:rPr>
                <w:b/>
              </w:rPr>
            </w:r>
            <w:r>
              <w:rPr>
                <w:b/>
                <w:sz w:val="19"/>
              </w:rPr>
              <w:t>43,1262</w:t>
            </w:r>
          </w:p>
        </w:tc>
        <w:tc>
          <w:tcPr>
            <w:tcW w:type="dxa" w:w="1134"/>
            <w:shd w:val="clear" w:color="auto" w:fill="FFF2CC"/>
          </w:tcPr>
          <w:p>
            <w:pPr>
              <w:spacing w:after="20" w:line="252" w:lineRule="auto"/>
              <w:jc w:val="center"/>
            </w:pPr>
            <w:r>
              <w:rPr>
                <w:b/>
              </w:rPr>
            </w:r>
            <w:r>
              <w:rPr>
                <w:b/>
                <w:sz w:val="19"/>
              </w:rPr>
              <w:t>0,9968</w:t>
            </w:r>
          </w:p>
        </w:tc>
        <w:tc>
          <w:tcPr>
            <w:tcW w:type="dxa" w:w="794"/>
            <w:shd w:val="clear" w:color="auto" w:fill="FFF2CC"/>
          </w:tcPr>
          <w:p>
            <w:pPr>
              <w:spacing w:after="20" w:line="252" w:lineRule="auto"/>
              <w:jc w:val="center"/>
            </w:pPr>
            <w:r>
              <w:rPr>
                <w:b/>
              </w:rPr>
            </w:r>
            <w:r>
              <w:rPr>
                <w:b/>
                <w:sz w:val="19"/>
              </w:rPr>
              <w:t>Có</w:t>
            </w:r>
          </w:p>
        </w:tc>
        <w:tc>
          <w:tcPr>
            <w:tcW w:type="dxa" w:w="1587"/>
            <w:shd w:val="clear" w:color="auto" w:fill="FFF2CC"/>
          </w:tcPr>
          <w:p>
            <w:pPr>
              <w:spacing w:after="20" w:line="252" w:lineRule="auto"/>
              <w:jc w:val="center"/>
            </w:pPr>
            <w:r>
              <w:rPr>
                <w:b/>
              </w:rPr>
            </w:r>
            <w:r>
              <w:rPr>
                <w:b/>
                <w:sz w:val="19"/>
              </w:rPr>
              <w:t>0,160 / 0,389</w:t>
            </w:r>
          </w:p>
        </w:tc>
        <w:tc>
          <w:tcPr>
            <w:tcW w:type="dxa" w:w="1701"/>
            <w:shd w:val="clear" w:color="auto" w:fill="FFF2CC"/>
          </w:tcPr>
          <w:p>
            <w:pPr>
              <w:spacing w:after="20" w:line="252" w:lineRule="auto"/>
              <w:jc w:val="center"/>
            </w:pPr>
            <w:r>
              <w:rPr>
                <w:b/>
              </w:rPr>
            </w:r>
            <w:r>
              <w:rPr>
                <w:b/>
                <w:sz w:val="19"/>
              </w:rPr>
              <w:t>Được chọn</w:t>
            </w:r>
          </w:p>
        </w:tc>
      </w:tr>
      <w:tr>
        <w:trPr>
          <w:cantSplit/>
        </w:trPr>
        <w:tc>
          <w:tcPr>
            <w:tcW w:type="dxa" w:w="1928"/>
          </w:tcPr>
          <w:p>
            <w:pPr>
              <w:spacing w:after="20" w:line="252" w:lineRule="auto"/>
              <w:jc w:val="left"/>
            </w:pPr>
            <w:r/>
            <w:r>
              <w:rPr>
                <w:sz w:val="19"/>
              </w:rPr>
              <w:t>ARIMA(1,1,3)</w:t>
            </w:r>
          </w:p>
        </w:tc>
        <w:tc>
          <w:tcPr>
            <w:tcW w:type="dxa" w:w="680"/>
          </w:tcPr>
          <w:p>
            <w:pPr>
              <w:spacing w:after="20" w:line="252" w:lineRule="auto"/>
              <w:jc w:val="center"/>
            </w:pPr>
            <w:r/>
            <w:r>
              <w:rPr>
                <w:sz w:val="19"/>
              </w:rPr>
              <w:t>4</w:t>
            </w:r>
          </w:p>
        </w:tc>
        <w:tc>
          <w:tcPr>
            <w:tcW w:type="dxa" w:w="1247"/>
          </w:tcPr>
          <w:p>
            <w:pPr>
              <w:spacing w:after="20" w:line="252" w:lineRule="auto"/>
              <w:jc w:val="center"/>
            </w:pPr>
            <w:r/>
            <w:r>
              <w:rPr>
                <w:sz w:val="19"/>
              </w:rPr>
              <w:t>43,2054</w:t>
            </w:r>
          </w:p>
        </w:tc>
        <w:tc>
          <w:tcPr>
            <w:tcW w:type="dxa" w:w="1134"/>
          </w:tcPr>
          <w:p>
            <w:pPr>
              <w:spacing w:after="20" w:line="252" w:lineRule="auto"/>
              <w:jc w:val="center"/>
            </w:pPr>
            <w:r/>
            <w:r>
              <w:rPr>
                <w:sz w:val="19"/>
              </w:rPr>
              <w:t>0,9986</w:t>
            </w:r>
          </w:p>
        </w:tc>
        <w:tc>
          <w:tcPr>
            <w:tcW w:type="dxa" w:w="794"/>
          </w:tcPr>
          <w:p>
            <w:pPr>
              <w:spacing w:after="20" w:line="252" w:lineRule="auto"/>
              <w:jc w:val="center"/>
            </w:pPr>
            <w:r/>
            <w:r>
              <w:rPr>
                <w:sz w:val="19"/>
              </w:rPr>
              <w:t>Có</w:t>
            </w:r>
          </w:p>
        </w:tc>
        <w:tc>
          <w:tcPr>
            <w:tcW w:type="dxa" w:w="1587"/>
          </w:tcPr>
          <w:p>
            <w:pPr>
              <w:spacing w:after="20" w:line="252" w:lineRule="auto"/>
              <w:jc w:val="center"/>
            </w:pPr>
            <w:r/>
            <w:r>
              <w:rPr>
                <w:sz w:val="19"/>
              </w:rPr>
              <w:t>0,033 / 0,174</w:t>
            </w:r>
          </w:p>
        </w:tc>
        <w:tc>
          <w:tcPr>
            <w:tcW w:type="dxa" w:w="1701"/>
          </w:tcPr>
          <w:p>
            <w:pPr>
              <w:spacing w:after="20" w:line="252" w:lineRule="auto"/>
              <w:jc w:val="center"/>
            </w:pPr>
            <w:r/>
            <w:r>
              <w:rPr>
                <w:sz w:val="19"/>
              </w:rPr>
              <w:t>Loại (Ljung–Box)</w:t>
            </w:r>
          </w:p>
        </w:tc>
      </w:tr>
    </w:tbl>
    <w:p>
      <w:r>
        <w:rPr>
          <w:i/>
          <w:sz w:val="19"/>
        </w:rPr>
        <w:t>Ghi chú: RMSE tính với quy đổi trung vị exp(mₜ/100) ở bước sàng lọc; chênh lệch so với quy đổi kỳ vọng dưới 0,03 VND. Ngưỡng 1% là 1,01 × 42,9528 = 43,3823 VND/USD. Các ứng viên còn lại, gồm (1,1,0), (0,1,1), (4,1,2), (4,1,3), đều bị loại vì Ljung–Box hoặc không hội tụ.</w:t>
      </w:r>
    </w:p>
    <w:p>
      <w:pPr>
        <w:jc w:val="both"/>
      </w:pPr>
      <w:r>
        <w:t xml:space="preserve">Mô hình hợp lệ có RMSE thấp nhất là ARIMA(3,1,4) với 42,9528 VND/USD, nên ngưỡng 1% là 43,3823. Có năm mô hình nằm trong ngưỡng; ARIMA(3,1,1) và ARIMA(4,1,0) cùng ít tham số nhất (p + q = 4), và </w:t>
      </w:r>
      <w:r>
        <w:rPr>
          <w:b/>
        </w:rPr>
        <w:t>ARIMA(3,1,1) được chọn</w:t>
      </w:r>
      <w:r>
        <w:t xml:space="preserve"> vì có RMSE thấp hơn. Mô hình này cũng là mô hình có BIC nhỏ nhất trên Train. RMSE của nó chỉ cao hơn ARIMA(3,1,4) 0,17 VND (0,40%), và cả hai đều không khác Naive có ý nghĩa thống kê (HAC p = 0,84 và 0,66). ARIMA(3,1,4) và ARIMA(1,1,1) được giữ làm đối chứng ở các bảng sau.</w:t>
      </w:r>
    </w:p>
    <w:p>
      <w:pPr>
        <w:keepNext/>
        <w:jc w:val="center"/>
      </w:pPr>
      <w:r>
        <w:drawing>
          <wp:inline xmlns:a="http://schemas.openxmlformats.org/drawingml/2006/main" xmlns:pic="http://schemas.openxmlformats.org/drawingml/2006/picture">
            <wp:extent cx="5760000" cy="3744000"/>
            <wp:docPr id="2" name="Picture 2"/>
            <wp:cNvGraphicFramePr>
              <a:graphicFrameLocks noChangeAspect="1"/>
            </wp:cNvGraphicFramePr>
            <a:graphic>
              <a:graphicData uri="http://schemas.openxmlformats.org/drawingml/2006/picture">
                <pic:pic>
                  <pic:nvPicPr>
                    <pic:cNvPr id="0" name="22_arima_validation_candidates.png"/>
                    <pic:cNvPicPr/>
                  </pic:nvPicPr>
                  <pic:blipFill>
                    <a:blip r:embed="rId10"/>
                    <a:stretch>
                      <a:fillRect/>
                    </a:stretch>
                  </pic:blipFill>
                  <pic:spPr>
                    <a:xfrm>
                      <a:off x="0" y="0"/>
                      <a:ext cx="5760000" cy="3744000"/>
                    </a:xfrm>
                    <a:prstGeom prst="rect"/>
                  </pic:spPr>
                </pic:pic>
              </a:graphicData>
            </a:graphic>
          </wp:inline>
        </w:drawing>
      </w:r>
    </w:p>
    <w:p>
      <w:pPr>
        <w:jc w:val="center"/>
      </w:pPr>
      <w:r>
        <w:rPr>
          <w:i/>
          <w:sz w:val="20"/>
        </w:rPr>
        <w:t xml:space="preserve">Hình P1.2. </w:t>
      </w:r>
      <w:r>
        <w:rPr>
          <w:sz w:val="20"/>
        </w:rPr>
        <w:t>RMSE tỷ giá trên Validation 2025 của 14 ứng viên, vùng ngưỡng 1% so với mô hình hợp lệ tốt nhất và lý do loại từng ứng viên.</w:t>
      </w:r>
    </w:p>
    <w:p>
      <w:pPr>
        <w:jc w:val="both"/>
      </w:pPr>
      <w:r>
        <w:t>Hình P1.2 minh họa quy tắc chọn trên toàn bộ 14 ứng viên. Toàn bộ dải RMSE chỉ rộng khoảng 0,7 VND/USD, tức dưới 2% so với mức sai số. Các mô hình có RMSE thấp nhất, như (3,1,3), (4,1,4) và (4,1,3), đều không hội tụ. Các mô hình bậc thấp, gồm cả Naive, bị loại vì phần dư còn tự tương quan. Năm mô hình hợp lệ đều nằm trong vùng 1% và trái Naive, nhưng chênh lệch giữa chúng nhỏ hơn nhiều so với độ bất định của RMSE trên 262 phiên. Vì vậy, tiêu chí gọn (p + q nhỏ nhất) quyết định lựa chọn.</w:t>
      </w:r>
    </w:p>
    <w:p>
      <w:pPr>
        <w:jc w:val="both"/>
      </w:pPr>
      <w:r>
        <w:t>Mọi nghiệm của Φ(z) và Θ(z) của ARIMA(3,1,1) đều có môđun lớn hơn 1 ở cả hai lần ước lượng (Bảng P1.3), nên mô hình dừng và khả nghịch. Nghiệm MA (môđun 1,757) cách xa các nghiệm AR, nên mô hình không có dấu hiệu dư thừa tham số. Ngược lại, ARIMA(3,1,4) có cặp nghiệm phức AR (môđun 1,375) và MA (môđun 1,362) gần như trùng nhau, tức một phần cấu trúc AR và MA triệt tiêu lẫn nhau (Cryer &amp; Chan, mục 8.2).</w:t>
      </w:r>
    </w:p>
    <w:p>
      <w:pPr>
        <w:keepNext/>
        <w:spacing w:before="120"/>
      </w:pPr>
      <w:r>
        <w:rPr>
          <w:b/>
        </w:rPr>
        <w:t xml:space="preserve">Bảng P1.3. </w:t>
      </w:r>
      <w:r>
        <w:t>Nghiệm của đa thức AR và MA</w:t>
      </w:r>
    </w:p>
    <w:tbl>
      <w:tblPr>
        <w:tblStyle w:val="TableGrid"/>
        <w:tblW w:type="auto" w:w="0"/>
        <w:jc w:val="center"/>
        <w:tblLook w:firstColumn="1" w:firstRow="1" w:lastColumn="0" w:lastRow="0" w:noHBand="0" w:noVBand="1" w:val="04A0"/>
      </w:tblPr>
      <w:tblGrid>
        <w:gridCol w:w="1820"/>
        <w:gridCol w:w="1820"/>
        <w:gridCol w:w="1820"/>
        <w:gridCol w:w="1820"/>
        <w:gridCol w:w="1820"/>
      </w:tblGrid>
      <w:tr>
        <w:trPr>
          <w:cantSplit/>
          <w:tblHeader/>
        </w:trPr>
        <w:tc>
          <w:tcPr>
            <w:tcW w:type="dxa" w:w="1474"/>
            <w:shd w:val="clear" w:color="auto" w:fill="DCE6F1"/>
          </w:tcPr>
          <w:p>
            <w:pPr>
              <w:spacing w:after="20" w:line="252" w:lineRule="auto"/>
              <w:jc w:val="left"/>
            </w:pPr>
            <w:r>
              <w:rPr>
                <w:b/>
              </w:rPr>
            </w:r>
            <w:r>
              <w:rPr>
                <w:b/>
                <w:sz w:val="20"/>
              </w:rPr>
              <w:t>Mô hình</w:t>
            </w:r>
          </w:p>
        </w:tc>
        <w:tc>
          <w:tcPr>
            <w:tcW w:type="dxa" w:w="1247"/>
            <w:shd w:val="clear" w:color="auto" w:fill="DCE6F1"/>
          </w:tcPr>
          <w:p>
            <w:pPr>
              <w:spacing w:after="20" w:line="252" w:lineRule="auto"/>
              <w:jc w:val="center"/>
            </w:pPr>
            <w:r>
              <w:rPr>
                <w:b/>
              </w:rPr>
            </w:r>
            <w:r>
              <w:rPr>
                <w:b/>
                <w:sz w:val="20"/>
              </w:rPr>
              <w:t>Đa thức</w:t>
            </w:r>
          </w:p>
        </w:tc>
        <w:tc>
          <w:tcPr>
            <w:tcW w:type="dxa" w:w="2721"/>
            <w:shd w:val="clear" w:color="auto" w:fill="DCE6F1"/>
          </w:tcPr>
          <w:p>
            <w:pPr>
              <w:spacing w:after="20" w:line="252" w:lineRule="auto"/>
              <w:jc w:val="center"/>
            </w:pPr>
            <w:r>
              <w:rPr>
                <w:b/>
              </w:rPr>
            </w:r>
            <w:r>
              <w:rPr>
                <w:b/>
                <w:sz w:val="20"/>
              </w:rPr>
              <w:t>Nghiệm (Train)</w:t>
            </w:r>
          </w:p>
        </w:tc>
        <w:tc>
          <w:tcPr>
            <w:tcW w:type="dxa" w:w="1814"/>
            <w:shd w:val="clear" w:color="auto" w:fill="DCE6F1"/>
          </w:tcPr>
          <w:p>
            <w:pPr>
              <w:spacing w:after="20" w:line="252" w:lineRule="auto"/>
              <w:jc w:val="center"/>
            </w:pPr>
            <w:r>
              <w:rPr>
                <w:b/>
              </w:rPr>
            </w:r>
            <w:r>
              <w:rPr>
                <w:b/>
                <w:sz w:val="20"/>
              </w:rPr>
              <w:t>Môđun (Train)</w:t>
            </w:r>
          </w:p>
        </w:tc>
        <w:tc>
          <w:tcPr>
            <w:tcW w:type="dxa" w:w="1814"/>
            <w:shd w:val="clear" w:color="auto" w:fill="DCE6F1"/>
          </w:tcPr>
          <w:p>
            <w:pPr>
              <w:spacing w:after="20" w:line="252" w:lineRule="auto"/>
              <w:jc w:val="center"/>
            </w:pPr>
            <w:r>
              <w:rPr>
                <w:b/>
              </w:rPr>
            </w:r>
            <w:r>
              <w:rPr>
                <w:b/>
                <w:sz w:val="20"/>
              </w:rPr>
              <w:t>Môđun (Train + Val)</w:t>
            </w:r>
          </w:p>
        </w:tc>
      </w:tr>
      <w:tr>
        <w:trPr>
          <w:cantSplit/>
        </w:trPr>
        <w:tc>
          <w:tcPr>
            <w:tcW w:type="dxa" w:w="1474"/>
            <w:shd w:val="clear" w:color="auto" w:fill="FFF2CC"/>
          </w:tcPr>
          <w:p>
            <w:pPr>
              <w:spacing w:after="20" w:line="252" w:lineRule="auto"/>
              <w:jc w:val="left"/>
            </w:pPr>
            <w:r>
              <w:rPr>
                <w:b/>
              </w:rPr>
            </w:r>
            <w:r>
              <w:rPr>
                <w:b/>
                <w:sz w:val="20"/>
              </w:rPr>
              <w:t>ARIMA(3,1,1)</w:t>
            </w:r>
          </w:p>
        </w:tc>
        <w:tc>
          <w:tcPr>
            <w:tcW w:type="dxa" w:w="1247"/>
            <w:shd w:val="clear" w:color="auto" w:fill="FFF2CC"/>
          </w:tcPr>
          <w:p>
            <w:pPr>
              <w:spacing w:after="20" w:line="252" w:lineRule="auto"/>
              <w:jc w:val="center"/>
            </w:pPr>
            <w:r>
              <w:rPr>
                <w:b/>
              </w:rPr>
            </w:r>
            <w:r>
              <w:rPr>
                <w:b/>
                <w:sz w:val="20"/>
              </w:rPr>
              <w:t>AR – Φ(z)</w:t>
            </w:r>
          </w:p>
        </w:tc>
        <w:tc>
          <w:tcPr>
            <w:tcW w:type="dxa" w:w="2721"/>
            <w:shd w:val="clear" w:color="auto" w:fill="FFF2CC"/>
          </w:tcPr>
          <w:p>
            <w:pPr>
              <w:spacing w:after="20" w:line="252" w:lineRule="auto"/>
              <w:jc w:val="center"/>
            </w:pPr>
            <w:r>
              <w:rPr>
                <w:b/>
              </w:rPr>
            </w:r>
            <w:r>
              <w:rPr>
                <w:b/>
                <w:sz w:val="20"/>
              </w:rPr>
              <w:t>1,260;  −0,327 ± 2,224i</w:t>
            </w:r>
          </w:p>
        </w:tc>
        <w:tc>
          <w:tcPr>
            <w:tcW w:type="dxa" w:w="1814"/>
            <w:shd w:val="clear" w:color="auto" w:fill="FFF2CC"/>
          </w:tcPr>
          <w:p>
            <w:pPr>
              <w:spacing w:after="20" w:line="252" w:lineRule="auto"/>
              <w:jc w:val="center"/>
            </w:pPr>
            <w:r>
              <w:rPr>
                <w:b/>
              </w:rPr>
            </w:r>
            <w:r>
              <w:rPr>
                <w:b/>
                <w:sz w:val="20"/>
              </w:rPr>
              <w:t>1,260;  2,247</w:t>
            </w:r>
          </w:p>
        </w:tc>
        <w:tc>
          <w:tcPr>
            <w:tcW w:type="dxa" w:w="1814"/>
            <w:shd w:val="clear" w:color="auto" w:fill="FFF2CC"/>
          </w:tcPr>
          <w:p>
            <w:pPr>
              <w:spacing w:after="20" w:line="252" w:lineRule="auto"/>
              <w:jc w:val="center"/>
            </w:pPr>
            <w:r>
              <w:rPr>
                <w:b/>
              </w:rPr>
            </w:r>
            <w:r>
              <w:rPr>
                <w:b/>
                <w:sz w:val="20"/>
              </w:rPr>
              <w:t>1,286;  2,179</w:t>
            </w:r>
          </w:p>
        </w:tc>
      </w:tr>
      <w:tr>
        <w:trPr>
          <w:cantSplit/>
        </w:trPr>
        <w:tc>
          <w:tcPr>
            <w:tcW w:type="dxa" w:w="1474"/>
            <w:shd w:val="clear" w:color="auto" w:fill="FFF2CC"/>
          </w:tcPr>
          <w:p>
            <w:pPr>
              <w:spacing w:after="20" w:line="252" w:lineRule="auto"/>
              <w:jc w:val="left"/>
            </w:pPr>
            <w:r>
              <w:rPr>
                <w:b/>
              </w:rPr>
            </w:r>
            <w:r>
              <w:rPr>
                <w:b/>
                <w:sz w:val="20"/>
              </w:rPr>
              <w:t>ARIMA(3,1,1)</w:t>
            </w:r>
          </w:p>
        </w:tc>
        <w:tc>
          <w:tcPr>
            <w:tcW w:type="dxa" w:w="1247"/>
            <w:shd w:val="clear" w:color="auto" w:fill="FFF2CC"/>
          </w:tcPr>
          <w:p>
            <w:pPr>
              <w:spacing w:after="20" w:line="252" w:lineRule="auto"/>
              <w:jc w:val="center"/>
            </w:pPr>
            <w:r>
              <w:rPr>
                <w:b/>
              </w:rPr>
            </w:r>
            <w:r>
              <w:rPr>
                <w:b/>
                <w:sz w:val="20"/>
              </w:rPr>
              <w:t>MA – Θ(z)</w:t>
            </w:r>
          </w:p>
        </w:tc>
        <w:tc>
          <w:tcPr>
            <w:tcW w:type="dxa" w:w="2721"/>
            <w:shd w:val="clear" w:color="auto" w:fill="FFF2CC"/>
          </w:tcPr>
          <w:p>
            <w:pPr>
              <w:spacing w:after="20" w:line="252" w:lineRule="auto"/>
              <w:jc w:val="center"/>
            </w:pPr>
            <w:r>
              <w:rPr>
                <w:b/>
              </w:rPr>
            </w:r>
            <w:r>
              <w:rPr>
                <w:b/>
                <w:sz w:val="20"/>
              </w:rPr>
              <w:t>1,757</w:t>
            </w:r>
          </w:p>
        </w:tc>
        <w:tc>
          <w:tcPr>
            <w:tcW w:type="dxa" w:w="1814"/>
            <w:shd w:val="clear" w:color="auto" w:fill="FFF2CC"/>
          </w:tcPr>
          <w:p>
            <w:pPr>
              <w:spacing w:after="20" w:line="252" w:lineRule="auto"/>
              <w:jc w:val="center"/>
            </w:pPr>
            <w:r>
              <w:rPr>
                <w:b/>
              </w:rPr>
            </w:r>
            <w:r>
              <w:rPr>
                <w:b/>
                <w:sz w:val="20"/>
              </w:rPr>
              <w:t>1,757</w:t>
            </w:r>
          </w:p>
        </w:tc>
        <w:tc>
          <w:tcPr>
            <w:tcW w:type="dxa" w:w="1814"/>
            <w:shd w:val="clear" w:color="auto" w:fill="FFF2CC"/>
          </w:tcPr>
          <w:p>
            <w:pPr>
              <w:spacing w:after="20" w:line="252" w:lineRule="auto"/>
              <w:jc w:val="center"/>
            </w:pPr>
            <w:r>
              <w:rPr>
                <w:b/>
              </w:rPr>
            </w:r>
            <w:r>
              <w:rPr>
                <w:b/>
                <w:sz w:val="20"/>
              </w:rPr>
              <w:t>1,791</w:t>
            </w:r>
          </w:p>
        </w:tc>
      </w:tr>
      <w:tr>
        <w:trPr>
          <w:cantSplit/>
        </w:trPr>
        <w:tc>
          <w:tcPr>
            <w:tcW w:type="dxa" w:w="1474"/>
          </w:tcPr>
          <w:p>
            <w:pPr>
              <w:spacing w:after="20" w:line="252" w:lineRule="auto"/>
              <w:jc w:val="left"/>
            </w:pPr>
            <w:r/>
            <w:r>
              <w:rPr>
                <w:sz w:val="20"/>
              </w:rPr>
              <w:t>ARIMA(3,1,4)</w:t>
            </w:r>
          </w:p>
        </w:tc>
        <w:tc>
          <w:tcPr>
            <w:tcW w:type="dxa" w:w="1247"/>
          </w:tcPr>
          <w:p>
            <w:pPr>
              <w:spacing w:after="20" w:line="252" w:lineRule="auto"/>
              <w:jc w:val="center"/>
            </w:pPr>
            <w:r/>
            <w:r>
              <w:rPr>
                <w:sz w:val="20"/>
              </w:rPr>
              <w:t>AR – Φ(z)</w:t>
            </w:r>
          </w:p>
        </w:tc>
        <w:tc>
          <w:tcPr>
            <w:tcW w:type="dxa" w:w="2721"/>
          </w:tcPr>
          <w:p>
            <w:pPr>
              <w:spacing w:after="20" w:line="252" w:lineRule="auto"/>
              <w:jc w:val="center"/>
            </w:pPr>
            <w:r/>
            <w:r>
              <w:rPr>
                <w:sz w:val="20"/>
              </w:rPr>
              <w:t>1,216;  −0,772 ± 1,138i</w:t>
            </w:r>
          </w:p>
        </w:tc>
        <w:tc>
          <w:tcPr>
            <w:tcW w:type="dxa" w:w="1814"/>
          </w:tcPr>
          <w:p>
            <w:pPr>
              <w:spacing w:after="20" w:line="252" w:lineRule="auto"/>
              <w:jc w:val="center"/>
            </w:pPr>
            <w:r/>
            <w:r>
              <w:rPr>
                <w:sz w:val="20"/>
              </w:rPr>
              <w:t>1,216;  1,375</w:t>
            </w:r>
          </w:p>
        </w:tc>
        <w:tc>
          <w:tcPr>
            <w:tcW w:type="dxa" w:w="1814"/>
          </w:tcPr>
          <w:p>
            <w:pPr>
              <w:spacing w:after="20" w:line="252" w:lineRule="auto"/>
              <w:jc w:val="center"/>
            </w:pPr>
            <w:r/>
            <w:r>
              <w:rPr>
                <w:sz w:val="20"/>
              </w:rPr>
              <w:t>1,200;  1,297</w:t>
            </w:r>
          </w:p>
        </w:tc>
      </w:tr>
      <w:tr>
        <w:trPr>
          <w:cantSplit/>
        </w:trPr>
        <w:tc>
          <w:tcPr>
            <w:tcW w:type="dxa" w:w="1474"/>
          </w:tcPr>
          <w:p>
            <w:pPr>
              <w:spacing w:after="20" w:line="252" w:lineRule="auto"/>
              <w:jc w:val="left"/>
            </w:pPr>
            <w:r/>
            <w:r>
              <w:rPr>
                <w:sz w:val="20"/>
              </w:rPr>
              <w:t>ARIMA(3,1,4)</w:t>
            </w:r>
          </w:p>
        </w:tc>
        <w:tc>
          <w:tcPr>
            <w:tcW w:type="dxa" w:w="1247"/>
          </w:tcPr>
          <w:p>
            <w:pPr>
              <w:spacing w:after="20" w:line="252" w:lineRule="auto"/>
              <w:jc w:val="center"/>
            </w:pPr>
            <w:r/>
            <w:r>
              <w:rPr>
                <w:sz w:val="20"/>
              </w:rPr>
              <w:t>MA – Θ(z)</w:t>
            </w:r>
          </w:p>
        </w:tc>
        <w:tc>
          <w:tcPr>
            <w:tcW w:type="dxa" w:w="2721"/>
          </w:tcPr>
          <w:p>
            <w:pPr>
              <w:spacing w:after="20" w:line="252" w:lineRule="auto"/>
              <w:jc w:val="center"/>
            </w:pPr>
            <w:r/>
            <w:r>
              <w:rPr>
                <w:sz w:val="20"/>
              </w:rPr>
              <w:t>−0,904 ± 1,019i;  1,530;  4,362</w:t>
            </w:r>
          </w:p>
        </w:tc>
        <w:tc>
          <w:tcPr>
            <w:tcW w:type="dxa" w:w="1814"/>
          </w:tcPr>
          <w:p>
            <w:pPr>
              <w:spacing w:after="20" w:line="252" w:lineRule="auto"/>
              <w:jc w:val="center"/>
            </w:pPr>
            <w:r/>
            <w:r>
              <w:rPr>
                <w:sz w:val="20"/>
              </w:rPr>
              <w:t>1,362;  1,530;  4,362</w:t>
            </w:r>
          </w:p>
        </w:tc>
        <w:tc>
          <w:tcPr>
            <w:tcW w:type="dxa" w:w="1814"/>
          </w:tcPr>
          <w:p>
            <w:pPr>
              <w:spacing w:after="20" w:line="252" w:lineRule="auto"/>
              <w:jc w:val="center"/>
            </w:pPr>
            <w:r/>
            <w:r>
              <w:rPr>
                <w:sz w:val="20"/>
              </w:rPr>
              <w:t>1,335;  1,417;  6,21</w:t>
            </w:r>
          </w:p>
        </w:tc>
      </w:tr>
    </w:tbl>
    <w:p>
      <w:pPr>
        <w:spacing w:after="0"/>
      </w:pPr>
    </w:p>
    <w:p>
      <w:pPr>
        <w:pStyle w:val="Heading3"/>
      </w:pPr>
      <w:r>
        <w:t>7.1.4. Ước lượng cuối và diễn giải tham số</w:t>
      </w:r>
    </w:p>
    <w:p>
      <w:pPr>
        <w:jc w:val="both"/>
      </w:pPr>
      <w:r>
        <w:t>Mô hình ARIMA(3,1,1) ước lượng trên Train có dạng:</w:t>
      </w:r>
    </w:p>
    <w:p>
      <w:pPr>
        <w:jc w:val="center"/>
      </w:pPr>
      <w:r>
        <w:rPr>
          <w:rFonts w:ascii="Cambria Math" w:hAnsi="Cambria Math"/>
        </w:rPr>
        <w:t>(1 − 0,664B + 0,095B² − 0,157B³)(1 − B) yₜ = (1 − 0,569B) εₜ ,   σ̂² = 0,0172</w:t>
      </w:r>
    </w:p>
    <w:p>
      <w:pPr>
        <w:keepNext/>
        <w:spacing w:before="120"/>
      </w:pPr>
      <w:r>
        <w:rPr>
          <w:b/>
        </w:rPr>
        <w:t xml:space="preserve">Bảng P1.4. </w:t>
      </w:r>
      <w:r>
        <w:t>Tham số ARIMA(3,1,1) trên Train và sau khi ước lượng lại trên Train + Validation</w:t>
      </w:r>
    </w:p>
    <w:tbl>
      <w:tblPr>
        <w:tblStyle w:val="TableGrid"/>
        <w:tblW w:type="auto" w:w="0"/>
        <w:jc w:val="center"/>
        <w:tblLook w:firstColumn="1" w:firstRow="1" w:lastColumn="0" w:lastRow="0" w:noHBand="0" w:noVBand="1" w:val="04A0"/>
      </w:tblPr>
      <w:tblGrid>
        <w:gridCol w:w="1300"/>
        <w:gridCol w:w="1300"/>
        <w:gridCol w:w="1300"/>
        <w:gridCol w:w="1300"/>
        <w:gridCol w:w="1300"/>
        <w:gridCol w:w="1300"/>
        <w:gridCol w:w="1300"/>
      </w:tblGrid>
      <w:tr>
        <w:trPr>
          <w:cantSplit/>
          <w:tblHeader/>
        </w:trPr>
        <w:tc>
          <w:tcPr>
            <w:tcW w:type="dxa" w:w="1701"/>
            <w:shd w:val="clear" w:color="auto" w:fill="DCE6F1"/>
          </w:tcPr>
          <w:p>
            <w:pPr>
              <w:spacing w:after="20" w:line="252" w:lineRule="auto"/>
              <w:jc w:val="left"/>
            </w:pPr>
            <w:r>
              <w:rPr>
                <w:b/>
              </w:rPr>
            </w:r>
            <w:r>
              <w:rPr>
                <w:b/>
                <w:sz w:val="20"/>
              </w:rPr>
              <w:t>Tham số</w:t>
            </w:r>
          </w:p>
        </w:tc>
        <w:tc>
          <w:tcPr>
            <w:tcW w:type="dxa" w:w="1474"/>
            <w:shd w:val="clear" w:color="auto" w:fill="DCE6F1"/>
          </w:tcPr>
          <w:p>
            <w:pPr>
              <w:spacing w:after="20" w:line="252" w:lineRule="auto"/>
              <w:jc w:val="center"/>
            </w:pPr>
            <w:r>
              <w:rPr>
                <w:b/>
              </w:rPr>
            </w:r>
            <w:r>
              <w:rPr>
                <w:b/>
                <w:sz w:val="20"/>
              </w:rPr>
              <w:t>Train</w:t>
            </w:r>
          </w:p>
        </w:tc>
        <w:tc>
          <w:tcPr>
            <w:tcW w:type="dxa" w:w="1134"/>
            <w:shd w:val="clear" w:color="auto" w:fill="DCE6F1"/>
          </w:tcPr>
          <w:p>
            <w:pPr>
              <w:spacing w:after="20" w:line="252" w:lineRule="auto"/>
              <w:jc w:val="center"/>
            </w:pPr>
            <w:r>
              <w:rPr>
                <w:b/>
              </w:rPr>
            </w:r>
            <w:r>
              <w:rPr>
                <w:b/>
                <w:sz w:val="20"/>
              </w:rPr>
              <w:t>Sai số chuẩn</w:t>
            </w:r>
          </w:p>
        </w:tc>
        <w:tc>
          <w:tcPr>
            <w:tcW w:type="dxa" w:w="1020"/>
            <w:shd w:val="clear" w:color="auto" w:fill="DCE6F1"/>
          </w:tcPr>
          <w:p>
            <w:pPr>
              <w:spacing w:after="20" w:line="252" w:lineRule="auto"/>
              <w:jc w:val="center"/>
            </w:pPr>
            <w:r>
              <w:rPr>
                <w:b/>
              </w:rPr>
            </w:r>
            <w:r>
              <w:rPr>
                <w:b/>
                <w:sz w:val="20"/>
              </w:rPr>
              <w:t>p-value</w:t>
            </w:r>
          </w:p>
        </w:tc>
        <w:tc>
          <w:tcPr>
            <w:tcW w:type="dxa" w:w="1587"/>
            <w:shd w:val="clear" w:color="auto" w:fill="DCE6F1"/>
          </w:tcPr>
          <w:p>
            <w:pPr>
              <w:spacing w:after="20" w:line="252" w:lineRule="auto"/>
              <w:jc w:val="center"/>
            </w:pPr>
            <w:r>
              <w:rPr>
                <w:b/>
              </w:rPr>
            </w:r>
            <w:r>
              <w:rPr>
                <w:b/>
                <w:sz w:val="20"/>
              </w:rPr>
              <w:t>Train + Val</w:t>
            </w:r>
          </w:p>
        </w:tc>
        <w:tc>
          <w:tcPr>
            <w:tcW w:type="dxa" w:w="1134"/>
            <w:shd w:val="clear" w:color="auto" w:fill="DCE6F1"/>
          </w:tcPr>
          <w:p>
            <w:pPr>
              <w:spacing w:after="20" w:line="252" w:lineRule="auto"/>
              <w:jc w:val="center"/>
            </w:pPr>
            <w:r>
              <w:rPr>
                <w:b/>
              </w:rPr>
            </w:r>
            <w:r>
              <w:rPr>
                <w:b/>
                <w:sz w:val="20"/>
              </w:rPr>
              <w:t>Sai số chuẩn</w:t>
            </w:r>
          </w:p>
        </w:tc>
        <w:tc>
          <w:tcPr>
            <w:tcW w:type="dxa" w:w="1020"/>
            <w:shd w:val="clear" w:color="auto" w:fill="DCE6F1"/>
          </w:tcPr>
          <w:p>
            <w:pPr>
              <w:spacing w:after="20" w:line="252" w:lineRule="auto"/>
              <w:jc w:val="center"/>
            </w:pPr>
            <w:r>
              <w:rPr>
                <w:b/>
              </w:rPr>
            </w:r>
            <w:r>
              <w:rPr>
                <w:b/>
                <w:sz w:val="20"/>
              </w:rPr>
              <w:t>p-value</w:t>
            </w:r>
          </w:p>
        </w:tc>
      </w:tr>
      <w:tr>
        <w:trPr>
          <w:cantSplit/>
        </w:trPr>
        <w:tc>
          <w:tcPr>
            <w:tcW w:type="dxa" w:w="1701"/>
          </w:tcPr>
          <w:p>
            <w:pPr>
              <w:spacing w:after="20" w:line="252" w:lineRule="auto"/>
              <w:jc w:val="left"/>
            </w:pPr>
            <w:r/>
            <w:r>
              <w:rPr>
                <w:sz w:val="20"/>
              </w:rPr>
              <w:t>φ₁</w:t>
            </w:r>
          </w:p>
        </w:tc>
        <w:tc>
          <w:tcPr>
            <w:tcW w:type="dxa" w:w="1474"/>
          </w:tcPr>
          <w:p>
            <w:pPr>
              <w:spacing w:after="20" w:line="252" w:lineRule="auto"/>
              <w:jc w:val="center"/>
            </w:pPr>
            <w:r/>
            <w:r>
              <w:rPr>
                <w:sz w:val="20"/>
              </w:rPr>
              <w:t>0,664</w:t>
            </w:r>
          </w:p>
        </w:tc>
        <w:tc>
          <w:tcPr>
            <w:tcW w:type="dxa" w:w="1134"/>
          </w:tcPr>
          <w:p>
            <w:pPr>
              <w:spacing w:after="20" w:line="252" w:lineRule="auto"/>
              <w:jc w:val="center"/>
            </w:pPr>
            <w:r/>
            <w:r>
              <w:rPr>
                <w:sz w:val="20"/>
              </w:rPr>
              <w:t>0,046</w:t>
            </w:r>
          </w:p>
        </w:tc>
        <w:tc>
          <w:tcPr>
            <w:tcW w:type="dxa" w:w="1020"/>
          </w:tcPr>
          <w:p>
            <w:pPr>
              <w:spacing w:after="20" w:line="252" w:lineRule="auto"/>
              <w:jc w:val="center"/>
            </w:pPr>
            <w:r/>
            <w:r>
              <w:rPr>
                <w:sz w:val="20"/>
              </w:rPr>
              <w:t>&lt; 0,001</w:t>
            </w:r>
          </w:p>
        </w:tc>
        <w:tc>
          <w:tcPr>
            <w:tcW w:type="dxa" w:w="1587"/>
          </w:tcPr>
          <w:p>
            <w:pPr>
              <w:spacing w:after="20" w:line="252" w:lineRule="auto"/>
              <w:jc w:val="center"/>
            </w:pPr>
            <w:r/>
            <w:r>
              <w:rPr>
                <w:sz w:val="20"/>
              </w:rPr>
              <w:t>0,642</w:t>
            </w:r>
          </w:p>
        </w:tc>
        <w:tc>
          <w:tcPr>
            <w:tcW w:type="dxa" w:w="1134"/>
          </w:tcPr>
          <w:p>
            <w:pPr>
              <w:spacing w:after="20" w:line="252" w:lineRule="auto"/>
              <w:jc w:val="center"/>
            </w:pPr>
            <w:r/>
            <w:r>
              <w:rPr>
                <w:sz w:val="20"/>
              </w:rPr>
              <w:t>0,047</w:t>
            </w:r>
          </w:p>
        </w:tc>
        <w:tc>
          <w:tcPr>
            <w:tcW w:type="dxa" w:w="1020"/>
          </w:tcPr>
          <w:p>
            <w:pPr>
              <w:spacing w:after="20" w:line="252" w:lineRule="auto"/>
              <w:jc w:val="center"/>
            </w:pPr>
            <w:r/>
            <w:r>
              <w:rPr>
                <w:sz w:val="20"/>
              </w:rPr>
              <w:t>&lt; 0,001</w:t>
            </w:r>
          </w:p>
        </w:tc>
      </w:tr>
      <w:tr>
        <w:trPr>
          <w:cantSplit/>
        </w:trPr>
        <w:tc>
          <w:tcPr>
            <w:tcW w:type="dxa" w:w="1701"/>
          </w:tcPr>
          <w:p>
            <w:pPr>
              <w:spacing w:after="20" w:line="252" w:lineRule="auto"/>
              <w:jc w:val="left"/>
            </w:pPr>
            <w:r/>
            <w:r>
              <w:rPr>
                <w:sz w:val="20"/>
              </w:rPr>
              <w:t>φ₂</w:t>
            </w:r>
          </w:p>
        </w:tc>
        <w:tc>
          <w:tcPr>
            <w:tcW w:type="dxa" w:w="1474"/>
          </w:tcPr>
          <w:p>
            <w:pPr>
              <w:spacing w:after="20" w:line="252" w:lineRule="auto"/>
              <w:jc w:val="center"/>
            </w:pPr>
            <w:r/>
            <w:r>
              <w:rPr>
                <w:sz w:val="20"/>
              </w:rPr>
              <w:t>−0,095</w:t>
            </w:r>
          </w:p>
        </w:tc>
        <w:tc>
          <w:tcPr>
            <w:tcW w:type="dxa" w:w="1134"/>
          </w:tcPr>
          <w:p>
            <w:pPr>
              <w:spacing w:after="20" w:line="252" w:lineRule="auto"/>
              <w:jc w:val="center"/>
            </w:pPr>
            <w:r/>
            <w:r>
              <w:rPr>
                <w:sz w:val="20"/>
              </w:rPr>
              <w:t>0,014</w:t>
            </w:r>
          </w:p>
        </w:tc>
        <w:tc>
          <w:tcPr>
            <w:tcW w:type="dxa" w:w="1020"/>
          </w:tcPr>
          <w:p>
            <w:pPr>
              <w:spacing w:after="20" w:line="252" w:lineRule="auto"/>
              <w:jc w:val="center"/>
            </w:pPr>
            <w:r/>
            <w:r>
              <w:rPr>
                <w:sz w:val="20"/>
              </w:rPr>
              <w:t>&lt; 0,001</w:t>
            </w:r>
          </w:p>
        </w:tc>
        <w:tc>
          <w:tcPr>
            <w:tcW w:type="dxa" w:w="1587"/>
          </w:tcPr>
          <w:p>
            <w:pPr>
              <w:spacing w:after="20" w:line="252" w:lineRule="auto"/>
              <w:jc w:val="center"/>
            </w:pPr>
            <w:r/>
            <w:r>
              <w:rPr>
                <w:sz w:val="20"/>
              </w:rPr>
              <w:t>−0,105</w:t>
            </w:r>
          </w:p>
        </w:tc>
        <w:tc>
          <w:tcPr>
            <w:tcW w:type="dxa" w:w="1134"/>
          </w:tcPr>
          <w:p>
            <w:pPr>
              <w:spacing w:after="20" w:line="252" w:lineRule="auto"/>
              <w:jc w:val="center"/>
            </w:pPr>
            <w:r/>
            <w:r>
              <w:rPr>
                <w:sz w:val="20"/>
              </w:rPr>
              <w:t>0,013</w:t>
            </w:r>
          </w:p>
        </w:tc>
        <w:tc>
          <w:tcPr>
            <w:tcW w:type="dxa" w:w="1020"/>
          </w:tcPr>
          <w:p>
            <w:pPr>
              <w:spacing w:after="20" w:line="252" w:lineRule="auto"/>
              <w:jc w:val="center"/>
            </w:pPr>
            <w:r/>
            <w:r>
              <w:rPr>
                <w:sz w:val="20"/>
              </w:rPr>
              <w:t>&lt; 0,001</w:t>
            </w:r>
          </w:p>
        </w:tc>
      </w:tr>
      <w:tr>
        <w:trPr>
          <w:cantSplit/>
        </w:trPr>
        <w:tc>
          <w:tcPr>
            <w:tcW w:type="dxa" w:w="1701"/>
          </w:tcPr>
          <w:p>
            <w:pPr>
              <w:spacing w:after="20" w:line="252" w:lineRule="auto"/>
              <w:jc w:val="left"/>
            </w:pPr>
            <w:r/>
            <w:r>
              <w:rPr>
                <w:sz w:val="20"/>
              </w:rPr>
              <w:t>φ₃</w:t>
            </w:r>
          </w:p>
        </w:tc>
        <w:tc>
          <w:tcPr>
            <w:tcW w:type="dxa" w:w="1474"/>
          </w:tcPr>
          <w:p>
            <w:pPr>
              <w:spacing w:after="20" w:line="252" w:lineRule="auto"/>
              <w:jc w:val="center"/>
            </w:pPr>
            <w:r/>
            <w:r>
              <w:rPr>
                <w:sz w:val="20"/>
              </w:rPr>
              <w:t>0,157</w:t>
            </w:r>
          </w:p>
        </w:tc>
        <w:tc>
          <w:tcPr>
            <w:tcW w:type="dxa" w:w="1134"/>
          </w:tcPr>
          <w:p>
            <w:pPr>
              <w:spacing w:after="20" w:line="252" w:lineRule="auto"/>
              <w:jc w:val="center"/>
            </w:pPr>
            <w:r/>
            <w:r>
              <w:rPr>
                <w:sz w:val="20"/>
              </w:rPr>
              <w:t>0,014</w:t>
            </w:r>
          </w:p>
        </w:tc>
        <w:tc>
          <w:tcPr>
            <w:tcW w:type="dxa" w:w="1020"/>
          </w:tcPr>
          <w:p>
            <w:pPr>
              <w:spacing w:after="20" w:line="252" w:lineRule="auto"/>
              <w:jc w:val="center"/>
            </w:pPr>
            <w:r/>
            <w:r>
              <w:rPr>
                <w:sz w:val="20"/>
              </w:rPr>
              <w:t>&lt; 0,001</w:t>
            </w:r>
          </w:p>
        </w:tc>
        <w:tc>
          <w:tcPr>
            <w:tcW w:type="dxa" w:w="1587"/>
          </w:tcPr>
          <w:p>
            <w:pPr>
              <w:spacing w:after="20" w:line="252" w:lineRule="auto"/>
              <w:jc w:val="center"/>
            </w:pPr>
            <w:r/>
            <w:r>
              <w:rPr>
                <w:sz w:val="20"/>
              </w:rPr>
              <w:t>0,164</w:t>
            </w:r>
          </w:p>
        </w:tc>
        <w:tc>
          <w:tcPr>
            <w:tcW w:type="dxa" w:w="1134"/>
          </w:tcPr>
          <w:p>
            <w:pPr>
              <w:spacing w:after="20" w:line="252" w:lineRule="auto"/>
              <w:jc w:val="center"/>
            </w:pPr>
            <w:r/>
            <w:r>
              <w:rPr>
                <w:sz w:val="20"/>
              </w:rPr>
              <w:t>0,012</w:t>
            </w:r>
          </w:p>
        </w:tc>
        <w:tc>
          <w:tcPr>
            <w:tcW w:type="dxa" w:w="1020"/>
          </w:tcPr>
          <w:p>
            <w:pPr>
              <w:spacing w:after="20" w:line="252" w:lineRule="auto"/>
              <w:jc w:val="center"/>
            </w:pPr>
            <w:r/>
            <w:r>
              <w:rPr>
                <w:sz w:val="20"/>
              </w:rPr>
              <w:t>&lt; 0,001</w:t>
            </w:r>
          </w:p>
        </w:tc>
      </w:tr>
      <w:tr>
        <w:trPr>
          <w:cantSplit/>
        </w:trPr>
        <w:tc>
          <w:tcPr>
            <w:tcW w:type="dxa" w:w="1701"/>
          </w:tcPr>
          <w:p>
            <w:pPr>
              <w:spacing w:after="20" w:line="252" w:lineRule="auto"/>
              <w:jc w:val="left"/>
            </w:pPr>
            <w:r/>
            <w:r>
              <w:rPr>
                <w:sz w:val="20"/>
              </w:rPr>
              <w:t>θ₁</w:t>
            </w:r>
          </w:p>
        </w:tc>
        <w:tc>
          <w:tcPr>
            <w:tcW w:type="dxa" w:w="1474"/>
          </w:tcPr>
          <w:p>
            <w:pPr>
              <w:spacing w:after="20" w:line="252" w:lineRule="auto"/>
              <w:jc w:val="center"/>
            </w:pPr>
            <w:r/>
            <w:r>
              <w:rPr>
                <w:sz w:val="20"/>
              </w:rPr>
              <w:t>−0,569</w:t>
            </w:r>
          </w:p>
        </w:tc>
        <w:tc>
          <w:tcPr>
            <w:tcW w:type="dxa" w:w="1134"/>
          </w:tcPr>
          <w:p>
            <w:pPr>
              <w:spacing w:after="20" w:line="252" w:lineRule="auto"/>
              <w:jc w:val="center"/>
            </w:pPr>
            <w:r/>
            <w:r>
              <w:rPr>
                <w:sz w:val="20"/>
              </w:rPr>
              <w:t>0,046</w:t>
            </w:r>
          </w:p>
        </w:tc>
        <w:tc>
          <w:tcPr>
            <w:tcW w:type="dxa" w:w="1020"/>
          </w:tcPr>
          <w:p>
            <w:pPr>
              <w:spacing w:after="20" w:line="252" w:lineRule="auto"/>
              <w:jc w:val="center"/>
            </w:pPr>
            <w:r/>
            <w:r>
              <w:rPr>
                <w:sz w:val="20"/>
              </w:rPr>
              <w:t>&lt; 0,001</w:t>
            </w:r>
          </w:p>
        </w:tc>
        <w:tc>
          <w:tcPr>
            <w:tcW w:type="dxa" w:w="1587"/>
          </w:tcPr>
          <w:p>
            <w:pPr>
              <w:spacing w:after="20" w:line="252" w:lineRule="auto"/>
              <w:jc w:val="center"/>
            </w:pPr>
            <w:r/>
            <w:r>
              <w:rPr>
                <w:sz w:val="20"/>
              </w:rPr>
              <w:t>−0,558</w:t>
            </w:r>
          </w:p>
        </w:tc>
        <w:tc>
          <w:tcPr>
            <w:tcW w:type="dxa" w:w="1134"/>
          </w:tcPr>
          <w:p>
            <w:pPr>
              <w:spacing w:after="20" w:line="252" w:lineRule="auto"/>
              <w:jc w:val="center"/>
            </w:pPr>
            <w:r/>
            <w:r>
              <w:rPr>
                <w:sz w:val="20"/>
              </w:rPr>
              <w:t>0,048</w:t>
            </w:r>
          </w:p>
        </w:tc>
        <w:tc>
          <w:tcPr>
            <w:tcW w:type="dxa" w:w="1020"/>
          </w:tcPr>
          <w:p>
            <w:pPr>
              <w:spacing w:after="20" w:line="252" w:lineRule="auto"/>
              <w:jc w:val="center"/>
            </w:pPr>
            <w:r/>
            <w:r>
              <w:rPr>
                <w:sz w:val="20"/>
              </w:rPr>
              <w:t>&lt; 0,001</w:t>
            </w:r>
          </w:p>
        </w:tc>
      </w:tr>
      <w:tr>
        <w:trPr>
          <w:cantSplit/>
        </w:trPr>
        <w:tc>
          <w:tcPr>
            <w:tcW w:type="dxa" w:w="1701"/>
          </w:tcPr>
          <w:p>
            <w:pPr>
              <w:spacing w:after="20" w:line="252" w:lineRule="auto"/>
              <w:jc w:val="left"/>
            </w:pPr>
            <w:r/>
            <w:r>
              <w:rPr>
                <w:sz w:val="20"/>
              </w:rPr>
              <w:t>σ²</w:t>
            </w:r>
          </w:p>
        </w:tc>
        <w:tc>
          <w:tcPr>
            <w:tcW w:type="dxa" w:w="1474"/>
          </w:tcPr>
          <w:p>
            <w:pPr>
              <w:spacing w:after="20" w:line="252" w:lineRule="auto"/>
              <w:jc w:val="center"/>
            </w:pPr>
            <w:r/>
            <w:r>
              <w:rPr>
                <w:sz w:val="20"/>
              </w:rPr>
              <w:t>0,0172</w:t>
            </w:r>
          </w:p>
        </w:tc>
        <w:tc>
          <w:tcPr>
            <w:tcW w:type="dxa" w:w="1134"/>
          </w:tcPr>
          <w:p>
            <w:pPr>
              <w:spacing w:after="20" w:line="252" w:lineRule="auto"/>
              <w:jc w:val="center"/>
            </w:pPr>
            <w:r/>
            <w:r>
              <w:rPr>
                <w:sz w:val="20"/>
              </w:rPr>
              <w:t>0,0002</w:t>
            </w:r>
          </w:p>
        </w:tc>
        <w:tc>
          <w:tcPr>
            <w:tcW w:type="dxa" w:w="1020"/>
          </w:tcPr>
          <w:p>
            <w:pPr>
              <w:spacing w:after="20" w:line="252" w:lineRule="auto"/>
              <w:jc w:val="center"/>
            </w:pPr>
            <w:r/>
            <w:r>
              <w:rPr>
                <w:sz w:val="20"/>
              </w:rPr>
              <w:t>&lt; 0,001</w:t>
            </w:r>
          </w:p>
        </w:tc>
        <w:tc>
          <w:tcPr>
            <w:tcW w:type="dxa" w:w="1587"/>
          </w:tcPr>
          <w:p>
            <w:pPr>
              <w:spacing w:after="20" w:line="252" w:lineRule="auto"/>
              <w:jc w:val="center"/>
            </w:pPr>
            <w:r/>
            <w:r>
              <w:rPr>
                <w:sz w:val="20"/>
              </w:rPr>
              <w:t>0,0183</w:t>
            </w:r>
          </w:p>
        </w:tc>
        <w:tc>
          <w:tcPr>
            <w:tcW w:type="dxa" w:w="1134"/>
          </w:tcPr>
          <w:p>
            <w:pPr>
              <w:spacing w:after="20" w:line="252" w:lineRule="auto"/>
              <w:jc w:val="center"/>
            </w:pPr>
            <w:r/>
            <w:r>
              <w:rPr>
                <w:sz w:val="20"/>
              </w:rPr>
              <w:t>0,0002</w:t>
            </w:r>
          </w:p>
        </w:tc>
        <w:tc>
          <w:tcPr>
            <w:tcW w:type="dxa" w:w="1020"/>
          </w:tcPr>
          <w:p>
            <w:pPr>
              <w:spacing w:after="20" w:line="252" w:lineRule="auto"/>
              <w:jc w:val="center"/>
            </w:pPr>
            <w:r/>
            <w:r>
              <w:rPr>
                <w:sz w:val="20"/>
              </w:rPr>
              <w:t>&lt; 0,001</w:t>
            </w:r>
          </w:p>
        </w:tc>
      </w:tr>
      <w:tr>
        <w:trPr>
          <w:cantSplit/>
        </w:trPr>
        <w:tc>
          <w:tcPr>
            <w:tcW w:type="dxa" w:w="1701"/>
          </w:tcPr>
          <w:p>
            <w:pPr>
              <w:spacing w:after="20" w:line="252" w:lineRule="auto"/>
              <w:jc w:val="left"/>
            </w:pPr>
            <w:r/>
            <w:r>
              <w:rPr>
                <w:sz w:val="20"/>
              </w:rPr>
              <w:t>Log-likelihood / AIC</w:t>
            </w:r>
          </w:p>
        </w:tc>
        <w:tc>
          <w:tcPr>
            <w:tcW w:type="dxa" w:w="1474"/>
          </w:tcPr>
          <w:p>
            <w:pPr>
              <w:spacing w:after="20" w:line="252" w:lineRule="auto"/>
              <w:jc w:val="center"/>
            </w:pPr>
            <w:r/>
            <w:r>
              <w:rPr>
                <w:sz w:val="20"/>
              </w:rPr>
              <w:t>1.436,28 / −2.862,55</w:t>
            </w:r>
          </w:p>
        </w:tc>
        <w:tc>
          <w:tcPr>
            <w:tcW w:type="dxa" w:w="1134"/>
          </w:tcPr>
          <w:p>
            <w:pPr>
              <w:spacing w:after="20" w:line="252" w:lineRule="auto"/>
              <w:jc w:val="center"/>
            </w:pPr>
            <w:r/>
          </w:p>
        </w:tc>
        <w:tc>
          <w:tcPr>
            <w:tcW w:type="dxa" w:w="1020"/>
          </w:tcPr>
          <w:p>
            <w:pPr>
              <w:spacing w:after="20" w:line="252" w:lineRule="auto"/>
              <w:jc w:val="center"/>
            </w:pPr>
            <w:r/>
          </w:p>
        </w:tc>
        <w:tc>
          <w:tcPr>
            <w:tcW w:type="dxa" w:w="1587"/>
          </w:tcPr>
          <w:p>
            <w:pPr>
              <w:spacing w:after="20" w:line="252" w:lineRule="auto"/>
              <w:jc w:val="center"/>
            </w:pPr>
            <w:r/>
            <w:r>
              <w:rPr>
                <w:sz w:val="20"/>
              </w:rPr>
              <w:t>1.516,03 / −3.022,07</w:t>
            </w:r>
          </w:p>
        </w:tc>
        <w:tc>
          <w:tcPr>
            <w:tcW w:type="dxa" w:w="1134"/>
          </w:tcPr>
          <w:p>
            <w:pPr>
              <w:spacing w:after="20" w:line="252" w:lineRule="auto"/>
              <w:jc w:val="center"/>
            </w:pPr>
            <w:r/>
          </w:p>
        </w:tc>
        <w:tc>
          <w:tcPr>
            <w:tcW w:type="dxa" w:w="1020"/>
          </w:tcPr>
          <w:p>
            <w:pPr>
              <w:spacing w:after="20" w:line="252" w:lineRule="auto"/>
              <w:jc w:val="center"/>
            </w:pPr>
            <w:r/>
          </w:p>
        </w:tc>
      </w:tr>
      <w:tr>
        <w:trPr>
          <w:cantSplit/>
        </w:trPr>
        <w:tc>
          <w:tcPr>
            <w:tcW w:type="dxa" w:w="1701"/>
          </w:tcPr>
          <w:p>
            <w:pPr>
              <w:spacing w:after="20" w:line="252" w:lineRule="auto"/>
              <w:jc w:val="left"/>
            </w:pPr>
            <w:r/>
            <w:r>
              <w:rPr>
                <w:sz w:val="20"/>
              </w:rPr>
              <w:t>Hội tụ</w:t>
            </w:r>
          </w:p>
        </w:tc>
        <w:tc>
          <w:tcPr>
            <w:tcW w:type="dxa" w:w="1474"/>
          </w:tcPr>
          <w:p>
            <w:pPr>
              <w:spacing w:after="20" w:line="252" w:lineRule="auto"/>
              <w:jc w:val="center"/>
            </w:pPr>
            <w:r/>
            <w:r>
              <w:rPr>
                <w:sz w:val="20"/>
              </w:rPr>
              <w:t>Có</w:t>
            </w:r>
          </w:p>
        </w:tc>
        <w:tc>
          <w:tcPr>
            <w:tcW w:type="dxa" w:w="1134"/>
          </w:tcPr>
          <w:p>
            <w:pPr>
              <w:spacing w:after="20" w:line="252" w:lineRule="auto"/>
              <w:jc w:val="center"/>
            </w:pPr>
            <w:r/>
          </w:p>
        </w:tc>
        <w:tc>
          <w:tcPr>
            <w:tcW w:type="dxa" w:w="1020"/>
          </w:tcPr>
          <w:p>
            <w:pPr>
              <w:spacing w:after="20" w:line="252" w:lineRule="auto"/>
              <w:jc w:val="center"/>
            </w:pPr>
            <w:r/>
          </w:p>
        </w:tc>
        <w:tc>
          <w:tcPr>
            <w:tcW w:type="dxa" w:w="1587"/>
          </w:tcPr>
          <w:p>
            <w:pPr>
              <w:spacing w:after="20" w:line="252" w:lineRule="auto"/>
              <w:jc w:val="center"/>
            </w:pPr>
            <w:r/>
            <w:r>
              <w:rPr>
                <w:sz w:val="20"/>
              </w:rPr>
              <w:t>Có</w:t>
            </w:r>
          </w:p>
        </w:tc>
        <w:tc>
          <w:tcPr>
            <w:tcW w:type="dxa" w:w="1134"/>
          </w:tcPr>
          <w:p>
            <w:pPr>
              <w:spacing w:after="20" w:line="252" w:lineRule="auto"/>
              <w:jc w:val="center"/>
            </w:pPr>
            <w:r/>
          </w:p>
        </w:tc>
        <w:tc>
          <w:tcPr>
            <w:tcW w:type="dxa" w:w="1020"/>
          </w:tcPr>
          <w:p>
            <w:pPr>
              <w:spacing w:after="20" w:line="252" w:lineRule="auto"/>
              <w:jc w:val="center"/>
            </w:pPr>
            <w:r/>
          </w:p>
        </w:tc>
      </w:tr>
    </w:tbl>
    <w:p>
      <w:pPr>
        <w:spacing w:after="0"/>
      </w:pPr>
    </w:p>
    <w:p>
      <w:pPr>
        <w:jc w:val="both"/>
      </w:pPr>
      <w:r>
        <w:t>Cả bốn hệ số đều có ý nghĩa ở mức 0,1% và gần như không đổi giữa hai mẫu ước lượng (φ₁ từ 0,664 xuống 0,642; θ₁ từ −0,569 lên −0,558); lần ước lượng lại hội tụ bình thường. Thêm một bậc vào mô hình được chọn cho hệ số mới gần bằng 0: φ₄ = 0,001 (p = 0,95) trong ARIMA(4,1,1) và θ₂ = 0,002 (p = 0,98) trong ARIMA(3,1,2), đồng thời AIC và BIC đều kém hơn, nên ARIMA(3,1,1) không thiếu bậc. Đây là khác biệt rõ nhất so với ARIMA(3,1,4), mô hình có bốn trên bảy hệ số ARMA không có ý nghĩa và không hội tụ khi ước lượng lại. Về diễn giải, φ₁ và θ₁ trái dấu và có độ lớn gần nhau nên phần lớn bù trừ, chỉ để lại tự tương quan bậc một nhỏ nhưng kéo dài. Hệ số φ₃ = 0,157 thể hiện tác động của return ba phiên trước, phù hợp với đặc điểm tỷ giá được điều hành, trong đó cú sốc được hấp thụ dần qua nhiều phiên. Độ lệch chuẩn ước lượng σ̂ = √0,0183 ≈ 0,135 %/phiên được áp dụng như nhau cho mọi phiên.</w:t>
      </w:r>
    </w:p>
    <w:p>
      <w:pPr>
        <w:pStyle w:val="Heading3"/>
      </w:pPr>
      <w:r>
        <w:t>7.1.5. Đánh giá rolling one-step trên tập Test 2026</w:t>
      </w:r>
    </w:p>
    <w:p>
      <w:pPr>
        <w:keepNext/>
        <w:spacing w:before="120"/>
      </w:pPr>
      <w:r>
        <w:rPr>
          <w:b/>
        </w:rPr>
        <w:t xml:space="preserve">Bảng P1.5. </w:t>
      </w:r>
      <w:r>
        <w:t>Sai số dự báo tỷ giá trên Test (N = 175, VND/USD)</w:t>
      </w:r>
    </w:p>
    <w:tbl>
      <w:tblPr>
        <w:tblStyle w:val="TableGrid"/>
        <w:tblW w:type="auto" w:w="0"/>
        <w:jc w:val="center"/>
        <w:tblLook w:firstColumn="1" w:firstRow="1" w:lastColumn="0" w:lastRow="0" w:noHBand="0" w:noVBand="1" w:val="04A0"/>
      </w:tblPr>
      <w:tblGrid>
        <w:gridCol w:w="1300"/>
        <w:gridCol w:w="1300"/>
        <w:gridCol w:w="1300"/>
        <w:gridCol w:w="1300"/>
        <w:gridCol w:w="1300"/>
        <w:gridCol w:w="1300"/>
        <w:gridCol w:w="1300"/>
      </w:tblGrid>
      <w:tr>
        <w:trPr>
          <w:cantSplit/>
          <w:tblHeader/>
        </w:trPr>
        <w:tc>
          <w:tcPr>
            <w:tcW w:type="dxa" w:w="2551"/>
            <w:shd w:val="clear" w:color="auto" w:fill="DCE6F1"/>
          </w:tcPr>
          <w:p>
            <w:pPr>
              <w:spacing w:after="20" w:line="252" w:lineRule="auto"/>
              <w:jc w:val="left"/>
            </w:pPr>
            <w:r>
              <w:rPr>
                <w:b/>
              </w:rPr>
            </w:r>
            <w:r>
              <w:rPr>
                <w:b/>
                <w:sz w:val="20"/>
              </w:rPr>
              <w:t>Mô hình</w:t>
            </w:r>
          </w:p>
        </w:tc>
        <w:tc>
          <w:tcPr>
            <w:tcW w:type="dxa" w:w="1020"/>
            <w:shd w:val="clear" w:color="auto" w:fill="DCE6F1"/>
          </w:tcPr>
          <w:p>
            <w:pPr>
              <w:spacing w:after="20" w:line="252" w:lineRule="auto"/>
              <w:jc w:val="center"/>
            </w:pPr>
            <w:r>
              <w:rPr>
                <w:b/>
              </w:rPr>
            </w:r>
            <w:r>
              <w:rPr>
                <w:b/>
                <w:sz w:val="20"/>
              </w:rPr>
              <w:t>MAE</w:t>
            </w:r>
          </w:p>
        </w:tc>
        <w:tc>
          <w:tcPr>
            <w:tcW w:type="dxa" w:w="1020"/>
            <w:shd w:val="clear" w:color="auto" w:fill="DCE6F1"/>
          </w:tcPr>
          <w:p>
            <w:pPr>
              <w:spacing w:after="20" w:line="252" w:lineRule="auto"/>
              <w:jc w:val="center"/>
            </w:pPr>
            <w:r>
              <w:rPr>
                <w:b/>
              </w:rPr>
            </w:r>
            <w:r>
              <w:rPr>
                <w:b/>
                <w:sz w:val="20"/>
              </w:rPr>
              <w:t>RMSE</w:t>
            </w:r>
          </w:p>
        </w:tc>
        <w:tc>
          <w:tcPr>
            <w:tcW w:type="dxa" w:w="1077"/>
            <w:shd w:val="clear" w:color="auto" w:fill="DCE6F1"/>
          </w:tcPr>
          <w:p>
            <w:pPr>
              <w:spacing w:after="20" w:line="252" w:lineRule="auto"/>
              <w:jc w:val="center"/>
            </w:pPr>
            <w:r>
              <w:rPr>
                <w:b/>
              </w:rPr>
            </w:r>
            <w:r>
              <w:rPr>
                <w:b/>
                <w:sz w:val="20"/>
              </w:rPr>
              <w:t>MAPE (%)</w:t>
            </w:r>
          </w:p>
        </w:tc>
        <w:tc>
          <w:tcPr>
            <w:tcW w:type="dxa" w:w="1077"/>
            <w:shd w:val="clear" w:color="auto" w:fill="DCE6F1"/>
          </w:tcPr>
          <w:p>
            <w:pPr>
              <w:spacing w:after="20" w:line="252" w:lineRule="auto"/>
              <w:jc w:val="center"/>
            </w:pPr>
            <w:r>
              <w:rPr>
                <w:b/>
              </w:rPr>
            </w:r>
            <w:r>
              <w:rPr>
                <w:b/>
                <w:sz w:val="20"/>
              </w:rPr>
              <w:t>sMAPE (%)</w:t>
            </w:r>
          </w:p>
        </w:tc>
        <w:tc>
          <w:tcPr>
            <w:tcW w:type="dxa" w:w="1020"/>
            <w:shd w:val="clear" w:color="auto" w:fill="DCE6F1"/>
          </w:tcPr>
          <w:p>
            <w:pPr>
              <w:spacing w:after="20" w:line="252" w:lineRule="auto"/>
              <w:jc w:val="center"/>
            </w:pPr>
            <w:r>
              <w:rPr>
                <w:b/>
              </w:rPr>
            </w:r>
            <w:r>
              <w:rPr>
                <w:b/>
                <w:sz w:val="20"/>
              </w:rPr>
              <w:t>MASE</w:t>
            </w:r>
          </w:p>
        </w:tc>
        <w:tc>
          <w:tcPr>
            <w:tcW w:type="dxa" w:w="1304"/>
            <w:shd w:val="clear" w:color="auto" w:fill="DCE6F1"/>
          </w:tcPr>
          <w:p>
            <w:pPr>
              <w:spacing w:after="20" w:line="252" w:lineRule="auto"/>
              <w:jc w:val="center"/>
            </w:pPr>
            <w:r>
              <w:rPr>
                <w:b/>
              </w:rPr>
            </w:r>
            <w:r>
              <w:rPr>
                <w:b/>
                <w:sz w:val="20"/>
              </w:rPr>
              <w:t>Relative RMSE</w:t>
            </w:r>
          </w:p>
        </w:tc>
      </w:tr>
      <w:tr>
        <w:trPr>
          <w:cantSplit/>
        </w:trPr>
        <w:tc>
          <w:tcPr>
            <w:tcW w:type="dxa" w:w="2551"/>
          </w:tcPr>
          <w:p>
            <w:pPr>
              <w:spacing w:after="20" w:line="252" w:lineRule="auto"/>
              <w:jc w:val="left"/>
            </w:pPr>
            <w:r/>
            <w:r>
              <w:rPr>
                <w:sz w:val="20"/>
              </w:rPr>
              <w:t>Naive (Random Walk)</w:t>
            </w:r>
          </w:p>
        </w:tc>
        <w:tc>
          <w:tcPr>
            <w:tcW w:type="dxa" w:w="1020"/>
          </w:tcPr>
          <w:p>
            <w:pPr>
              <w:spacing w:after="20" w:line="252" w:lineRule="auto"/>
              <w:jc w:val="center"/>
            </w:pPr>
            <w:r/>
            <w:r>
              <w:rPr>
                <w:sz w:val="20"/>
              </w:rPr>
              <w:t>18,5629</w:t>
            </w:r>
          </w:p>
        </w:tc>
        <w:tc>
          <w:tcPr>
            <w:tcW w:type="dxa" w:w="1020"/>
          </w:tcPr>
          <w:p>
            <w:pPr>
              <w:spacing w:after="20" w:line="252" w:lineRule="auto"/>
              <w:jc w:val="center"/>
            </w:pPr>
            <w:r/>
            <w:r>
              <w:rPr>
                <w:sz w:val="20"/>
              </w:rPr>
              <w:t>30,0534</w:t>
            </w:r>
          </w:p>
        </w:tc>
        <w:tc>
          <w:tcPr>
            <w:tcW w:type="dxa" w:w="1077"/>
          </w:tcPr>
          <w:p>
            <w:pPr>
              <w:spacing w:after="20" w:line="252" w:lineRule="auto"/>
              <w:jc w:val="center"/>
            </w:pPr>
            <w:r/>
            <w:r>
              <w:rPr>
                <w:sz w:val="20"/>
              </w:rPr>
              <w:t>0,0709</w:t>
            </w:r>
          </w:p>
        </w:tc>
        <w:tc>
          <w:tcPr>
            <w:tcW w:type="dxa" w:w="1077"/>
          </w:tcPr>
          <w:p>
            <w:pPr>
              <w:spacing w:after="20" w:line="252" w:lineRule="auto"/>
              <w:jc w:val="center"/>
            </w:pPr>
            <w:r/>
            <w:r>
              <w:rPr>
                <w:sz w:val="20"/>
              </w:rPr>
              <w:t>0,0709</w:t>
            </w:r>
          </w:p>
        </w:tc>
        <w:tc>
          <w:tcPr>
            <w:tcW w:type="dxa" w:w="1020"/>
          </w:tcPr>
          <w:p>
            <w:pPr>
              <w:spacing w:after="20" w:line="252" w:lineRule="auto"/>
              <w:jc w:val="center"/>
            </w:pPr>
            <w:r/>
            <w:r>
              <w:rPr>
                <w:sz w:val="20"/>
              </w:rPr>
              <w:t>1,0163</w:t>
            </w:r>
          </w:p>
        </w:tc>
        <w:tc>
          <w:tcPr>
            <w:tcW w:type="dxa" w:w="1304"/>
          </w:tcPr>
          <w:p>
            <w:pPr>
              <w:spacing w:after="20" w:line="252" w:lineRule="auto"/>
              <w:jc w:val="center"/>
            </w:pPr>
            <w:r/>
            <w:r>
              <w:rPr>
                <w:sz w:val="20"/>
              </w:rPr>
              <w:t>1,0000</w:t>
            </w:r>
          </w:p>
        </w:tc>
      </w:tr>
      <w:tr>
        <w:trPr>
          <w:cantSplit/>
        </w:trPr>
        <w:tc>
          <w:tcPr>
            <w:tcW w:type="dxa" w:w="2551"/>
          </w:tcPr>
          <w:p>
            <w:pPr>
              <w:spacing w:after="20" w:line="252" w:lineRule="auto"/>
              <w:jc w:val="left"/>
            </w:pPr>
            <w:r/>
            <w:r>
              <w:rPr>
                <w:sz w:val="20"/>
              </w:rPr>
              <w:t>ARIMA(1,1,1)</w:t>
            </w:r>
          </w:p>
        </w:tc>
        <w:tc>
          <w:tcPr>
            <w:tcW w:type="dxa" w:w="1020"/>
          </w:tcPr>
          <w:p>
            <w:pPr>
              <w:spacing w:after="20" w:line="252" w:lineRule="auto"/>
              <w:jc w:val="center"/>
            </w:pPr>
            <w:r/>
            <w:r>
              <w:rPr>
                <w:sz w:val="20"/>
              </w:rPr>
              <w:t>18,8044</w:t>
            </w:r>
          </w:p>
        </w:tc>
        <w:tc>
          <w:tcPr>
            <w:tcW w:type="dxa" w:w="1020"/>
          </w:tcPr>
          <w:p>
            <w:pPr>
              <w:spacing w:after="20" w:line="252" w:lineRule="auto"/>
              <w:jc w:val="center"/>
            </w:pPr>
            <w:r/>
            <w:r>
              <w:rPr>
                <w:sz w:val="20"/>
              </w:rPr>
              <w:t>30,0030</w:t>
            </w:r>
          </w:p>
        </w:tc>
        <w:tc>
          <w:tcPr>
            <w:tcW w:type="dxa" w:w="1077"/>
          </w:tcPr>
          <w:p>
            <w:pPr>
              <w:spacing w:after="20" w:line="252" w:lineRule="auto"/>
              <w:jc w:val="center"/>
            </w:pPr>
            <w:r/>
            <w:r>
              <w:rPr>
                <w:sz w:val="20"/>
              </w:rPr>
              <w:t>0,0718</w:t>
            </w:r>
          </w:p>
        </w:tc>
        <w:tc>
          <w:tcPr>
            <w:tcW w:type="dxa" w:w="1077"/>
          </w:tcPr>
          <w:p>
            <w:pPr>
              <w:spacing w:after="20" w:line="252" w:lineRule="auto"/>
              <w:jc w:val="center"/>
            </w:pPr>
            <w:r/>
            <w:r>
              <w:rPr>
                <w:sz w:val="20"/>
              </w:rPr>
              <w:t>0,0718</w:t>
            </w:r>
          </w:p>
        </w:tc>
        <w:tc>
          <w:tcPr>
            <w:tcW w:type="dxa" w:w="1020"/>
          </w:tcPr>
          <w:p>
            <w:pPr>
              <w:spacing w:after="20" w:line="252" w:lineRule="auto"/>
              <w:jc w:val="center"/>
            </w:pPr>
            <w:r/>
            <w:r>
              <w:rPr>
                <w:sz w:val="20"/>
              </w:rPr>
              <w:t>1,0295</w:t>
            </w:r>
          </w:p>
        </w:tc>
        <w:tc>
          <w:tcPr>
            <w:tcW w:type="dxa" w:w="1304"/>
          </w:tcPr>
          <w:p>
            <w:pPr>
              <w:spacing w:after="20" w:line="252" w:lineRule="auto"/>
              <w:jc w:val="center"/>
            </w:pPr>
            <w:r/>
            <w:r>
              <w:rPr>
                <w:sz w:val="20"/>
              </w:rPr>
              <w:t>0,9983</w:t>
            </w:r>
          </w:p>
        </w:tc>
      </w:tr>
      <w:tr>
        <w:trPr>
          <w:cantSplit/>
        </w:trPr>
        <w:tc>
          <w:tcPr>
            <w:tcW w:type="dxa" w:w="2551"/>
            <w:shd w:val="clear" w:color="auto" w:fill="FFF2CC"/>
          </w:tcPr>
          <w:p>
            <w:pPr>
              <w:spacing w:after="20" w:line="252" w:lineRule="auto"/>
              <w:jc w:val="left"/>
            </w:pPr>
            <w:r>
              <w:rPr>
                <w:b/>
              </w:rPr>
            </w:r>
            <w:r>
              <w:rPr>
                <w:b/>
                <w:sz w:val="20"/>
              </w:rPr>
              <w:t>ARIMA(3,1,1) – mô hình cuối</w:t>
            </w:r>
          </w:p>
        </w:tc>
        <w:tc>
          <w:tcPr>
            <w:tcW w:type="dxa" w:w="1020"/>
            <w:shd w:val="clear" w:color="auto" w:fill="FFF2CC"/>
          </w:tcPr>
          <w:p>
            <w:pPr>
              <w:spacing w:after="20" w:line="252" w:lineRule="auto"/>
              <w:jc w:val="center"/>
            </w:pPr>
            <w:r>
              <w:rPr>
                <w:b/>
              </w:rPr>
            </w:r>
            <w:r>
              <w:rPr>
                <w:b/>
                <w:sz w:val="20"/>
              </w:rPr>
              <w:t>18,7363</w:t>
            </w:r>
          </w:p>
        </w:tc>
        <w:tc>
          <w:tcPr>
            <w:tcW w:type="dxa" w:w="1020"/>
            <w:shd w:val="clear" w:color="auto" w:fill="FFF2CC"/>
          </w:tcPr>
          <w:p>
            <w:pPr>
              <w:spacing w:after="20" w:line="252" w:lineRule="auto"/>
              <w:jc w:val="center"/>
            </w:pPr>
            <w:r>
              <w:rPr>
                <w:b/>
              </w:rPr>
            </w:r>
            <w:r>
              <w:rPr>
                <w:b/>
                <w:sz w:val="20"/>
              </w:rPr>
              <w:t>30,4392</w:t>
            </w:r>
          </w:p>
        </w:tc>
        <w:tc>
          <w:tcPr>
            <w:tcW w:type="dxa" w:w="1077"/>
            <w:shd w:val="clear" w:color="auto" w:fill="FFF2CC"/>
          </w:tcPr>
          <w:p>
            <w:pPr>
              <w:spacing w:after="20" w:line="252" w:lineRule="auto"/>
              <w:jc w:val="center"/>
            </w:pPr>
            <w:r>
              <w:rPr>
                <w:b/>
              </w:rPr>
            </w:r>
            <w:r>
              <w:rPr>
                <w:b/>
                <w:sz w:val="20"/>
              </w:rPr>
              <w:t>0,0716</w:t>
            </w:r>
          </w:p>
        </w:tc>
        <w:tc>
          <w:tcPr>
            <w:tcW w:type="dxa" w:w="1077"/>
            <w:shd w:val="clear" w:color="auto" w:fill="FFF2CC"/>
          </w:tcPr>
          <w:p>
            <w:pPr>
              <w:spacing w:after="20" w:line="252" w:lineRule="auto"/>
              <w:jc w:val="center"/>
            </w:pPr>
            <w:r>
              <w:rPr>
                <w:b/>
              </w:rPr>
            </w:r>
            <w:r>
              <w:rPr>
                <w:b/>
                <w:sz w:val="20"/>
              </w:rPr>
              <w:t>0,0716</w:t>
            </w:r>
          </w:p>
        </w:tc>
        <w:tc>
          <w:tcPr>
            <w:tcW w:type="dxa" w:w="1020"/>
            <w:shd w:val="clear" w:color="auto" w:fill="FFF2CC"/>
          </w:tcPr>
          <w:p>
            <w:pPr>
              <w:spacing w:after="20" w:line="252" w:lineRule="auto"/>
              <w:jc w:val="center"/>
            </w:pPr>
            <w:r>
              <w:rPr>
                <w:b/>
              </w:rPr>
            </w:r>
            <w:r>
              <w:rPr>
                <w:b/>
                <w:sz w:val="20"/>
              </w:rPr>
              <w:t>1,0258</w:t>
            </w:r>
          </w:p>
        </w:tc>
        <w:tc>
          <w:tcPr>
            <w:tcW w:type="dxa" w:w="1304"/>
            <w:shd w:val="clear" w:color="auto" w:fill="FFF2CC"/>
          </w:tcPr>
          <w:p>
            <w:pPr>
              <w:spacing w:after="20" w:line="252" w:lineRule="auto"/>
              <w:jc w:val="center"/>
            </w:pPr>
            <w:r>
              <w:rPr>
                <w:b/>
              </w:rPr>
            </w:r>
            <w:r>
              <w:rPr>
                <w:b/>
                <w:sz w:val="20"/>
              </w:rPr>
              <w:t>1,0128</w:t>
            </w:r>
          </w:p>
        </w:tc>
      </w:tr>
      <w:tr>
        <w:trPr>
          <w:cantSplit/>
        </w:trPr>
        <w:tc>
          <w:tcPr>
            <w:tcW w:type="dxa" w:w="2551"/>
          </w:tcPr>
          <w:p>
            <w:pPr>
              <w:spacing w:after="20" w:line="252" w:lineRule="auto"/>
              <w:jc w:val="left"/>
            </w:pPr>
            <w:r/>
            <w:r>
              <w:rPr>
                <w:sz w:val="20"/>
              </w:rPr>
              <w:t>ARIMA(3,1,4) – AIC</w:t>
            </w:r>
          </w:p>
        </w:tc>
        <w:tc>
          <w:tcPr>
            <w:tcW w:type="dxa" w:w="1020"/>
          </w:tcPr>
          <w:p>
            <w:pPr>
              <w:spacing w:after="20" w:line="252" w:lineRule="auto"/>
              <w:jc w:val="center"/>
            </w:pPr>
            <w:r/>
            <w:r>
              <w:rPr>
                <w:sz w:val="20"/>
              </w:rPr>
              <w:t>18,6571</w:t>
            </w:r>
          </w:p>
        </w:tc>
        <w:tc>
          <w:tcPr>
            <w:tcW w:type="dxa" w:w="1020"/>
          </w:tcPr>
          <w:p>
            <w:pPr>
              <w:spacing w:after="20" w:line="252" w:lineRule="auto"/>
              <w:jc w:val="center"/>
            </w:pPr>
            <w:r/>
            <w:r>
              <w:rPr>
                <w:sz w:val="20"/>
              </w:rPr>
              <w:t>30,3403</w:t>
            </w:r>
          </w:p>
        </w:tc>
        <w:tc>
          <w:tcPr>
            <w:tcW w:type="dxa" w:w="1077"/>
          </w:tcPr>
          <w:p>
            <w:pPr>
              <w:spacing w:after="20" w:line="252" w:lineRule="auto"/>
              <w:jc w:val="center"/>
            </w:pPr>
            <w:r/>
            <w:r>
              <w:rPr>
                <w:sz w:val="20"/>
              </w:rPr>
              <w:t>0,0713</w:t>
            </w:r>
          </w:p>
        </w:tc>
        <w:tc>
          <w:tcPr>
            <w:tcW w:type="dxa" w:w="1077"/>
          </w:tcPr>
          <w:p>
            <w:pPr>
              <w:spacing w:after="20" w:line="252" w:lineRule="auto"/>
              <w:jc w:val="center"/>
            </w:pPr>
            <w:r/>
            <w:r>
              <w:rPr>
                <w:sz w:val="20"/>
              </w:rPr>
              <w:t>0,0713</w:t>
            </w:r>
          </w:p>
        </w:tc>
        <w:tc>
          <w:tcPr>
            <w:tcW w:type="dxa" w:w="1020"/>
          </w:tcPr>
          <w:p>
            <w:pPr>
              <w:spacing w:after="20" w:line="252" w:lineRule="auto"/>
              <w:jc w:val="center"/>
            </w:pPr>
            <w:r/>
            <w:r>
              <w:rPr>
                <w:sz w:val="20"/>
              </w:rPr>
              <w:t>1,0214</w:t>
            </w:r>
          </w:p>
        </w:tc>
        <w:tc>
          <w:tcPr>
            <w:tcW w:type="dxa" w:w="1304"/>
          </w:tcPr>
          <w:p>
            <w:pPr>
              <w:spacing w:after="20" w:line="252" w:lineRule="auto"/>
              <w:jc w:val="center"/>
            </w:pPr>
            <w:r/>
            <w:r>
              <w:rPr>
                <w:sz w:val="20"/>
              </w:rPr>
              <w:t>1,0095</w:t>
            </w:r>
          </w:p>
        </w:tc>
      </w:tr>
      <w:tr>
        <w:trPr>
          <w:cantSplit/>
        </w:trPr>
        <w:tc>
          <w:tcPr>
            <w:tcW w:type="dxa" w:w="2551"/>
          </w:tcPr>
          <w:p>
            <w:pPr>
              <w:spacing w:after="20" w:line="252" w:lineRule="auto"/>
              <w:jc w:val="left"/>
            </w:pPr>
            <w:r/>
            <w:r>
              <w:rPr>
                <w:sz w:val="20"/>
              </w:rPr>
              <w:t>Kalman Local Level (7.3)</w:t>
            </w:r>
          </w:p>
        </w:tc>
        <w:tc>
          <w:tcPr>
            <w:tcW w:type="dxa" w:w="1020"/>
          </w:tcPr>
          <w:p>
            <w:pPr>
              <w:spacing w:after="20" w:line="252" w:lineRule="auto"/>
              <w:jc w:val="center"/>
            </w:pPr>
            <w:r/>
            <w:r>
              <w:rPr>
                <w:sz w:val="20"/>
              </w:rPr>
              <w:t>18,5678</w:t>
            </w:r>
          </w:p>
        </w:tc>
        <w:tc>
          <w:tcPr>
            <w:tcW w:type="dxa" w:w="1020"/>
          </w:tcPr>
          <w:p>
            <w:pPr>
              <w:spacing w:after="20" w:line="252" w:lineRule="auto"/>
              <w:jc w:val="center"/>
            </w:pPr>
            <w:r/>
            <w:r>
              <w:rPr>
                <w:sz w:val="20"/>
              </w:rPr>
              <w:t>30,0545</w:t>
            </w:r>
          </w:p>
        </w:tc>
        <w:tc>
          <w:tcPr>
            <w:tcW w:type="dxa" w:w="1077"/>
          </w:tcPr>
          <w:p>
            <w:pPr>
              <w:spacing w:after="20" w:line="252" w:lineRule="auto"/>
              <w:jc w:val="center"/>
            </w:pPr>
            <w:r/>
            <w:r>
              <w:rPr>
                <w:sz w:val="20"/>
              </w:rPr>
              <w:t>0,0709</w:t>
            </w:r>
          </w:p>
        </w:tc>
        <w:tc>
          <w:tcPr>
            <w:tcW w:type="dxa" w:w="1077"/>
          </w:tcPr>
          <w:p>
            <w:pPr>
              <w:spacing w:after="20" w:line="252" w:lineRule="auto"/>
              <w:jc w:val="center"/>
            </w:pPr>
            <w:r/>
            <w:r>
              <w:rPr>
                <w:sz w:val="20"/>
              </w:rPr>
              <w:t>0,0709</w:t>
            </w:r>
          </w:p>
        </w:tc>
        <w:tc>
          <w:tcPr>
            <w:tcW w:type="dxa" w:w="1020"/>
          </w:tcPr>
          <w:p>
            <w:pPr>
              <w:spacing w:after="20" w:line="252" w:lineRule="auto"/>
              <w:jc w:val="center"/>
            </w:pPr>
            <w:r/>
            <w:r>
              <w:rPr>
                <w:sz w:val="20"/>
              </w:rPr>
              <w:t>1,0166</w:t>
            </w:r>
          </w:p>
        </w:tc>
        <w:tc>
          <w:tcPr>
            <w:tcW w:type="dxa" w:w="1304"/>
          </w:tcPr>
          <w:p>
            <w:pPr>
              <w:spacing w:after="20" w:line="252" w:lineRule="auto"/>
              <w:jc w:val="center"/>
            </w:pPr>
            <w:r/>
            <w:r>
              <w:rPr>
                <w:sz w:val="20"/>
              </w:rPr>
              <w:t>1,0000</w:t>
            </w:r>
          </w:p>
        </w:tc>
      </w:tr>
    </w:tbl>
    <w:p>
      <w:pPr>
        <w:spacing w:after="0"/>
      </w:pPr>
    </w:p>
    <w:p>
      <w:pPr>
        <w:jc w:val="both"/>
      </w:pPr>
      <w:r>
        <w:t>Trên 175 phiên Test, ARIMA(3,1,1) đạt MAE 18,7363 và RMSE 30,4392 VND/USD, so với 18,5629 và 30,0534 của Naive. Relative RMSE bằng 1,0128, tức RMSE cao hơn Naive 1,28%. ARIMA(3,1,4) cho kết quả gần tương tự (1,0095); chỉ ARIMA(1,1,1) có RMSE thấp hơn Naive về số học (0,9983), nhưng MAE lại cao hơn. MAE của Naive luôn thấp nhất vì khoảng 10% số phiên Test có giá không đổi: ở các phiên này Naive dự báo đúng tuyệt đối, còn ARIMA vẫn dự báo một thay đổi nhỏ khác 0. MAPE chỉ khoảng 0,071% ở mọi mô hình do sai số được chia cho mức giá khoảng 26.000 VND/USD, nên chỉ số này không phản ánh khả năng dự báo biến động.</w:t>
      </w:r>
    </w:p>
    <w:p>
      <w:pPr>
        <w:keepNext/>
        <w:jc w:val="center"/>
      </w:pPr>
      <w:r>
        <w:drawing>
          <wp:inline xmlns:a="http://schemas.openxmlformats.org/drawingml/2006/main" xmlns:pic="http://schemas.openxmlformats.org/drawingml/2006/picture">
            <wp:extent cx="5760000" cy="2304000"/>
            <wp:docPr id="3" name="Picture 3"/>
            <wp:cNvGraphicFramePr>
              <a:graphicFrameLocks noChangeAspect="1"/>
            </wp:cNvGraphicFramePr>
            <a:graphic>
              <a:graphicData uri="http://schemas.openxmlformats.org/drawingml/2006/picture">
                <pic:pic>
                  <pic:nvPicPr>
                    <pic:cNvPr id="0" name="23_arima_relative_three_sets.png"/>
                    <pic:cNvPicPr/>
                  </pic:nvPicPr>
                  <pic:blipFill>
                    <a:blip r:embed="rId11"/>
                    <a:stretch>
                      <a:fillRect/>
                    </a:stretch>
                  </pic:blipFill>
                  <pic:spPr>
                    <a:xfrm>
                      <a:off x="0" y="0"/>
                      <a:ext cx="5760000" cy="2304000"/>
                    </a:xfrm>
                    <a:prstGeom prst="rect"/>
                  </pic:spPr>
                </pic:pic>
              </a:graphicData>
            </a:graphic>
          </wp:inline>
        </w:drawing>
      </w:r>
    </w:p>
    <w:p>
      <w:pPr>
        <w:jc w:val="center"/>
      </w:pPr>
      <w:r>
        <w:rPr>
          <w:i/>
          <w:sz w:val="20"/>
        </w:rPr>
        <w:t xml:space="preserve">Hình P1.3. </w:t>
      </w:r>
      <w:r>
        <w:rPr>
          <w:sz w:val="20"/>
        </w:rPr>
        <w:t>Tỷ số RMSE và MAE so với Naive của ba cấu hình ARIMA trên Train, Validation và Test (dự báo một bước, tham số cố định).</w:t>
      </w:r>
    </w:p>
    <w:p>
      <w:pPr>
        <w:jc w:val="both"/>
      </w:pPr>
      <w:r>
        <w:t>Hình P1.3 đặt kết quả Test cạnh Train và Validation. Theo RMSE, ARIMA(3,1,1) tốt hơn Naive 2,3% trong mẫu (0,977). Lợi thế này thu hẹp còn 0,3% trên Validation (0,997) và đảo chiều trên Test (1,013). ARIMA(3,1,4) có cùng xu hướng; mô hình càng nhiều tham số thì lợi thế trong mẫu càng lớn và mức suy giảm ngoài mẫu càng mạnh. ARIMA(1,1,1) gần như không đổi quanh 0,99–1,00. Theo MAE, cả ba cấu hình đều kém Naive trên mọi tập, cao nhất trên Validation (khoảng 1,03), vì Naive dự báo đúng tuyệt đối ở các phiên giá đứng yên. Như vậy, cấu trúc ARMA ước lượng được chủ yếu phản ánh đặc điểm của mẫu 2016–2024, không phải quy luật bền vững cho dự báo.</w:t>
      </w:r>
    </w:p>
    <w:p>
      <w:pPr>
        <w:keepNext/>
        <w:jc w:val="center"/>
      </w:pPr>
      <w:r>
        <w:drawing>
          <wp:inline xmlns:a="http://schemas.openxmlformats.org/drawingml/2006/main" xmlns:pic="http://schemas.openxmlformats.org/drawingml/2006/picture">
            <wp:extent cx="5760000" cy="2880000"/>
            <wp:docPr id="4" name="Picture 4"/>
            <wp:cNvGraphicFramePr>
              <a:graphicFrameLocks noChangeAspect="1"/>
            </wp:cNvGraphicFramePr>
            <a:graphic>
              <a:graphicData uri="http://schemas.openxmlformats.org/drawingml/2006/picture">
                <pic:pic>
                  <pic:nvPicPr>
                    <pic:cNvPr id="0" name="15_arima_onestep_test.png"/>
                    <pic:cNvPicPr/>
                  </pic:nvPicPr>
                  <pic:blipFill>
                    <a:blip r:embed="rId12"/>
                    <a:stretch>
                      <a:fillRect/>
                    </a:stretch>
                  </pic:blipFill>
                  <pic:spPr>
                    <a:xfrm>
                      <a:off x="0" y="0"/>
                      <a:ext cx="5760000" cy="2880000"/>
                    </a:xfrm>
                    <a:prstGeom prst="rect"/>
                  </pic:spPr>
                </pic:pic>
              </a:graphicData>
            </a:graphic>
          </wp:inline>
        </w:drawing>
      </w:r>
    </w:p>
    <w:p>
      <w:pPr>
        <w:jc w:val="center"/>
      </w:pPr>
      <w:r>
        <w:rPr>
          <w:i/>
          <w:sz w:val="20"/>
        </w:rPr>
        <w:t xml:space="preserve">Hình P1.4. </w:t>
      </w:r>
      <w:r>
        <w:rPr>
          <w:sz w:val="20"/>
        </w:rPr>
        <w:t>Giá thực tế, dự báo rolling one-step của ARIMA(3,1,1) và khoảng dự báo 95% trên Test 2026.</w:t>
      </w:r>
    </w:p>
    <w:p>
      <w:pPr>
        <w:jc w:val="both"/>
      </w:pPr>
      <w:r>
        <w:t>Hình P1.4 cho thấy đường dự báo gần như đi theo giá phiên trước, trễ một phiên; ở các cú nhảy cuối tháng 1, cuối tháng 2 và giữa tháng 8/2026, mô hình chỉ điều chỉnh sau khi cú sốc đã xảy ra. Về hướng biến động, ARIMA(3,1,1) đúng 52,00% trên mọi phiên và 57,96% (91/157) trên các phiên có thay đổi giá. Tuy nhiên Test có 87 phiên giảm và 70 phiên tăng, nên quy tắc luôn đoán giảm đã đạt 55,41%. So với mốc này, ARIMA(3,1,1) chỉ cao hơn 2,5 điểm phần trăm và không có ý nghĩa thống kê (kiểm định nhị thức một phía p = 0,288; so với 50% p = 0,055). Trên Validation, DA chỉ đạt 45,42%, thấp hơn cả mốc đa số 51,67%. Do đó, mô hình không cho thấy khả năng dự báo hướng ổn định. Với ARIMA(1,1,1) và ARIMA(3,1,4), DA trên Test lần lượt là 50,32% và 62,42%; tỷ lệ của ARIMA(3,1,4) vượt mốc đa số ở mức 5% (p = 0,045) nhưng không lặp lại trên Validation (45,00%), nên nhiều khả năng chỉ phản ánh đặc điểm riêng của giai đoạn Test.</w:t>
      </w:r>
    </w:p>
    <w:p>
      <w:pPr>
        <w:pStyle w:val="Heading3"/>
      </w:pPr>
      <w:r>
        <w:t>7.1.6. Đánh giá khoảng dự báo và kiểm định khác biệt dự báo</w:t>
      </w:r>
    </w:p>
    <w:p>
      <w:pPr>
        <w:jc w:val="both"/>
      </w:pPr>
      <w:r>
        <w:t>Khoảng 95% của ARIMA(3,1,1) chứa 167/175 quan sát Test (95,43%), với độ rộng trung bình 139,21 VND/USD, hẹp hơn Naive khoảng 2,8 VND (Bảng P1.6). Trên Validation, độ phủ thấp hơn danh nghĩa (91,60%) vì năm 2025 biến động mạnh hơn mức σ ước lượng trên Train. Interval score của ARIMA tốt hơn Naive trên Validation nhưng kém hơn trên Test, nên khoảng dự báo cũng không vượt trội một cách nhất quán.</w:t>
      </w:r>
    </w:p>
    <w:p>
      <w:pPr>
        <w:keepNext/>
        <w:spacing w:before="120"/>
      </w:pPr>
      <w:r>
        <w:rPr>
          <w:b/>
        </w:rPr>
        <w:t xml:space="preserve">Bảng P1.6. </w:t>
      </w:r>
      <w:r>
        <w:t>Chất lượng khoảng dự báo danh nghĩa 95% (VND/USD)</w:t>
      </w:r>
    </w:p>
    <w:tbl>
      <w:tblPr>
        <w:tblStyle w:val="TableGrid"/>
        <w:tblW w:type="auto" w:w="0"/>
        <w:jc w:val="center"/>
        <w:tblLook w:firstColumn="1" w:firstRow="1" w:lastColumn="0" w:lastRow="0" w:noHBand="0" w:noVBand="1" w:val="04A0"/>
      </w:tblPr>
      <w:tblGrid>
        <w:gridCol w:w="1300"/>
        <w:gridCol w:w="1300"/>
        <w:gridCol w:w="1300"/>
        <w:gridCol w:w="1300"/>
        <w:gridCol w:w="1300"/>
        <w:gridCol w:w="1300"/>
        <w:gridCol w:w="1300"/>
      </w:tblGrid>
      <w:tr>
        <w:trPr>
          <w:cantSplit/>
          <w:tblHeader/>
        </w:trPr>
        <w:tc>
          <w:tcPr>
            <w:tcW w:type="dxa" w:w="1587"/>
            <w:shd w:val="clear" w:color="auto" w:fill="DCE6F1"/>
          </w:tcPr>
          <w:p>
            <w:pPr>
              <w:spacing w:after="20" w:line="252" w:lineRule="auto"/>
              <w:jc w:val="left"/>
            </w:pPr>
            <w:r>
              <w:rPr>
                <w:b/>
              </w:rPr>
            </w:r>
            <w:r>
              <w:rPr>
                <w:b/>
                <w:sz w:val="20"/>
              </w:rPr>
              <w:t>Mô hình</w:t>
            </w:r>
          </w:p>
        </w:tc>
        <w:tc>
          <w:tcPr>
            <w:tcW w:type="dxa" w:w="1134"/>
            <w:shd w:val="clear" w:color="auto" w:fill="DCE6F1"/>
          </w:tcPr>
          <w:p>
            <w:pPr>
              <w:spacing w:after="20" w:line="252" w:lineRule="auto"/>
              <w:jc w:val="center"/>
            </w:pPr>
            <w:r>
              <w:rPr>
                <w:b/>
              </w:rPr>
            </w:r>
            <w:r>
              <w:rPr>
                <w:b/>
                <w:sz w:val="20"/>
              </w:rPr>
              <w:t>Val: Coverage</w:t>
            </w:r>
          </w:p>
        </w:tc>
        <w:tc>
          <w:tcPr>
            <w:tcW w:type="dxa" w:w="1134"/>
            <w:shd w:val="clear" w:color="auto" w:fill="DCE6F1"/>
          </w:tcPr>
          <w:p>
            <w:pPr>
              <w:spacing w:after="20" w:line="252" w:lineRule="auto"/>
              <w:jc w:val="center"/>
            </w:pPr>
            <w:r>
              <w:rPr>
                <w:b/>
              </w:rPr>
            </w:r>
            <w:r>
              <w:rPr>
                <w:b/>
                <w:sz w:val="20"/>
              </w:rPr>
              <w:t>Val: Width</w:t>
            </w:r>
          </w:p>
        </w:tc>
        <w:tc>
          <w:tcPr>
            <w:tcW w:type="dxa" w:w="1361"/>
            <w:shd w:val="clear" w:color="auto" w:fill="DCE6F1"/>
          </w:tcPr>
          <w:p>
            <w:pPr>
              <w:spacing w:after="20" w:line="252" w:lineRule="auto"/>
              <w:jc w:val="center"/>
            </w:pPr>
            <w:r>
              <w:rPr>
                <w:b/>
              </w:rPr>
            </w:r>
            <w:r>
              <w:rPr>
                <w:b/>
                <w:sz w:val="20"/>
              </w:rPr>
              <w:t>Val: Interval score</w:t>
            </w:r>
          </w:p>
        </w:tc>
        <w:tc>
          <w:tcPr>
            <w:tcW w:type="dxa" w:w="1191"/>
            <w:shd w:val="clear" w:color="auto" w:fill="DCE6F1"/>
          </w:tcPr>
          <w:p>
            <w:pPr>
              <w:spacing w:after="20" w:line="252" w:lineRule="auto"/>
              <w:jc w:val="center"/>
            </w:pPr>
            <w:r>
              <w:rPr>
                <w:b/>
              </w:rPr>
            </w:r>
            <w:r>
              <w:rPr>
                <w:b/>
                <w:sz w:val="20"/>
              </w:rPr>
              <w:t>Test: Coverage</w:t>
            </w:r>
          </w:p>
        </w:tc>
        <w:tc>
          <w:tcPr>
            <w:tcW w:type="dxa" w:w="1191"/>
            <w:shd w:val="clear" w:color="auto" w:fill="DCE6F1"/>
          </w:tcPr>
          <w:p>
            <w:pPr>
              <w:spacing w:after="20" w:line="252" w:lineRule="auto"/>
              <w:jc w:val="center"/>
            </w:pPr>
            <w:r>
              <w:rPr>
                <w:b/>
              </w:rPr>
            </w:r>
            <w:r>
              <w:rPr>
                <w:b/>
                <w:sz w:val="20"/>
              </w:rPr>
              <w:t>Test: Width</w:t>
            </w:r>
          </w:p>
        </w:tc>
        <w:tc>
          <w:tcPr>
            <w:tcW w:type="dxa" w:w="1474"/>
            <w:shd w:val="clear" w:color="auto" w:fill="DCE6F1"/>
          </w:tcPr>
          <w:p>
            <w:pPr>
              <w:spacing w:after="20" w:line="252" w:lineRule="auto"/>
              <w:jc w:val="center"/>
            </w:pPr>
            <w:r>
              <w:rPr>
                <w:b/>
              </w:rPr>
            </w:r>
            <w:r>
              <w:rPr>
                <w:b/>
                <w:sz w:val="20"/>
              </w:rPr>
              <w:t>Test: Interval score</w:t>
            </w:r>
          </w:p>
        </w:tc>
      </w:tr>
      <w:tr>
        <w:trPr>
          <w:cantSplit/>
        </w:trPr>
        <w:tc>
          <w:tcPr>
            <w:tcW w:type="dxa" w:w="1587"/>
          </w:tcPr>
          <w:p>
            <w:pPr>
              <w:spacing w:after="20" w:line="252" w:lineRule="auto"/>
              <w:jc w:val="left"/>
            </w:pPr>
            <w:r/>
            <w:r>
              <w:rPr>
                <w:sz w:val="20"/>
              </w:rPr>
              <w:t>Naive</w:t>
            </w:r>
          </w:p>
        </w:tc>
        <w:tc>
          <w:tcPr>
            <w:tcW w:type="dxa" w:w="1134"/>
          </w:tcPr>
          <w:p>
            <w:pPr>
              <w:spacing w:after="20" w:line="252" w:lineRule="auto"/>
              <w:jc w:val="center"/>
            </w:pPr>
            <w:r/>
            <w:r>
              <w:rPr>
                <w:sz w:val="20"/>
              </w:rPr>
              <w:t>92,37%</w:t>
            </w:r>
          </w:p>
        </w:tc>
        <w:tc>
          <w:tcPr>
            <w:tcW w:type="dxa" w:w="1134"/>
          </w:tcPr>
          <w:p>
            <w:pPr>
              <w:spacing w:after="20" w:line="252" w:lineRule="auto"/>
              <w:jc w:val="center"/>
            </w:pPr>
            <w:r/>
            <w:r>
              <w:rPr>
                <w:sz w:val="20"/>
              </w:rPr>
              <w:t>136,69</w:t>
            </w:r>
          </w:p>
        </w:tc>
        <w:tc>
          <w:tcPr>
            <w:tcW w:type="dxa" w:w="1361"/>
          </w:tcPr>
          <w:p>
            <w:pPr>
              <w:spacing w:after="20" w:line="252" w:lineRule="auto"/>
              <w:jc w:val="center"/>
            </w:pPr>
            <w:r/>
            <w:r>
              <w:rPr>
                <w:sz w:val="20"/>
              </w:rPr>
              <w:t>310,61</w:t>
            </w:r>
          </w:p>
        </w:tc>
        <w:tc>
          <w:tcPr>
            <w:tcW w:type="dxa" w:w="1191"/>
          </w:tcPr>
          <w:p>
            <w:pPr>
              <w:spacing w:after="20" w:line="252" w:lineRule="auto"/>
              <w:jc w:val="center"/>
            </w:pPr>
            <w:r/>
            <w:r>
              <w:rPr>
                <w:sz w:val="20"/>
              </w:rPr>
              <w:t>94,86%</w:t>
            </w:r>
          </w:p>
        </w:tc>
        <w:tc>
          <w:tcPr>
            <w:tcW w:type="dxa" w:w="1191"/>
          </w:tcPr>
          <w:p>
            <w:pPr>
              <w:spacing w:after="20" w:line="252" w:lineRule="auto"/>
              <w:jc w:val="center"/>
            </w:pPr>
            <w:r/>
            <w:r>
              <w:rPr>
                <w:sz w:val="20"/>
              </w:rPr>
              <w:t>141,96</w:t>
            </w:r>
          </w:p>
        </w:tc>
        <w:tc>
          <w:tcPr>
            <w:tcW w:type="dxa" w:w="1474"/>
          </w:tcPr>
          <w:p>
            <w:pPr>
              <w:spacing w:after="20" w:line="252" w:lineRule="auto"/>
              <w:jc w:val="center"/>
            </w:pPr>
            <w:r/>
            <w:r>
              <w:rPr>
                <w:sz w:val="20"/>
              </w:rPr>
              <w:t>195,10</w:t>
            </w:r>
          </w:p>
        </w:tc>
      </w:tr>
      <w:tr>
        <w:trPr>
          <w:cantSplit/>
        </w:trPr>
        <w:tc>
          <w:tcPr>
            <w:tcW w:type="dxa" w:w="1587"/>
          </w:tcPr>
          <w:p>
            <w:pPr>
              <w:spacing w:after="20" w:line="252" w:lineRule="auto"/>
              <w:jc w:val="left"/>
            </w:pPr>
            <w:r/>
            <w:r>
              <w:rPr>
                <w:sz w:val="20"/>
              </w:rPr>
              <w:t>ARIMA(1,1,1)</w:t>
            </w:r>
          </w:p>
        </w:tc>
        <w:tc>
          <w:tcPr>
            <w:tcW w:type="dxa" w:w="1134"/>
          </w:tcPr>
          <w:p>
            <w:pPr>
              <w:spacing w:after="20" w:line="252" w:lineRule="auto"/>
              <w:jc w:val="center"/>
            </w:pPr>
            <w:r/>
            <w:r>
              <w:rPr>
                <w:sz w:val="20"/>
              </w:rPr>
              <w:t>92,75%</w:t>
            </w:r>
          </w:p>
        </w:tc>
        <w:tc>
          <w:tcPr>
            <w:tcW w:type="dxa" w:w="1134"/>
          </w:tcPr>
          <w:p>
            <w:pPr>
              <w:spacing w:after="20" w:line="252" w:lineRule="auto"/>
              <w:jc w:val="center"/>
            </w:pPr>
            <w:r/>
            <w:r>
              <w:rPr>
                <w:sz w:val="20"/>
              </w:rPr>
              <w:t>135,67</w:t>
            </w:r>
          </w:p>
        </w:tc>
        <w:tc>
          <w:tcPr>
            <w:tcW w:type="dxa" w:w="1361"/>
          </w:tcPr>
          <w:p>
            <w:pPr>
              <w:spacing w:after="20" w:line="252" w:lineRule="auto"/>
              <w:jc w:val="center"/>
            </w:pPr>
            <w:r/>
            <w:r>
              <w:rPr>
                <w:sz w:val="20"/>
              </w:rPr>
              <w:t>311,17</w:t>
            </w:r>
          </w:p>
        </w:tc>
        <w:tc>
          <w:tcPr>
            <w:tcW w:type="dxa" w:w="1191"/>
          </w:tcPr>
          <w:p>
            <w:pPr>
              <w:spacing w:after="20" w:line="252" w:lineRule="auto"/>
              <w:jc w:val="center"/>
            </w:pPr>
            <w:r/>
            <w:r>
              <w:rPr>
                <w:sz w:val="20"/>
              </w:rPr>
              <w:t>96,00%</w:t>
            </w:r>
          </w:p>
        </w:tc>
        <w:tc>
          <w:tcPr>
            <w:tcW w:type="dxa" w:w="1191"/>
          </w:tcPr>
          <w:p>
            <w:pPr>
              <w:spacing w:after="20" w:line="252" w:lineRule="auto"/>
              <w:jc w:val="center"/>
            </w:pPr>
            <w:r/>
            <w:r>
              <w:rPr>
                <w:sz w:val="20"/>
              </w:rPr>
              <w:t>141,00</w:t>
            </w:r>
          </w:p>
        </w:tc>
        <w:tc>
          <w:tcPr>
            <w:tcW w:type="dxa" w:w="1474"/>
          </w:tcPr>
          <w:p>
            <w:pPr>
              <w:spacing w:after="20" w:line="252" w:lineRule="auto"/>
              <w:jc w:val="center"/>
            </w:pPr>
            <w:r/>
            <w:r>
              <w:rPr>
                <w:sz w:val="20"/>
              </w:rPr>
              <w:t>195,87</w:t>
            </w:r>
          </w:p>
        </w:tc>
      </w:tr>
      <w:tr>
        <w:trPr>
          <w:cantSplit/>
        </w:trPr>
        <w:tc>
          <w:tcPr>
            <w:tcW w:type="dxa" w:w="1587"/>
            <w:shd w:val="clear" w:color="auto" w:fill="FFF2CC"/>
          </w:tcPr>
          <w:p>
            <w:pPr>
              <w:spacing w:after="20" w:line="252" w:lineRule="auto"/>
              <w:jc w:val="left"/>
            </w:pPr>
            <w:r>
              <w:rPr>
                <w:b/>
              </w:rPr>
            </w:r>
            <w:r>
              <w:rPr>
                <w:b/>
                <w:sz w:val="20"/>
              </w:rPr>
              <w:t>ARIMA(3,1,1)</w:t>
            </w:r>
          </w:p>
        </w:tc>
        <w:tc>
          <w:tcPr>
            <w:tcW w:type="dxa" w:w="1134"/>
            <w:shd w:val="clear" w:color="auto" w:fill="FFF2CC"/>
          </w:tcPr>
          <w:p>
            <w:pPr>
              <w:spacing w:after="20" w:line="252" w:lineRule="auto"/>
              <w:jc w:val="center"/>
            </w:pPr>
            <w:r>
              <w:rPr>
                <w:b/>
              </w:rPr>
            </w:r>
            <w:r>
              <w:rPr>
                <w:b/>
                <w:sz w:val="20"/>
              </w:rPr>
              <w:t>91,60%</w:t>
            </w:r>
          </w:p>
        </w:tc>
        <w:tc>
          <w:tcPr>
            <w:tcW w:type="dxa" w:w="1134"/>
            <w:shd w:val="clear" w:color="auto" w:fill="FFF2CC"/>
          </w:tcPr>
          <w:p>
            <w:pPr>
              <w:spacing w:after="20" w:line="252" w:lineRule="auto"/>
              <w:jc w:val="center"/>
            </w:pPr>
            <w:r>
              <w:rPr>
                <w:b/>
              </w:rPr>
            </w:r>
            <w:r>
              <w:rPr>
                <w:b/>
                <w:sz w:val="20"/>
              </w:rPr>
              <w:t>133,70</w:t>
            </w:r>
          </w:p>
        </w:tc>
        <w:tc>
          <w:tcPr>
            <w:tcW w:type="dxa" w:w="1361"/>
            <w:shd w:val="clear" w:color="auto" w:fill="FFF2CC"/>
          </w:tcPr>
          <w:p>
            <w:pPr>
              <w:spacing w:after="20" w:line="252" w:lineRule="auto"/>
              <w:jc w:val="center"/>
            </w:pPr>
            <w:r>
              <w:rPr>
                <w:b/>
              </w:rPr>
            </w:r>
            <w:r>
              <w:rPr>
                <w:b/>
                <w:sz w:val="20"/>
              </w:rPr>
              <w:t>303,27</w:t>
            </w:r>
          </w:p>
        </w:tc>
        <w:tc>
          <w:tcPr>
            <w:tcW w:type="dxa" w:w="1191"/>
            <w:shd w:val="clear" w:color="auto" w:fill="FFF2CC"/>
          </w:tcPr>
          <w:p>
            <w:pPr>
              <w:spacing w:after="20" w:line="252" w:lineRule="auto"/>
              <w:jc w:val="center"/>
            </w:pPr>
            <w:r>
              <w:rPr>
                <w:b/>
              </w:rPr>
            </w:r>
            <w:r>
              <w:rPr>
                <w:b/>
                <w:sz w:val="20"/>
              </w:rPr>
              <w:t>95,43%</w:t>
            </w:r>
          </w:p>
        </w:tc>
        <w:tc>
          <w:tcPr>
            <w:tcW w:type="dxa" w:w="1191"/>
            <w:shd w:val="clear" w:color="auto" w:fill="FFF2CC"/>
          </w:tcPr>
          <w:p>
            <w:pPr>
              <w:spacing w:after="20" w:line="252" w:lineRule="auto"/>
              <w:jc w:val="center"/>
            </w:pPr>
            <w:r>
              <w:rPr>
                <w:b/>
              </w:rPr>
            </w:r>
            <w:r>
              <w:rPr>
                <w:b/>
                <w:sz w:val="20"/>
              </w:rPr>
              <w:t>139,21</w:t>
            </w:r>
          </w:p>
        </w:tc>
        <w:tc>
          <w:tcPr>
            <w:tcW w:type="dxa" w:w="1474"/>
            <w:shd w:val="clear" w:color="auto" w:fill="FFF2CC"/>
          </w:tcPr>
          <w:p>
            <w:pPr>
              <w:spacing w:after="20" w:line="252" w:lineRule="auto"/>
              <w:jc w:val="center"/>
            </w:pPr>
            <w:r>
              <w:rPr>
                <w:b/>
              </w:rPr>
            </w:r>
            <w:r>
              <w:rPr>
                <w:b/>
                <w:sz w:val="20"/>
              </w:rPr>
              <w:t>200,43</w:t>
            </w:r>
          </w:p>
        </w:tc>
      </w:tr>
      <w:tr>
        <w:trPr>
          <w:cantSplit/>
        </w:trPr>
        <w:tc>
          <w:tcPr>
            <w:tcW w:type="dxa" w:w="1587"/>
          </w:tcPr>
          <w:p>
            <w:pPr>
              <w:spacing w:after="20" w:line="252" w:lineRule="auto"/>
              <w:jc w:val="left"/>
            </w:pPr>
            <w:r/>
            <w:r>
              <w:rPr>
                <w:sz w:val="20"/>
              </w:rPr>
              <w:t>ARIMA(3,1,4)</w:t>
            </w:r>
          </w:p>
        </w:tc>
        <w:tc>
          <w:tcPr>
            <w:tcW w:type="dxa" w:w="1134"/>
          </w:tcPr>
          <w:p>
            <w:pPr>
              <w:spacing w:after="20" w:line="252" w:lineRule="auto"/>
              <w:jc w:val="center"/>
            </w:pPr>
            <w:r/>
            <w:r>
              <w:rPr>
                <w:sz w:val="20"/>
              </w:rPr>
              <w:t>91,98%</w:t>
            </w:r>
          </w:p>
        </w:tc>
        <w:tc>
          <w:tcPr>
            <w:tcW w:type="dxa" w:w="1134"/>
          </w:tcPr>
          <w:p>
            <w:pPr>
              <w:spacing w:after="20" w:line="252" w:lineRule="auto"/>
              <w:jc w:val="center"/>
            </w:pPr>
            <w:r/>
            <w:r>
              <w:rPr>
                <w:sz w:val="20"/>
              </w:rPr>
              <w:t>133,42</w:t>
            </w:r>
          </w:p>
        </w:tc>
        <w:tc>
          <w:tcPr>
            <w:tcW w:type="dxa" w:w="1361"/>
          </w:tcPr>
          <w:p>
            <w:pPr>
              <w:spacing w:after="20" w:line="252" w:lineRule="auto"/>
              <w:jc w:val="center"/>
            </w:pPr>
            <w:r/>
            <w:r>
              <w:rPr>
                <w:sz w:val="20"/>
              </w:rPr>
              <w:t>303,87</w:t>
            </w:r>
          </w:p>
        </w:tc>
        <w:tc>
          <w:tcPr>
            <w:tcW w:type="dxa" w:w="1191"/>
          </w:tcPr>
          <w:p>
            <w:pPr>
              <w:spacing w:after="20" w:line="252" w:lineRule="auto"/>
              <w:jc w:val="center"/>
            </w:pPr>
            <w:r/>
            <w:r>
              <w:rPr>
                <w:sz w:val="20"/>
              </w:rPr>
              <w:t>95,43%</w:t>
            </w:r>
          </w:p>
        </w:tc>
        <w:tc>
          <w:tcPr>
            <w:tcW w:type="dxa" w:w="1191"/>
          </w:tcPr>
          <w:p>
            <w:pPr>
              <w:spacing w:after="20" w:line="252" w:lineRule="auto"/>
              <w:jc w:val="center"/>
            </w:pPr>
            <w:r/>
            <w:r>
              <w:rPr>
                <w:sz w:val="20"/>
              </w:rPr>
              <w:t>138,86</w:t>
            </w:r>
          </w:p>
        </w:tc>
        <w:tc>
          <w:tcPr>
            <w:tcW w:type="dxa" w:w="1474"/>
          </w:tcPr>
          <w:p>
            <w:pPr>
              <w:spacing w:after="20" w:line="252" w:lineRule="auto"/>
              <w:jc w:val="center"/>
            </w:pPr>
            <w:r/>
            <w:r>
              <w:rPr>
                <w:sz w:val="20"/>
              </w:rPr>
              <w:t>200,81</w:t>
            </w:r>
          </w:p>
        </w:tc>
      </w:tr>
    </w:tbl>
    <w:p>
      <w:pPr>
        <w:spacing w:after="0"/>
      </w:pPr>
    </w:p>
    <w:p>
      <w:pPr>
        <w:keepNext/>
        <w:spacing w:before="120"/>
      </w:pPr>
      <w:r>
        <w:rPr>
          <w:b/>
        </w:rPr>
        <w:t xml:space="preserve">Bảng P1.7. </w:t>
      </w:r>
      <w:r>
        <w:t>Chênh lệch loss tỷ giá so với Naive: kiểm định HAC và khoảng tin cậy bootstrap 95%</w:t>
      </w:r>
    </w:p>
    <w:tbl>
      <w:tblPr>
        <w:tblStyle w:val="TableGrid"/>
        <w:tblW w:type="auto" w:w="0"/>
        <w:jc w:val="center"/>
        <w:tblLook w:firstColumn="1" w:firstRow="1" w:lastColumn="0" w:lastRow="0" w:noHBand="0" w:noVBand="1" w:val="04A0"/>
      </w:tblPr>
      <w:tblGrid>
        <w:gridCol w:w="1137"/>
        <w:gridCol w:w="1137"/>
        <w:gridCol w:w="1137"/>
        <w:gridCol w:w="1137"/>
        <w:gridCol w:w="1137"/>
        <w:gridCol w:w="1137"/>
        <w:gridCol w:w="1137"/>
        <w:gridCol w:w="1137"/>
      </w:tblGrid>
      <w:tr>
        <w:trPr>
          <w:cantSplit/>
          <w:tblHeader/>
        </w:trPr>
        <w:tc>
          <w:tcPr>
            <w:tcW w:type="dxa" w:w="567"/>
            <w:shd w:val="clear" w:color="auto" w:fill="DCE6F1"/>
          </w:tcPr>
          <w:p>
            <w:pPr>
              <w:spacing w:after="20" w:line="252" w:lineRule="auto"/>
              <w:jc w:val="left"/>
            </w:pPr>
            <w:r>
              <w:rPr>
                <w:b/>
              </w:rPr>
            </w:r>
            <w:r>
              <w:rPr>
                <w:b/>
                <w:sz w:val="18"/>
              </w:rPr>
              <w:t>Tập</w:t>
            </w:r>
          </w:p>
        </w:tc>
        <w:tc>
          <w:tcPr>
            <w:tcW w:type="dxa" w:w="1304"/>
            <w:shd w:val="clear" w:color="auto" w:fill="DCE6F1"/>
          </w:tcPr>
          <w:p>
            <w:pPr>
              <w:spacing w:after="20" w:line="252" w:lineRule="auto"/>
              <w:jc w:val="center"/>
            </w:pPr>
            <w:r>
              <w:rPr>
                <w:b/>
              </w:rPr>
            </w:r>
            <w:r>
              <w:rPr>
                <w:b/>
                <w:sz w:val="18"/>
              </w:rPr>
              <w:t>Mô hình</w:t>
            </w:r>
          </w:p>
        </w:tc>
        <w:tc>
          <w:tcPr>
            <w:tcW w:type="dxa" w:w="794"/>
            <w:shd w:val="clear" w:color="auto" w:fill="DCE6F1"/>
          </w:tcPr>
          <w:p>
            <w:pPr>
              <w:spacing w:after="20" w:line="252" w:lineRule="auto"/>
              <w:jc w:val="center"/>
            </w:pPr>
            <w:r>
              <w:rPr>
                <w:b/>
              </w:rPr>
            </w:r>
            <w:r>
              <w:rPr>
                <w:b/>
                <w:sz w:val="18"/>
              </w:rPr>
              <w:t>ΔMSE</w:t>
            </w:r>
          </w:p>
        </w:tc>
        <w:tc>
          <w:tcPr>
            <w:tcW w:type="dxa" w:w="1077"/>
            <w:shd w:val="clear" w:color="auto" w:fill="DCE6F1"/>
          </w:tcPr>
          <w:p>
            <w:pPr>
              <w:spacing w:after="20" w:line="252" w:lineRule="auto"/>
              <w:jc w:val="center"/>
            </w:pPr>
            <w:r>
              <w:rPr>
                <w:b/>
              </w:rPr>
            </w:r>
            <w:r>
              <w:rPr>
                <w:b/>
                <w:sz w:val="18"/>
              </w:rPr>
              <w:t>HAC p (bình phương)</w:t>
            </w:r>
          </w:p>
        </w:tc>
        <w:tc>
          <w:tcPr>
            <w:tcW w:type="dxa" w:w="794"/>
            <w:shd w:val="clear" w:color="auto" w:fill="DCE6F1"/>
          </w:tcPr>
          <w:p>
            <w:pPr>
              <w:spacing w:after="20" w:line="252" w:lineRule="auto"/>
              <w:jc w:val="center"/>
            </w:pPr>
            <w:r>
              <w:rPr>
                <w:b/>
              </w:rPr>
            </w:r>
            <w:r>
              <w:rPr>
                <w:b/>
                <w:sz w:val="18"/>
              </w:rPr>
              <w:t>ΔMAE</w:t>
            </w:r>
          </w:p>
        </w:tc>
        <w:tc>
          <w:tcPr>
            <w:tcW w:type="dxa" w:w="1077"/>
            <w:shd w:val="clear" w:color="auto" w:fill="DCE6F1"/>
          </w:tcPr>
          <w:p>
            <w:pPr>
              <w:spacing w:after="20" w:line="252" w:lineRule="auto"/>
              <w:jc w:val="center"/>
            </w:pPr>
            <w:r>
              <w:rPr>
                <w:b/>
              </w:rPr>
            </w:r>
            <w:r>
              <w:rPr>
                <w:b/>
                <w:sz w:val="18"/>
              </w:rPr>
              <w:t>HAC p (tuyệt đối)</w:t>
            </w:r>
          </w:p>
        </w:tc>
        <w:tc>
          <w:tcPr>
            <w:tcW w:type="dxa" w:w="1701"/>
            <w:shd w:val="clear" w:color="auto" w:fill="DCE6F1"/>
          </w:tcPr>
          <w:p>
            <w:pPr>
              <w:spacing w:after="20" w:line="252" w:lineRule="auto"/>
              <w:jc w:val="center"/>
            </w:pPr>
            <w:r>
              <w:rPr>
                <w:b/>
              </w:rPr>
            </w:r>
            <w:r>
              <w:rPr>
                <w:b/>
                <w:sz w:val="18"/>
              </w:rPr>
              <w:t>ΔRMSE [CI 95%]</w:t>
            </w:r>
          </w:p>
        </w:tc>
        <w:tc>
          <w:tcPr>
            <w:tcW w:type="dxa" w:w="1757"/>
            <w:shd w:val="clear" w:color="auto" w:fill="DCE6F1"/>
          </w:tcPr>
          <w:p>
            <w:pPr>
              <w:spacing w:after="20" w:line="252" w:lineRule="auto"/>
              <w:jc w:val="center"/>
            </w:pPr>
            <w:r>
              <w:rPr>
                <w:b/>
              </w:rPr>
            </w:r>
            <w:r>
              <w:rPr>
                <w:b/>
                <w:sz w:val="18"/>
              </w:rPr>
              <w:t>ΔMAE [CI 95%]</w:t>
            </w:r>
          </w:p>
        </w:tc>
      </w:tr>
      <w:tr>
        <w:trPr>
          <w:cantSplit/>
        </w:trPr>
        <w:tc>
          <w:tcPr>
            <w:tcW w:type="dxa" w:w="567"/>
          </w:tcPr>
          <w:p>
            <w:pPr>
              <w:spacing w:after="20" w:line="252" w:lineRule="auto"/>
              <w:jc w:val="left"/>
            </w:pPr>
            <w:r/>
            <w:r>
              <w:rPr>
                <w:sz w:val="18"/>
              </w:rPr>
              <w:t>Val</w:t>
            </w:r>
          </w:p>
        </w:tc>
        <w:tc>
          <w:tcPr>
            <w:tcW w:type="dxa" w:w="1304"/>
          </w:tcPr>
          <w:p>
            <w:pPr>
              <w:spacing w:after="20" w:line="252" w:lineRule="auto"/>
              <w:jc w:val="center"/>
            </w:pPr>
            <w:r/>
            <w:r>
              <w:rPr>
                <w:sz w:val="18"/>
              </w:rPr>
              <w:t>ARIMA(1,1,1)</w:t>
            </w:r>
          </w:p>
        </w:tc>
        <w:tc>
          <w:tcPr>
            <w:tcW w:type="dxa" w:w="794"/>
          </w:tcPr>
          <w:p>
            <w:pPr>
              <w:spacing w:after="20" w:line="252" w:lineRule="auto"/>
              <w:jc w:val="center"/>
            </w:pPr>
            <w:r/>
            <w:r>
              <w:rPr>
                <w:sz w:val="18"/>
              </w:rPr>
              <w:t>−6,94</w:t>
            </w:r>
          </w:p>
        </w:tc>
        <w:tc>
          <w:tcPr>
            <w:tcW w:type="dxa" w:w="1077"/>
          </w:tcPr>
          <w:p>
            <w:pPr>
              <w:spacing w:after="20" w:line="252" w:lineRule="auto"/>
              <w:jc w:val="center"/>
            </w:pPr>
            <w:r/>
            <w:r>
              <w:rPr>
                <w:sz w:val="18"/>
              </w:rPr>
              <w:t>0,871</w:t>
            </w:r>
          </w:p>
        </w:tc>
        <w:tc>
          <w:tcPr>
            <w:tcW w:type="dxa" w:w="794"/>
          </w:tcPr>
          <w:p>
            <w:pPr>
              <w:spacing w:after="20" w:line="252" w:lineRule="auto"/>
              <w:jc w:val="center"/>
            </w:pPr>
            <w:r/>
            <w:r>
              <w:rPr>
                <w:sz w:val="18"/>
              </w:rPr>
              <w:t>+0,246</w:t>
            </w:r>
          </w:p>
        </w:tc>
        <w:tc>
          <w:tcPr>
            <w:tcW w:type="dxa" w:w="1077"/>
          </w:tcPr>
          <w:p>
            <w:pPr>
              <w:spacing w:after="20" w:line="252" w:lineRule="auto"/>
              <w:jc w:val="center"/>
            </w:pPr>
            <w:r/>
            <w:r>
              <w:rPr>
                <w:sz w:val="18"/>
              </w:rPr>
              <w:t>0,474</w:t>
            </w:r>
          </w:p>
        </w:tc>
        <w:tc>
          <w:tcPr>
            <w:tcW w:type="dxa" w:w="1701"/>
          </w:tcPr>
          <w:p>
            <w:pPr>
              <w:spacing w:after="20" w:line="252" w:lineRule="auto"/>
              <w:jc w:val="center"/>
            </w:pPr>
            <w:r/>
            <w:r>
              <w:rPr>
                <w:sz w:val="18"/>
              </w:rPr>
              <w:t>−0,080 [−1,02; 0,92]</w:t>
            </w:r>
          </w:p>
        </w:tc>
        <w:tc>
          <w:tcPr>
            <w:tcW w:type="dxa" w:w="1757"/>
          </w:tcPr>
          <w:p>
            <w:pPr>
              <w:spacing w:after="20" w:line="252" w:lineRule="auto"/>
              <w:jc w:val="center"/>
            </w:pPr>
            <w:r/>
            <w:r>
              <w:rPr>
                <w:sz w:val="18"/>
              </w:rPr>
              <w:t>+0,246 [−0,40; 0,92]</w:t>
            </w:r>
          </w:p>
        </w:tc>
      </w:tr>
      <w:tr>
        <w:trPr>
          <w:cantSplit/>
        </w:trPr>
        <w:tc>
          <w:tcPr>
            <w:tcW w:type="dxa" w:w="567"/>
            <w:shd w:val="clear" w:color="auto" w:fill="FFF2CC"/>
          </w:tcPr>
          <w:p>
            <w:pPr>
              <w:spacing w:after="20" w:line="252" w:lineRule="auto"/>
              <w:jc w:val="left"/>
            </w:pPr>
            <w:r>
              <w:rPr>
                <w:b/>
              </w:rPr>
            </w:r>
            <w:r>
              <w:rPr>
                <w:b/>
                <w:sz w:val="18"/>
              </w:rPr>
              <w:t>Val</w:t>
            </w:r>
          </w:p>
        </w:tc>
        <w:tc>
          <w:tcPr>
            <w:tcW w:type="dxa" w:w="1304"/>
            <w:shd w:val="clear" w:color="auto" w:fill="FFF2CC"/>
          </w:tcPr>
          <w:p>
            <w:pPr>
              <w:spacing w:after="20" w:line="252" w:lineRule="auto"/>
              <w:jc w:val="center"/>
            </w:pPr>
            <w:r>
              <w:rPr>
                <w:b/>
              </w:rPr>
            </w:r>
            <w:r>
              <w:rPr>
                <w:b/>
                <w:sz w:val="18"/>
              </w:rPr>
              <w:t>ARIMA(3,1,1)</w:t>
            </w:r>
          </w:p>
        </w:tc>
        <w:tc>
          <w:tcPr>
            <w:tcW w:type="dxa" w:w="794"/>
            <w:shd w:val="clear" w:color="auto" w:fill="FFF2CC"/>
          </w:tcPr>
          <w:p>
            <w:pPr>
              <w:spacing w:after="20" w:line="252" w:lineRule="auto"/>
              <w:jc w:val="center"/>
            </w:pPr>
            <w:r>
              <w:rPr>
                <w:b/>
              </w:rPr>
            </w:r>
            <w:r>
              <w:rPr>
                <w:b/>
                <w:sz w:val="18"/>
              </w:rPr>
              <w:t>−11,02</w:t>
            </w:r>
          </w:p>
        </w:tc>
        <w:tc>
          <w:tcPr>
            <w:tcW w:type="dxa" w:w="1077"/>
            <w:shd w:val="clear" w:color="auto" w:fill="FFF2CC"/>
          </w:tcPr>
          <w:p>
            <w:pPr>
              <w:spacing w:after="20" w:line="252" w:lineRule="auto"/>
              <w:jc w:val="center"/>
            </w:pPr>
            <w:r>
              <w:rPr>
                <w:b/>
              </w:rPr>
            </w:r>
            <w:r>
              <w:rPr>
                <w:b/>
                <w:sz w:val="18"/>
              </w:rPr>
              <w:t>0,837</w:t>
            </w:r>
          </w:p>
        </w:tc>
        <w:tc>
          <w:tcPr>
            <w:tcW w:type="dxa" w:w="794"/>
            <w:shd w:val="clear" w:color="auto" w:fill="FFF2CC"/>
          </w:tcPr>
          <w:p>
            <w:pPr>
              <w:spacing w:after="20" w:line="252" w:lineRule="auto"/>
              <w:jc w:val="center"/>
            </w:pPr>
            <w:r>
              <w:rPr>
                <w:b/>
              </w:rPr>
            </w:r>
            <w:r>
              <w:rPr>
                <w:b/>
                <w:sz w:val="18"/>
              </w:rPr>
              <w:t>+0,762</w:t>
            </w:r>
          </w:p>
        </w:tc>
        <w:tc>
          <w:tcPr>
            <w:tcW w:type="dxa" w:w="1077"/>
            <w:shd w:val="clear" w:color="auto" w:fill="FFF2CC"/>
          </w:tcPr>
          <w:p>
            <w:pPr>
              <w:spacing w:after="20" w:line="252" w:lineRule="auto"/>
              <w:jc w:val="center"/>
            </w:pPr>
            <w:r>
              <w:rPr>
                <w:b/>
              </w:rPr>
            </w:r>
            <w:r>
              <w:rPr>
                <w:b/>
                <w:sz w:val="18"/>
              </w:rPr>
              <w:t>0,098</w:t>
            </w:r>
          </w:p>
        </w:tc>
        <w:tc>
          <w:tcPr>
            <w:tcW w:type="dxa" w:w="1701"/>
            <w:shd w:val="clear" w:color="auto" w:fill="FFF2CC"/>
          </w:tcPr>
          <w:p>
            <w:pPr>
              <w:spacing w:after="20" w:line="252" w:lineRule="auto"/>
              <w:jc w:val="center"/>
            </w:pPr>
            <w:r>
              <w:rPr>
                <w:b/>
              </w:rPr>
            </w:r>
            <w:r>
              <w:rPr>
                <w:b/>
                <w:sz w:val="18"/>
              </w:rPr>
              <w:t>−0,128 [−1,44; 1,12]</w:t>
            </w:r>
          </w:p>
        </w:tc>
        <w:tc>
          <w:tcPr>
            <w:tcW w:type="dxa" w:w="1757"/>
            <w:shd w:val="clear" w:color="auto" w:fill="FFF2CC"/>
          </w:tcPr>
          <w:p>
            <w:pPr>
              <w:spacing w:after="20" w:line="252" w:lineRule="auto"/>
              <w:jc w:val="center"/>
            </w:pPr>
            <w:r>
              <w:rPr>
                <w:b/>
              </w:rPr>
            </w:r>
            <w:r>
              <w:rPr>
                <w:b/>
                <w:sz w:val="18"/>
              </w:rPr>
              <w:t>+0,762 [−0,12; 1,64]</w:t>
            </w:r>
          </w:p>
        </w:tc>
      </w:tr>
      <w:tr>
        <w:trPr>
          <w:cantSplit/>
        </w:trPr>
        <w:tc>
          <w:tcPr>
            <w:tcW w:type="dxa" w:w="567"/>
          </w:tcPr>
          <w:p>
            <w:pPr>
              <w:spacing w:after="20" w:line="252" w:lineRule="auto"/>
              <w:jc w:val="left"/>
            </w:pPr>
            <w:r/>
            <w:r>
              <w:rPr>
                <w:sz w:val="18"/>
              </w:rPr>
              <w:t>Val</w:t>
            </w:r>
          </w:p>
        </w:tc>
        <w:tc>
          <w:tcPr>
            <w:tcW w:type="dxa" w:w="1304"/>
          </w:tcPr>
          <w:p>
            <w:pPr>
              <w:spacing w:after="20" w:line="252" w:lineRule="auto"/>
              <w:jc w:val="center"/>
            </w:pPr>
            <w:r/>
            <w:r>
              <w:rPr>
                <w:sz w:val="18"/>
              </w:rPr>
              <w:t>ARIMA(3,1,4)</w:t>
            </w:r>
          </w:p>
        </w:tc>
        <w:tc>
          <w:tcPr>
            <w:tcW w:type="dxa" w:w="794"/>
          </w:tcPr>
          <w:p>
            <w:pPr>
              <w:spacing w:after="20" w:line="252" w:lineRule="auto"/>
              <w:jc w:val="center"/>
            </w:pPr>
            <w:r/>
            <w:r>
              <w:rPr>
                <w:sz w:val="18"/>
              </w:rPr>
              <w:t>−25,94</w:t>
            </w:r>
          </w:p>
        </w:tc>
        <w:tc>
          <w:tcPr>
            <w:tcW w:type="dxa" w:w="1077"/>
          </w:tcPr>
          <w:p>
            <w:pPr>
              <w:spacing w:after="20" w:line="252" w:lineRule="auto"/>
              <w:jc w:val="center"/>
            </w:pPr>
            <w:r/>
            <w:r>
              <w:rPr>
                <w:sz w:val="18"/>
              </w:rPr>
              <w:t>0,660</w:t>
            </w:r>
          </w:p>
        </w:tc>
        <w:tc>
          <w:tcPr>
            <w:tcW w:type="dxa" w:w="794"/>
          </w:tcPr>
          <w:p>
            <w:pPr>
              <w:spacing w:after="20" w:line="252" w:lineRule="auto"/>
              <w:jc w:val="center"/>
            </w:pPr>
            <w:r/>
            <w:r>
              <w:rPr>
                <w:sz w:val="18"/>
              </w:rPr>
              <w:t>+0,777</w:t>
            </w:r>
          </w:p>
        </w:tc>
        <w:tc>
          <w:tcPr>
            <w:tcW w:type="dxa" w:w="1077"/>
          </w:tcPr>
          <w:p>
            <w:pPr>
              <w:spacing w:after="20" w:line="252" w:lineRule="auto"/>
              <w:jc w:val="center"/>
            </w:pPr>
            <w:r/>
            <w:r>
              <w:rPr>
                <w:sz w:val="18"/>
              </w:rPr>
              <w:t>0,116</w:t>
            </w:r>
          </w:p>
        </w:tc>
        <w:tc>
          <w:tcPr>
            <w:tcW w:type="dxa" w:w="1701"/>
          </w:tcPr>
          <w:p>
            <w:pPr>
              <w:spacing w:after="20" w:line="252" w:lineRule="auto"/>
              <w:jc w:val="center"/>
            </w:pPr>
            <w:r/>
            <w:r>
              <w:rPr>
                <w:sz w:val="18"/>
              </w:rPr>
              <w:t>−0,301 [−1,70; 1,01]</w:t>
            </w:r>
          </w:p>
        </w:tc>
        <w:tc>
          <w:tcPr>
            <w:tcW w:type="dxa" w:w="1757"/>
          </w:tcPr>
          <w:p>
            <w:pPr>
              <w:spacing w:after="20" w:line="252" w:lineRule="auto"/>
              <w:jc w:val="center"/>
            </w:pPr>
            <w:r/>
            <w:r>
              <w:rPr>
                <w:sz w:val="18"/>
              </w:rPr>
              <w:t>+0,777 [−0,22; 1,70]</w:t>
            </w:r>
          </w:p>
        </w:tc>
      </w:tr>
      <w:tr>
        <w:trPr>
          <w:cantSplit/>
        </w:trPr>
        <w:tc>
          <w:tcPr>
            <w:tcW w:type="dxa" w:w="567"/>
          </w:tcPr>
          <w:p>
            <w:pPr>
              <w:spacing w:after="20" w:line="252" w:lineRule="auto"/>
              <w:jc w:val="left"/>
            </w:pPr>
            <w:r/>
            <w:r>
              <w:rPr>
                <w:sz w:val="18"/>
              </w:rPr>
              <w:t>Test</w:t>
            </w:r>
          </w:p>
        </w:tc>
        <w:tc>
          <w:tcPr>
            <w:tcW w:type="dxa" w:w="1304"/>
          </w:tcPr>
          <w:p>
            <w:pPr>
              <w:spacing w:after="20" w:line="252" w:lineRule="auto"/>
              <w:jc w:val="center"/>
            </w:pPr>
            <w:r/>
            <w:r>
              <w:rPr>
                <w:sz w:val="18"/>
              </w:rPr>
              <w:t>ARIMA(1,1,1)</w:t>
            </w:r>
          </w:p>
        </w:tc>
        <w:tc>
          <w:tcPr>
            <w:tcW w:type="dxa" w:w="794"/>
          </w:tcPr>
          <w:p>
            <w:pPr>
              <w:spacing w:after="20" w:line="252" w:lineRule="auto"/>
              <w:jc w:val="center"/>
            </w:pPr>
            <w:r/>
            <w:r>
              <w:rPr>
                <w:sz w:val="18"/>
              </w:rPr>
              <w:t>−3,03</w:t>
            </w:r>
          </w:p>
        </w:tc>
        <w:tc>
          <w:tcPr>
            <w:tcW w:type="dxa" w:w="1077"/>
          </w:tcPr>
          <w:p>
            <w:pPr>
              <w:spacing w:after="20" w:line="252" w:lineRule="auto"/>
              <w:jc w:val="center"/>
            </w:pPr>
            <w:r/>
            <w:r>
              <w:rPr>
                <w:sz w:val="18"/>
              </w:rPr>
              <w:t>0,892</w:t>
            </w:r>
          </w:p>
        </w:tc>
        <w:tc>
          <w:tcPr>
            <w:tcW w:type="dxa" w:w="794"/>
          </w:tcPr>
          <w:p>
            <w:pPr>
              <w:spacing w:after="20" w:line="252" w:lineRule="auto"/>
              <w:jc w:val="center"/>
            </w:pPr>
            <w:r/>
            <w:r>
              <w:rPr>
                <w:sz w:val="18"/>
              </w:rPr>
              <w:t>+0,242</w:t>
            </w:r>
          </w:p>
        </w:tc>
        <w:tc>
          <w:tcPr>
            <w:tcW w:type="dxa" w:w="1077"/>
          </w:tcPr>
          <w:p>
            <w:pPr>
              <w:spacing w:after="20" w:line="252" w:lineRule="auto"/>
              <w:jc w:val="center"/>
            </w:pPr>
            <w:r/>
            <w:r>
              <w:rPr>
                <w:sz w:val="18"/>
              </w:rPr>
              <w:t>0,430</w:t>
            </w:r>
          </w:p>
        </w:tc>
        <w:tc>
          <w:tcPr>
            <w:tcW w:type="dxa" w:w="1701"/>
          </w:tcPr>
          <w:p>
            <w:pPr>
              <w:spacing w:after="20" w:line="252" w:lineRule="auto"/>
              <w:jc w:val="center"/>
            </w:pPr>
            <w:r/>
            <w:r>
              <w:rPr>
                <w:sz w:val="18"/>
              </w:rPr>
              <w:t>−0,050 [−0,73; 0,70]</w:t>
            </w:r>
          </w:p>
        </w:tc>
        <w:tc>
          <w:tcPr>
            <w:tcW w:type="dxa" w:w="1757"/>
          </w:tcPr>
          <w:p>
            <w:pPr>
              <w:spacing w:after="20" w:line="252" w:lineRule="auto"/>
              <w:jc w:val="center"/>
            </w:pPr>
            <w:r/>
            <w:r>
              <w:rPr>
                <w:sz w:val="18"/>
              </w:rPr>
              <w:t>+0,242 [−0,34; 0,86]</w:t>
            </w:r>
          </w:p>
        </w:tc>
      </w:tr>
      <w:tr>
        <w:trPr>
          <w:cantSplit/>
        </w:trPr>
        <w:tc>
          <w:tcPr>
            <w:tcW w:type="dxa" w:w="567"/>
            <w:shd w:val="clear" w:color="auto" w:fill="FFF2CC"/>
          </w:tcPr>
          <w:p>
            <w:pPr>
              <w:spacing w:after="20" w:line="252" w:lineRule="auto"/>
              <w:jc w:val="left"/>
            </w:pPr>
            <w:r>
              <w:rPr>
                <w:b/>
              </w:rPr>
            </w:r>
            <w:r>
              <w:rPr>
                <w:b/>
                <w:sz w:val="18"/>
              </w:rPr>
              <w:t>Test</w:t>
            </w:r>
          </w:p>
        </w:tc>
        <w:tc>
          <w:tcPr>
            <w:tcW w:type="dxa" w:w="1304"/>
            <w:shd w:val="clear" w:color="auto" w:fill="FFF2CC"/>
          </w:tcPr>
          <w:p>
            <w:pPr>
              <w:spacing w:after="20" w:line="252" w:lineRule="auto"/>
              <w:jc w:val="center"/>
            </w:pPr>
            <w:r>
              <w:rPr>
                <w:b/>
              </w:rPr>
            </w:r>
            <w:r>
              <w:rPr>
                <w:b/>
                <w:sz w:val="18"/>
              </w:rPr>
              <w:t>ARIMA(3,1,1)</w:t>
            </w:r>
          </w:p>
        </w:tc>
        <w:tc>
          <w:tcPr>
            <w:tcW w:type="dxa" w:w="794"/>
            <w:shd w:val="clear" w:color="auto" w:fill="FFF2CC"/>
          </w:tcPr>
          <w:p>
            <w:pPr>
              <w:spacing w:after="20" w:line="252" w:lineRule="auto"/>
              <w:jc w:val="center"/>
            </w:pPr>
            <w:r>
              <w:rPr>
                <w:b/>
              </w:rPr>
            </w:r>
            <w:r>
              <w:rPr>
                <w:b/>
                <w:sz w:val="18"/>
              </w:rPr>
              <w:t>+23,34</w:t>
            </w:r>
          </w:p>
        </w:tc>
        <w:tc>
          <w:tcPr>
            <w:tcW w:type="dxa" w:w="1077"/>
            <w:shd w:val="clear" w:color="auto" w:fill="FFF2CC"/>
          </w:tcPr>
          <w:p>
            <w:pPr>
              <w:spacing w:after="20" w:line="252" w:lineRule="auto"/>
              <w:jc w:val="center"/>
            </w:pPr>
            <w:r>
              <w:rPr>
                <w:b/>
              </w:rPr>
            </w:r>
            <w:r>
              <w:rPr>
                <w:b/>
                <w:sz w:val="18"/>
              </w:rPr>
              <w:t>0,469</w:t>
            </w:r>
          </w:p>
        </w:tc>
        <w:tc>
          <w:tcPr>
            <w:tcW w:type="dxa" w:w="794"/>
            <w:shd w:val="clear" w:color="auto" w:fill="FFF2CC"/>
          </w:tcPr>
          <w:p>
            <w:pPr>
              <w:spacing w:after="20" w:line="252" w:lineRule="auto"/>
              <w:jc w:val="center"/>
            </w:pPr>
            <w:r>
              <w:rPr>
                <w:b/>
              </w:rPr>
            </w:r>
            <w:r>
              <w:rPr>
                <w:b/>
                <w:sz w:val="18"/>
              </w:rPr>
              <w:t>+0,173</w:t>
            </w:r>
          </w:p>
        </w:tc>
        <w:tc>
          <w:tcPr>
            <w:tcW w:type="dxa" w:w="1077"/>
            <w:shd w:val="clear" w:color="auto" w:fill="FFF2CC"/>
          </w:tcPr>
          <w:p>
            <w:pPr>
              <w:spacing w:after="20" w:line="252" w:lineRule="auto"/>
              <w:jc w:val="center"/>
            </w:pPr>
            <w:r>
              <w:rPr>
                <w:b/>
              </w:rPr>
            </w:r>
            <w:r>
              <w:rPr>
                <w:b/>
                <w:sz w:val="18"/>
              </w:rPr>
              <w:t>0,689</w:t>
            </w:r>
          </w:p>
        </w:tc>
        <w:tc>
          <w:tcPr>
            <w:tcW w:type="dxa" w:w="1701"/>
            <w:shd w:val="clear" w:color="auto" w:fill="FFF2CC"/>
          </w:tcPr>
          <w:p>
            <w:pPr>
              <w:spacing w:after="20" w:line="252" w:lineRule="auto"/>
              <w:jc w:val="center"/>
            </w:pPr>
            <w:r>
              <w:rPr>
                <w:b/>
              </w:rPr>
            </w:r>
            <w:r>
              <w:rPr>
                <w:b/>
                <w:sz w:val="18"/>
              </w:rPr>
              <w:t>+0,386 [−0,71; 1,43]</w:t>
            </w:r>
          </w:p>
        </w:tc>
        <w:tc>
          <w:tcPr>
            <w:tcW w:type="dxa" w:w="1757"/>
            <w:shd w:val="clear" w:color="auto" w:fill="FFF2CC"/>
          </w:tcPr>
          <w:p>
            <w:pPr>
              <w:spacing w:after="20" w:line="252" w:lineRule="auto"/>
              <w:jc w:val="center"/>
            </w:pPr>
            <w:r>
              <w:rPr>
                <w:b/>
              </w:rPr>
            </w:r>
            <w:r>
              <w:rPr>
                <w:b/>
                <w:sz w:val="18"/>
              </w:rPr>
              <w:t>+0,173 [−0,68; 1,02]</w:t>
            </w:r>
          </w:p>
        </w:tc>
      </w:tr>
      <w:tr>
        <w:trPr>
          <w:cantSplit/>
        </w:trPr>
        <w:tc>
          <w:tcPr>
            <w:tcW w:type="dxa" w:w="567"/>
          </w:tcPr>
          <w:p>
            <w:pPr>
              <w:spacing w:after="20" w:line="252" w:lineRule="auto"/>
              <w:jc w:val="left"/>
            </w:pPr>
            <w:r/>
            <w:r>
              <w:rPr>
                <w:sz w:val="18"/>
              </w:rPr>
              <w:t>Test</w:t>
            </w:r>
          </w:p>
        </w:tc>
        <w:tc>
          <w:tcPr>
            <w:tcW w:type="dxa" w:w="1304"/>
          </w:tcPr>
          <w:p>
            <w:pPr>
              <w:spacing w:after="20" w:line="252" w:lineRule="auto"/>
              <w:jc w:val="center"/>
            </w:pPr>
            <w:r/>
            <w:r>
              <w:rPr>
                <w:sz w:val="18"/>
              </w:rPr>
              <w:t>ARIMA(3,1,4)</w:t>
            </w:r>
          </w:p>
        </w:tc>
        <w:tc>
          <w:tcPr>
            <w:tcW w:type="dxa" w:w="794"/>
          </w:tcPr>
          <w:p>
            <w:pPr>
              <w:spacing w:after="20" w:line="252" w:lineRule="auto"/>
              <w:jc w:val="center"/>
            </w:pPr>
            <w:r/>
            <w:r>
              <w:rPr>
                <w:sz w:val="18"/>
              </w:rPr>
              <w:t>+17,33</w:t>
            </w:r>
          </w:p>
        </w:tc>
        <w:tc>
          <w:tcPr>
            <w:tcW w:type="dxa" w:w="1077"/>
          </w:tcPr>
          <w:p>
            <w:pPr>
              <w:spacing w:after="20" w:line="252" w:lineRule="auto"/>
              <w:jc w:val="center"/>
            </w:pPr>
            <w:r/>
            <w:r>
              <w:rPr>
                <w:sz w:val="18"/>
              </w:rPr>
              <w:t>0,579</w:t>
            </w:r>
          </w:p>
        </w:tc>
        <w:tc>
          <w:tcPr>
            <w:tcW w:type="dxa" w:w="794"/>
          </w:tcPr>
          <w:p>
            <w:pPr>
              <w:spacing w:after="20" w:line="252" w:lineRule="auto"/>
              <w:jc w:val="center"/>
            </w:pPr>
            <w:r/>
            <w:r>
              <w:rPr>
                <w:sz w:val="18"/>
              </w:rPr>
              <w:t>+0,094</w:t>
            </w:r>
          </w:p>
        </w:tc>
        <w:tc>
          <w:tcPr>
            <w:tcW w:type="dxa" w:w="1077"/>
          </w:tcPr>
          <w:p>
            <w:pPr>
              <w:spacing w:after="20" w:line="252" w:lineRule="auto"/>
              <w:jc w:val="center"/>
            </w:pPr>
            <w:r/>
            <w:r>
              <w:rPr>
                <w:sz w:val="18"/>
              </w:rPr>
              <w:t>0,835</w:t>
            </w:r>
          </w:p>
        </w:tc>
        <w:tc>
          <w:tcPr>
            <w:tcW w:type="dxa" w:w="1701"/>
          </w:tcPr>
          <w:p>
            <w:pPr>
              <w:spacing w:after="20" w:line="252" w:lineRule="auto"/>
              <w:jc w:val="center"/>
            </w:pPr>
            <w:r/>
            <w:r>
              <w:rPr>
                <w:sz w:val="18"/>
              </w:rPr>
              <w:t>+0,287 [−0,85; 1,30]</w:t>
            </w:r>
          </w:p>
        </w:tc>
        <w:tc>
          <w:tcPr>
            <w:tcW w:type="dxa" w:w="1757"/>
          </w:tcPr>
          <w:p>
            <w:pPr>
              <w:spacing w:after="20" w:line="252" w:lineRule="auto"/>
              <w:jc w:val="center"/>
            </w:pPr>
            <w:r/>
            <w:r>
              <w:rPr>
                <w:sz w:val="18"/>
              </w:rPr>
              <w:t>+0,094 [−0,82; 0,99]</w:t>
            </w:r>
          </w:p>
        </w:tc>
      </w:tr>
    </w:tbl>
    <w:p>
      <w:r>
        <w:rPr>
          <w:i/>
          <w:sz w:val="19"/>
        </w:rPr>
        <w:t>Ghi chú: Δ = mô hình − Naive; giá trị dương nghĩa ARIMA có sai số cao hơn. ΔMSE tính bằng (VND/USD)², ΔMAE và ΔRMSE bằng VND/USD.</w:t>
      </w:r>
    </w:p>
    <w:p>
      <w:pPr>
        <w:jc w:val="both"/>
      </w:pPr>
      <w:r>
        <w:t>Với loss bình phương, mọi p-value HAC đều lớn hơn 0,46 và mọi khoảng bootstrap của ΔRMSE đều chứa 0 (Bảng P1.7). Với ARIMA(3,1,1) trên Test, ΔRMSE = +0,386 VND/USD, khoảng tin cậy [−0,71; 1,43], HAC p = 0,469. Do đó không có bằng chứng ARIMA khác Naive về sai số bình phương trên cả Validation lẫn Test. Với loss tuyệt đối, ARIMA luôn có MAE cao hơn; trên Validation, chênh lệch của ARIMA(3,1,1) gần mức ý nghĩa 10% (p = 0,098), nhưng khoảng bootstrap vẫn chứa 0. Hình P1.5 cho thấy chênh lệch không tích lũy đều mà dồn vào vài cú sốc. ARIMA thắng ở đợt giảm cuối tháng 1, thua ở đợt tăng cuối tháng 2 và giữa tháng 8, còn gần như không khác biệt trong tháng 4–7. Như vậy, xếp hạng giữa các mô hình phụ thuộc vào một số ít phiên.</w:t>
      </w:r>
    </w:p>
    <w:p>
      <w:pPr>
        <w:keepNext/>
        <w:jc w:val="center"/>
      </w:pPr>
      <w:r>
        <w:drawing>
          <wp:inline xmlns:a="http://schemas.openxmlformats.org/drawingml/2006/main" xmlns:pic="http://schemas.openxmlformats.org/drawingml/2006/picture">
            <wp:extent cx="5760000" cy="2160000"/>
            <wp:docPr id="5" name="Picture 5"/>
            <wp:cNvGraphicFramePr>
              <a:graphicFrameLocks noChangeAspect="1"/>
            </wp:cNvGraphicFramePr>
            <a:graphic>
              <a:graphicData uri="http://schemas.openxmlformats.org/drawingml/2006/picture">
                <pic:pic>
                  <pic:nvPicPr>
                    <pic:cNvPr id="0" name="21_arima_cumulative_loss_diff_test.png"/>
                    <pic:cNvPicPr/>
                  </pic:nvPicPr>
                  <pic:blipFill>
                    <a:blip r:embed="rId13"/>
                    <a:stretch>
                      <a:fillRect/>
                    </a:stretch>
                  </pic:blipFill>
                  <pic:spPr>
                    <a:xfrm>
                      <a:off x="0" y="0"/>
                      <a:ext cx="5760000" cy="2160000"/>
                    </a:xfrm>
                    <a:prstGeom prst="rect"/>
                  </pic:spPr>
                </pic:pic>
              </a:graphicData>
            </a:graphic>
          </wp:inline>
        </w:drawing>
      </w:r>
    </w:p>
    <w:p>
      <w:pPr>
        <w:jc w:val="center"/>
      </w:pPr>
      <w:r>
        <w:rPr>
          <w:i/>
          <w:sz w:val="20"/>
        </w:rPr>
        <w:t xml:space="preserve">Hình P1.5. </w:t>
      </w:r>
      <w:r>
        <w:rPr>
          <w:sz w:val="20"/>
        </w:rPr>
        <w:t>Chênh lệch sai số bình phương tích lũy giữa ARIMA và Naive trên Test 2026; giá trị dương nghĩa ARIMA có sai số cao hơn.</w:t>
      </w:r>
    </w:p>
    <w:p>
      <w:pPr>
        <w:pStyle w:val="Heading3"/>
      </w:pPr>
      <w:r>
        <w:t>7.1.7. Chẩn đoán phần dư và sai số dự báo</w:t>
      </w:r>
    </w:p>
    <w:p>
      <w:pPr>
        <w:jc w:val="both"/>
      </w:pPr>
      <w:r>
        <w:t>Theo Phần I mục 2.5, Ljung–Box trên phần dư ARMA được trừ bậc tự do bằng p + q. Trên Train, phần dư của ARIMA(3,1,1) không còn tự tương quan đáng kể: p = 0,160 ở độ trễ 10 và 0,389 ở độ trễ 20 (Bảng P1.8). Khi ước lượng lại trên Train + Validation, p ở độ trễ 10 giảm xuống 0,041, cho thấy còn một ít phụ thuộc ngắn hạn chưa được nắm bắt khi thêm dữ liệu năm 2025. ARIMA(3,1,4) làm sạch phần dư tốt hơn (p ≈ 0,9) nhờ nhiều tham số hơn. Ngược lại, phần dư của ARIMA(1,1,1) còn tự tương quan rõ (p &lt; 0,001). Ngoài mẫu, cấu trúc học được không còn đúng: sai số dự báo Test của ARIMA(3,1,1) có tự tương quan mạnh (LB(20) p &lt; 0,001), thậm chí mạnh hơn sai số của Naive (p = 0,013).</w:t>
      </w:r>
    </w:p>
    <w:p>
      <w:pPr>
        <w:keepNext/>
        <w:spacing w:before="120"/>
      </w:pPr>
      <w:r>
        <w:rPr>
          <w:b/>
        </w:rPr>
        <w:t xml:space="preserve">Bảng P1.8. </w:t>
      </w:r>
      <w:r>
        <w:t>Chẩn đoán phần dư và sai số dự báo</w:t>
      </w:r>
    </w:p>
    <w:tbl>
      <w:tblPr>
        <w:tblStyle w:val="TableGrid"/>
        <w:tblW w:type="auto" w:w="0"/>
        <w:jc w:val="center"/>
        <w:tblLook w:firstColumn="1" w:firstRow="1" w:lastColumn="0" w:lastRow="0" w:noHBand="0" w:noVBand="1" w:val="04A0"/>
      </w:tblPr>
      <w:tblGrid>
        <w:gridCol w:w="1300"/>
        <w:gridCol w:w="1300"/>
        <w:gridCol w:w="1300"/>
        <w:gridCol w:w="1300"/>
        <w:gridCol w:w="1300"/>
        <w:gridCol w:w="1300"/>
        <w:gridCol w:w="1300"/>
      </w:tblGrid>
      <w:tr>
        <w:trPr>
          <w:cantSplit/>
          <w:tblHeader/>
        </w:trPr>
        <w:tc>
          <w:tcPr>
            <w:tcW w:type="dxa" w:w="1361"/>
            <w:shd w:val="clear" w:color="auto" w:fill="DCE6F1"/>
          </w:tcPr>
          <w:p>
            <w:pPr>
              <w:spacing w:after="20" w:line="252" w:lineRule="auto"/>
              <w:jc w:val="left"/>
            </w:pPr>
            <w:r>
              <w:rPr>
                <w:b/>
              </w:rPr>
            </w:r>
            <w:r>
              <w:rPr>
                <w:b/>
                <w:sz w:val="20"/>
              </w:rPr>
              <w:t>Mẫu</w:t>
            </w:r>
          </w:p>
        </w:tc>
        <w:tc>
          <w:tcPr>
            <w:tcW w:type="dxa" w:w="1417"/>
            <w:shd w:val="clear" w:color="auto" w:fill="DCE6F1"/>
          </w:tcPr>
          <w:p>
            <w:pPr>
              <w:spacing w:after="20" w:line="252" w:lineRule="auto"/>
              <w:jc w:val="center"/>
            </w:pPr>
            <w:r>
              <w:rPr>
                <w:b/>
              </w:rPr>
            </w:r>
            <w:r>
              <w:rPr>
                <w:b/>
                <w:sz w:val="20"/>
              </w:rPr>
              <w:t>Mô hình</w:t>
            </w:r>
          </w:p>
        </w:tc>
        <w:tc>
          <w:tcPr>
            <w:tcW w:type="dxa" w:w="1304"/>
            <w:shd w:val="clear" w:color="auto" w:fill="DCE6F1"/>
          </w:tcPr>
          <w:p>
            <w:pPr>
              <w:spacing w:after="20" w:line="252" w:lineRule="auto"/>
              <w:jc w:val="center"/>
            </w:pPr>
            <w:r>
              <w:rPr>
                <w:b/>
              </w:rPr>
            </w:r>
            <w:r>
              <w:rPr>
                <w:b/>
                <w:sz w:val="20"/>
              </w:rPr>
              <w:t>LB(10) p [df]</w:t>
            </w:r>
          </w:p>
        </w:tc>
        <w:tc>
          <w:tcPr>
            <w:tcW w:type="dxa" w:w="1304"/>
            <w:shd w:val="clear" w:color="auto" w:fill="DCE6F1"/>
          </w:tcPr>
          <w:p>
            <w:pPr>
              <w:spacing w:after="20" w:line="252" w:lineRule="auto"/>
              <w:jc w:val="center"/>
            </w:pPr>
            <w:r>
              <w:rPr>
                <w:b/>
              </w:rPr>
            </w:r>
            <w:r>
              <w:rPr>
                <w:b/>
                <w:sz w:val="20"/>
              </w:rPr>
              <w:t>LB(20) p [df]</w:t>
            </w:r>
          </w:p>
        </w:tc>
        <w:tc>
          <w:tcPr>
            <w:tcW w:type="dxa" w:w="1304"/>
            <w:shd w:val="clear" w:color="auto" w:fill="DCE6F1"/>
          </w:tcPr>
          <w:p>
            <w:pPr>
              <w:spacing w:after="20" w:line="252" w:lineRule="auto"/>
              <w:jc w:val="center"/>
            </w:pPr>
            <w:r>
              <w:rPr>
                <w:b/>
              </w:rPr>
            </w:r>
            <w:r>
              <w:rPr>
                <w:b/>
                <w:sz w:val="20"/>
              </w:rPr>
              <w:t>ARCH-LM(10) p</w:t>
            </w:r>
          </w:p>
        </w:tc>
        <w:tc>
          <w:tcPr>
            <w:tcW w:type="dxa" w:w="1247"/>
            <w:shd w:val="clear" w:color="auto" w:fill="DCE6F1"/>
          </w:tcPr>
          <w:p>
            <w:pPr>
              <w:spacing w:after="20" w:line="252" w:lineRule="auto"/>
              <w:jc w:val="center"/>
            </w:pPr>
            <w:r>
              <w:rPr>
                <w:b/>
              </w:rPr>
            </w:r>
            <w:r>
              <w:rPr>
                <w:b/>
                <w:sz w:val="20"/>
              </w:rPr>
              <w:t>Jarque–Bera p</w:t>
            </w:r>
          </w:p>
        </w:tc>
        <w:tc>
          <w:tcPr>
            <w:tcW w:type="dxa" w:w="1134"/>
            <w:shd w:val="clear" w:color="auto" w:fill="DCE6F1"/>
          </w:tcPr>
          <w:p>
            <w:pPr>
              <w:spacing w:after="20" w:line="252" w:lineRule="auto"/>
              <w:jc w:val="center"/>
            </w:pPr>
            <w:r>
              <w:rPr>
                <w:b/>
              </w:rPr>
            </w:r>
            <w:r>
              <w:rPr>
                <w:b/>
                <w:sz w:val="20"/>
              </w:rPr>
              <w:t>Kurtosis (thô)</w:t>
            </w:r>
          </w:p>
        </w:tc>
      </w:tr>
      <w:tr>
        <w:trPr>
          <w:cantSplit/>
        </w:trPr>
        <w:tc>
          <w:tcPr>
            <w:tcW w:type="dxa" w:w="1361"/>
          </w:tcPr>
          <w:p>
            <w:pPr>
              <w:spacing w:after="20" w:line="252" w:lineRule="auto"/>
              <w:jc w:val="left"/>
            </w:pPr>
            <w:r/>
            <w:r>
              <w:rPr>
                <w:sz w:val="20"/>
              </w:rPr>
              <w:t>Train</w:t>
            </w:r>
          </w:p>
        </w:tc>
        <w:tc>
          <w:tcPr>
            <w:tcW w:type="dxa" w:w="1417"/>
          </w:tcPr>
          <w:p>
            <w:pPr>
              <w:spacing w:after="20" w:line="252" w:lineRule="auto"/>
              <w:jc w:val="center"/>
            </w:pPr>
            <w:r/>
            <w:r>
              <w:rPr>
                <w:sz w:val="20"/>
              </w:rPr>
              <w:t>ARIMA(1,1,1)</w:t>
            </w:r>
          </w:p>
        </w:tc>
        <w:tc>
          <w:tcPr>
            <w:tcW w:type="dxa" w:w="1304"/>
          </w:tcPr>
          <w:p>
            <w:pPr>
              <w:spacing w:after="20" w:line="252" w:lineRule="auto"/>
              <w:jc w:val="center"/>
            </w:pPr>
            <w:r/>
            <w:r>
              <w:rPr>
                <w:sz w:val="20"/>
              </w:rPr>
              <w:t>&lt; 0,001 [8]</w:t>
            </w:r>
          </w:p>
        </w:tc>
        <w:tc>
          <w:tcPr>
            <w:tcW w:type="dxa" w:w="1304"/>
          </w:tcPr>
          <w:p>
            <w:pPr>
              <w:spacing w:after="20" w:line="252" w:lineRule="auto"/>
              <w:jc w:val="center"/>
            </w:pPr>
            <w:r/>
            <w:r>
              <w:rPr>
                <w:sz w:val="20"/>
              </w:rPr>
              <w:t>&lt; 0,001 [18]</w:t>
            </w:r>
          </w:p>
        </w:tc>
        <w:tc>
          <w:tcPr>
            <w:tcW w:type="dxa" w:w="1304"/>
          </w:tcPr>
          <w:p>
            <w:pPr>
              <w:spacing w:after="20" w:line="252" w:lineRule="auto"/>
              <w:jc w:val="center"/>
            </w:pPr>
            <w:r/>
            <w:r>
              <w:rPr>
                <w:sz w:val="20"/>
              </w:rPr>
              <w:t>&lt; 0,001</w:t>
            </w:r>
          </w:p>
        </w:tc>
        <w:tc>
          <w:tcPr>
            <w:tcW w:type="dxa" w:w="1247"/>
          </w:tcPr>
          <w:p>
            <w:pPr>
              <w:spacing w:after="20" w:line="252" w:lineRule="auto"/>
              <w:jc w:val="center"/>
            </w:pPr>
            <w:r/>
            <w:r>
              <w:rPr>
                <w:sz w:val="20"/>
              </w:rPr>
              <w:t>&lt; 0,001</w:t>
            </w:r>
          </w:p>
        </w:tc>
        <w:tc>
          <w:tcPr>
            <w:tcW w:type="dxa" w:w="1134"/>
          </w:tcPr>
          <w:p>
            <w:pPr>
              <w:spacing w:after="20" w:line="252" w:lineRule="auto"/>
              <w:jc w:val="center"/>
            </w:pPr>
            <w:r/>
            <w:r>
              <w:rPr>
                <w:sz w:val="20"/>
              </w:rPr>
              <w:t>19,18</w:t>
            </w:r>
          </w:p>
        </w:tc>
      </w:tr>
      <w:tr>
        <w:trPr>
          <w:cantSplit/>
        </w:trPr>
        <w:tc>
          <w:tcPr>
            <w:tcW w:type="dxa" w:w="1361"/>
            <w:shd w:val="clear" w:color="auto" w:fill="FFF2CC"/>
          </w:tcPr>
          <w:p>
            <w:pPr>
              <w:spacing w:after="20" w:line="252" w:lineRule="auto"/>
              <w:jc w:val="left"/>
            </w:pPr>
            <w:r>
              <w:rPr>
                <w:b/>
              </w:rPr>
            </w:r>
            <w:r>
              <w:rPr>
                <w:b/>
                <w:sz w:val="20"/>
              </w:rPr>
              <w:t>Train</w:t>
            </w:r>
          </w:p>
        </w:tc>
        <w:tc>
          <w:tcPr>
            <w:tcW w:type="dxa" w:w="1417"/>
            <w:shd w:val="clear" w:color="auto" w:fill="FFF2CC"/>
          </w:tcPr>
          <w:p>
            <w:pPr>
              <w:spacing w:after="20" w:line="252" w:lineRule="auto"/>
              <w:jc w:val="center"/>
            </w:pPr>
            <w:r>
              <w:rPr>
                <w:b/>
              </w:rPr>
            </w:r>
            <w:r>
              <w:rPr>
                <w:b/>
                <w:sz w:val="20"/>
              </w:rPr>
              <w:t>ARIMA(3,1,1)</w:t>
            </w:r>
          </w:p>
        </w:tc>
        <w:tc>
          <w:tcPr>
            <w:tcW w:type="dxa" w:w="1304"/>
            <w:shd w:val="clear" w:color="auto" w:fill="FFF2CC"/>
          </w:tcPr>
          <w:p>
            <w:pPr>
              <w:spacing w:after="20" w:line="252" w:lineRule="auto"/>
              <w:jc w:val="center"/>
            </w:pPr>
            <w:r>
              <w:rPr>
                <w:b/>
              </w:rPr>
            </w:r>
            <w:r>
              <w:rPr>
                <w:b/>
                <w:sz w:val="20"/>
              </w:rPr>
              <w:t>0,160 [6]</w:t>
            </w:r>
          </w:p>
        </w:tc>
        <w:tc>
          <w:tcPr>
            <w:tcW w:type="dxa" w:w="1304"/>
            <w:shd w:val="clear" w:color="auto" w:fill="FFF2CC"/>
          </w:tcPr>
          <w:p>
            <w:pPr>
              <w:spacing w:after="20" w:line="252" w:lineRule="auto"/>
              <w:jc w:val="center"/>
            </w:pPr>
            <w:r>
              <w:rPr>
                <w:b/>
              </w:rPr>
            </w:r>
            <w:r>
              <w:rPr>
                <w:b/>
                <w:sz w:val="20"/>
              </w:rPr>
              <w:t>0,389 [16]</w:t>
            </w:r>
          </w:p>
        </w:tc>
        <w:tc>
          <w:tcPr>
            <w:tcW w:type="dxa" w:w="1304"/>
            <w:shd w:val="clear" w:color="auto" w:fill="FFF2CC"/>
          </w:tcPr>
          <w:p>
            <w:pPr>
              <w:spacing w:after="20" w:line="252" w:lineRule="auto"/>
              <w:jc w:val="center"/>
            </w:pPr>
            <w:r>
              <w:rPr>
                <w:b/>
              </w:rPr>
            </w:r>
            <w:r>
              <w:rPr>
                <w:b/>
                <w:sz w:val="20"/>
              </w:rPr>
              <w:t>&lt; 0,001</w:t>
            </w:r>
          </w:p>
        </w:tc>
        <w:tc>
          <w:tcPr>
            <w:tcW w:type="dxa" w:w="1247"/>
            <w:shd w:val="clear" w:color="auto" w:fill="FFF2CC"/>
          </w:tcPr>
          <w:p>
            <w:pPr>
              <w:spacing w:after="20" w:line="252" w:lineRule="auto"/>
              <w:jc w:val="center"/>
            </w:pPr>
            <w:r>
              <w:rPr>
                <w:b/>
              </w:rPr>
            </w:r>
            <w:r>
              <w:rPr>
                <w:b/>
                <w:sz w:val="20"/>
              </w:rPr>
              <w:t>&lt; 0,001</w:t>
            </w:r>
          </w:p>
        </w:tc>
        <w:tc>
          <w:tcPr>
            <w:tcW w:type="dxa" w:w="1134"/>
            <w:shd w:val="clear" w:color="auto" w:fill="FFF2CC"/>
          </w:tcPr>
          <w:p>
            <w:pPr>
              <w:spacing w:after="20" w:line="252" w:lineRule="auto"/>
              <w:jc w:val="center"/>
            </w:pPr>
            <w:r>
              <w:rPr>
                <w:b/>
              </w:rPr>
            </w:r>
            <w:r>
              <w:rPr>
                <w:b/>
                <w:sz w:val="20"/>
              </w:rPr>
              <w:t>17,24</w:t>
            </w:r>
          </w:p>
        </w:tc>
      </w:tr>
      <w:tr>
        <w:trPr>
          <w:cantSplit/>
        </w:trPr>
        <w:tc>
          <w:tcPr>
            <w:tcW w:type="dxa" w:w="1361"/>
            <w:shd w:val="clear" w:color="auto" w:fill="FFF2CC"/>
          </w:tcPr>
          <w:p>
            <w:pPr>
              <w:spacing w:after="20" w:line="252" w:lineRule="auto"/>
              <w:jc w:val="left"/>
            </w:pPr>
            <w:r>
              <w:rPr>
                <w:b/>
              </w:rPr>
            </w:r>
            <w:r>
              <w:rPr>
                <w:b/>
                <w:sz w:val="20"/>
              </w:rPr>
              <w:t>Train + Val</w:t>
            </w:r>
          </w:p>
        </w:tc>
        <w:tc>
          <w:tcPr>
            <w:tcW w:type="dxa" w:w="1417"/>
            <w:shd w:val="clear" w:color="auto" w:fill="FFF2CC"/>
          </w:tcPr>
          <w:p>
            <w:pPr>
              <w:spacing w:after="20" w:line="252" w:lineRule="auto"/>
              <w:jc w:val="center"/>
            </w:pPr>
            <w:r>
              <w:rPr>
                <w:b/>
              </w:rPr>
            </w:r>
            <w:r>
              <w:rPr>
                <w:b/>
                <w:sz w:val="20"/>
              </w:rPr>
              <w:t>ARIMA(3,1,1)</w:t>
            </w:r>
          </w:p>
        </w:tc>
        <w:tc>
          <w:tcPr>
            <w:tcW w:type="dxa" w:w="1304"/>
            <w:shd w:val="clear" w:color="auto" w:fill="FFF2CC"/>
          </w:tcPr>
          <w:p>
            <w:pPr>
              <w:spacing w:after="20" w:line="252" w:lineRule="auto"/>
              <w:jc w:val="center"/>
            </w:pPr>
            <w:r>
              <w:rPr>
                <w:b/>
              </w:rPr>
            </w:r>
            <w:r>
              <w:rPr>
                <w:b/>
                <w:sz w:val="20"/>
              </w:rPr>
              <w:t>0,041 [6]</w:t>
            </w:r>
          </w:p>
        </w:tc>
        <w:tc>
          <w:tcPr>
            <w:tcW w:type="dxa" w:w="1304"/>
            <w:shd w:val="clear" w:color="auto" w:fill="FFF2CC"/>
          </w:tcPr>
          <w:p>
            <w:pPr>
              <w:spacing w:after="20" w:line="252" w:lineRule="auto"/>
              <w:jc w:val="center"/>
            </w:pPr>
            <w:r>
              <w:rPr>
                <w:b/>
              </w:rPr>
            </w:r>
            <w:r>
              <w:rPr>
                <w:b/>
                <w:sz w:val="20"/>
              </w:rPr>
              <w:t>0,371 [16]</w:t>
            </w:r>
          </w:p>
        </w:tc>
        <w:tc>
          <w:tcPr>
            <w:tcW w:type="dxa" w:w="1304"/>
            <w:shd w:val="clear" w:color="auto" w:fill="FFF2CC"/>
          </w:tcPr>
          <w:p>
            <w:pPr>
              <w:spacing w:after="20" w:line="252" w:lineRule="auto"/>
              <w:jc w:val="center"/>
            </w:pPr>
            <w:r>
              <w:rPr>
                <w:b/>
              </w:rPr>
            </w:r>
            <w:r>
              <w:rPr>
                <w:b/>
                <w:sz w:val="20"/>
              </w:rPr>
              <w:t>&lt; 0,001</w:t>
            </w:r>
          </w:p>
        </w:tc>
        <w:tc>
          <w:tcPr>
            <w:tcW w:type="dxa" w:w="1247"/>
            <w:shd w:val="clear" w:color="auto" w:fill="FFF2CC"/>
          </w:tcPr>
          <w:p>
            <w:pPr>
              <w:spacing w:after="20" w:line="252" w:lineRule="auto"/>
              <w:jc w:val="center"/>
            </w:pPr>
            <w:r>
              <w:rPr>
                <w:b/>
              </w:rPr>
            </w:r>
            <w:r>
              <w:rPr>
                <w:b/>
                <w:sz w:val="20"/>
              </w:rPr>
              <w:t>&lt; 0,001</w:t>
            </w:r>
          </w:p>
        </w:tc>
        <w:tc>
          <w:tcPr>
            <w:tcW w:type="dxa" w:w="1134"/>
            <w:shd w:val="clear" w:color="auto" w:fill="FFF2CC"/>
          </w:tcPr>
          <w:p>
            <w:pPr>
              <w:spacing w:after="20" w:line="252" w:lineRule="auto"/>
              <w:jc w:val="center"/>
            </w:pPr>
            <w:r>
              <w:rPr>
                <w:b/>
              </w:rPr>
            </w:r>
            <w:r>
              <w:rPr>
                <w:b/>
                <w:sz w:val="20"/>
              </w:rPr>
              <w:t>16,89</w:t>
            </w:r>
          </w:p>
        </w:tc>
      </w:tr>
      <w:tr>
        <w:trPr>
          <w:cantSplit/>
        </w:trPr>
        <w:tc>
          <w:tcPr>
            <w:tcW w:type="dxa" w:w="1361"/>
          </w:tcPr>
          <w:p>
            <w:pPr>
              <w:spacing w:after="20" w:line="252" w:lineRule="auto"/>
              <w:jc w:val="left"/>
            </w:pPr>
            <w:r/>
            <w:r>
              <w:rPr>
                <w:sz w:val="20"/>
              </w:rPr>
              <w:t>Train</w:t>
            </w:r>
          </w:p>
        </w:tc>
        <w:tc>
          <w:tcPr>
            <w:tcW w:type="dxa" w:w="1417"/>
          </w:tcPr>
          <w:p>
            <w:pPr>
              <w:spacing w:after="20" w:line="252" w:lineRule="auto"/>
              <w:jc w:val="center"/>
            </w:pPr>
            <w:r/>
            <w:r>
              <w:rPr>
                <w:sz w:val="20"/>
              </w:rPr>
              <w:t>ARIMA(3,1,4)</w:t>
            </w:r>
          </w:p>
        </w:tc>
        <w:tc>
          <w:tcPr>
            <w:tcW w:type="dxa" w:w="1304"/>
          </w:tcPr>
          <w:p>
            <w:pPr>
              <w:spacing w:after="20" w:line="252" w:lineRule="auto"/>
              <w:jc w:val="center"/>
            </w:pPr>
            <w:r/>
            <w:r>
              <w:rPr>
                <w:sz w:val="20"/>
              </w:rPr>
              <w:t>0,904 [3]</w:t>
            </w:r>
          </w:p>
        </w:tc>
        <w:tc>
          <w:tcPr>
            <w:tcW w:type="dxa" w:w="1304"/>
          </w:tcPr>
          <w:p>
            <w:pPr>
              <w:spacing w:after="20" w:line="252" w:lineRule="auto"/>
              <w:jc w:val="center"/>
            </w:pPr>
            <w:r/>
            <w:r>
              <w:rPr>
                <w:sz w:val="20"/>
              </w:rPr>
              <w:t>0,903 [13]</w:t>
            </w:r>
          </w:p>
        </w:tc>
        <w:tc>
          <w:tcPr>
            <w:tcW w:type="dxa" w:w="1304"/>
          </w:tcPr>
          <w:p>
            <w:pPr>
              <w:spacing w:after="20" w:line="252" w:lineRule="auto"/>
              <w:jc w:val="center"/>
            </w:pPr>
            <w:r/>
            <w:r>
              <w:rPr>
                <w:sz w:val="20"/>
              </w:rPr>
              <w:t>&lt; 0,001</w:t>
            </w:r>
          </w:p>
        </w:tc>
        <w:tc>
          <w:tcPr>
            <w:tcW w:type="dxa" w:w="1247"/>
          </w:tcPr>
          <w:p>
            <w:pPr>
              <w:spacing w:after="20" w:line="252" w:lineRule="auto"/>
              <w:jc w:val="center"/>
            </w:pPr>
            <w:r/>
            <w:r>
              <w:rPr>
                <w:sz w:val="20"/>
              </w:rPr>
              <w:t>&lt; 0,001</w:t>
            </w:r>
          </w:p>
        </w:tc>
        <w:tc>
          <w:tcPr>
            <w:tcW w:type="dxa" w:w="1134"/>
          </w:tcPr>
          <w:p>
            <w:pPr>
              <w:spacing w:after="20" w:line="252" w:lineRule="auto"/>
              <w:jc w:val="center"/>
            </w:pPr>
            <w:r/>
            <w:r>
              <w:rPr>
                <w:sz w:val="20"/>
              </w:rPr>
              <w:t>16,83</w:t>
            </w:r>
          </w:p>
        </w:tc>
      </w:tr>
      <w:tr>
        <w:trPr>
          <w:cantSplit/>
        </w:trPr>
        <w:tc>
          <w:tcPr>
            <w:tcW w:type="dxa" w:w="1361"/>
          </w:tcPr>
          <w:p>
            <w:pPr>
              <w:spacing w:after="20" w:line="252" w:lineRule="auto"/>
              <w:jc w:val="left"/>
            </w:pPr>
            <w:r/>
            <w:r>
              <w:rPr>
                <w:sz w:val="20"/>
              </w:rPr>
              <w:t>Test (sai số)</w:t>
            </w:r>
          </w:p>
        </w:tc>
        <w:tc>
          <w:tcPr>
            <w:tcW w:type="dxa" w:w="1417"/>
          </w:tcPr>
          <w:p>
            <w:pPr>
              <w:spacing w:after="20" w:line="252" w:lineRule="auto"/>
              <w:jc w:val="center"/>
            </w:pPr>
            <w:r/>
            <w:r>
              <w:rPr>
                <w:sz w:val="20"/>
              </w:rPr>
              <w:t>Naive</w:t>
            </w:r>
          </w:p>
        </w:tc>
        <w:tc>
          <w:tcPr>
            <w:tcW w:type="dxa" w:w="1304"/>
          </w:tcPr>
          <w:p>
            <w:pPr>
              <w:spacing w:after="20" w:line="252" w:lineRule="auto"/>
              <w:jc w:val="center"/>
            </w:pPr>
            <w:r/>
            <w:r>
              <w:rPr>
                <w:sz w:val="20"/>
              </w:rPr>
              <w:t>0,105</w:t>
            </w:r>
          </w:p>
        </w:tc>
        <w:tc>
          <w:tcPr>
            <w:tcW w:type="dxa" w:w="1304"/>
          </w:tcPr>
          <w:p>
            <w:pPr>
              <w:spacing w:after="20" w:line="252" w:lineRule="auto"/>
              <w:jc w:val="center"/>
            </w:pPr>
            <w:r/>
            <w:r>
              <w:rPr>
                <w:sz w:val="20"/>
              </w:rPr>
              <w:t>0,013</w:t>
            </w:r>
          </w:p>
        </w:tc>
        <w:tc>
          <w:tcPr>
            <w:tcW w:type="dxa" w:w="1304"/>
          </w:tcPr>
          <w:p>
            <w:pPr>
              <w:spacing w:after="20" w:line="252" w:lineRule="auto"/>
              <w:jc w:val="center"/>
            </w:pPr>
            <w:r/>
            <w:r>
              <w:rPr>
                <w:sz w:val="20"/>
              </w:rPr>
              <w:t>&lt; 0,001</w:t>
            </w:r>
          </w:p>
        </w:tc>
        <w:tc>
          <w:tcPr>
            <w:tcW w:type="dxa" w:w="1247"/>
          </w:tcPr>
          <w:p>
            <w:pPr>
              <w:spacing w:after="20" w:line="252" w:lineRule="auto"/>
              <w:jc w:val="center"/>
            </w:pPr>
            <w:r/>
            <w:r>
              <w:rPr>
                <w:sz w:val="20"/>
              </w:rPr>
              <w:t>&lt; 0,001</w:t>
            </w:r>
          </w:p>
        </w:tc>
        <w:tc>
          <w:tcPr>
            <w:tcW w:type="dxa" w:w="1134"/>
          </w:tcPr>
          <w:p>
            <w:pPr>
              <w:spacing w:after="20" w:line="252" w:lineRule="auto"/>
              <w:jc w:val="center"/>
            </w:pPr>
            <w:r/>
            <w:r>
              <w:rPr>
                <w:sz w:val="20"/>
              </w:rPr>
              <w:t>9,31</w:t>
            </w:r>
          </w:p>
        </w:tc>
      </w:tr>
      <w:tr>
        <w:trPr>
          <w:cantSplit/>
        </w:trPr>
        <w:tc>
          <w:tcPr>
            <w:tcW w:type="dxa" w:w="1361"/>
            <w:shd w:val="clear" w:color="auto" w:fill="FFF2CC"/>
          </w:tcPr>
          <w:p>
            <w:pPr>
              <w:spacing w:after="20" w:line="252" w:lineRule="auto"/>
              <w:jc w:val="left"/>
            </w:pPr>
            <w:r>
              <w:rPr>
                <w:b/>
              </w:rPr>
            </w:r>
            <w:r>
              <w:rPr>
                <w:b/>
                <w:sz w:val="20"/>
              </w:rPr>
              <w:t>Test (sai số)</w:t>
            </w:r>
          </w:p>
        </w:tc>
        <w:tc>
          <w:tcPr>
            <w:tcW w:type="dxa" w:w="1417"/>
            <w:shd w:val="clear" w:color="auto" w:fill="FFF2CC"/>
          </w:tcPr>
          <w:p>
            <w:pPr>
              <w:spacing w:after="20" w:line="252" w:lineRule="auto"/>
              <w:jc w:val="center"/>
            </w:pPr>
            <w:r>
              <w:rPr>
                <w:b/>
              </w:rPr>
            </w:r>
            <w:r>
              <w:rPr>
                <w:b/>
                <w:sz w:val="20"/>
              </w:rPr>
              <w:t>ARIMA(3,1,1)</w:t>
            </w:r>
          </w:p>
        </w:tc>
        <w:tc>
          <w:tcPr>
            <w:tcW w:type="dxa" w:w="1304"/>
            <w:shd w:val="clear" w:color="auto" w:fill="FFF2CC"/>
          </w:tcPr>
          <w:p>
            <w:pPr>
              <w:spacing w:after="20" w:line="252" w:lineRule="auto"/>
              <w:jc w:val="center"/>
            </w:pPr>
            <w:r>
              <w:rPr>
                <w:b/>
              </w:rPr>
            </w:r>
            <w:r>
              <w:rPr>
                <w:b/>
                <w:sz w:val="20"/>
              </w:rPr>
              <w:t>0,008</w:t>
            </w:r>
          </w:p>
        </w:tc>
        <w:tc>
          <w:tcPr>
            <w:tcW w:type="dxa" w:w="1304"/>
            <w:shd w:val="clear" w:color="auto" w:fill="FFF2CC"/>
          </w:tcPr>
          <w:p>
            <w:pPr>
              <w:spacing w:after="20" w:line="252" w:lineRule="auto"/>
              <w:jc w:val="center"/>
            </w:pPr>
            <w:r>
              <w:rPr>
                <w:b/>
              </w:rPr>
            </w:r>
            <w:r>
              <w:rPr>
                <w:b/>
                <w:sz w:val="20"/>
              </w:rPr>
              <w:t>&lt; 0,001</w:t>
            </w:r>
          </w:p>
        </w:tc>
        <w:tc>
          <w:tcPr>
            <w:tcW w:type="dxa" w:w="1304"/>
            <w:shd w:val="clear" w:color="auto" w:fill="FFF2CC"/>
          </w:tcPr>
          <w:p>
            <w:pPr>
              <w:spacing w:after="20" w:line="252" w:lineRule="auto"/>
              <w:jc w:val="center"/>
            </w:pPr>
            <w:r>
              <w:rPr>
                <w:b/>
              </w:rPr>
            </w:r>
            <w:r>
              <w:rPr>
                <w:b/>
                <w:sz w:val="20"/>
              </w:rPr>
              <w:t>0,004</w:t>
            </w:r>
          </w:p>
        </w:tc>
        <w:tc>
          <w:tcPr>
            <w:tcW w:type="dxa" w:w="1247"/>
            <w:shd w:val="clear" w:color="auto" w:fill="FFF2CC"/>
          </w:tcPr>
          <w:p>
            <w:pPr>
              <w:spacing w:after="20" w:line="252" w:lineRule="auto"/>
              <w:jc w:val="center"/>
            </w:pPr>
            <w:r>
              <w:rPr>
                <w:b/>
              </w:rPr>
            </w:r>
            <w:r>
              <w:rPr>
                <w:b/>
                <w:sz w:val="20"/>
              </w:rPr>
              <w:t>&lt; 0,001</w:t>
            </w:r>
          </w:p>
        </w:tc>
        <w:tc>
          <w:tcPr>
            <w:tcW w:type="dxa" w:w="1134"/>
            <w:shd w:val="clear" w:color="auto" w:fill="FFF2CC"/>
          </w:tcPr>
          <w:p>
            <w:pPr>
              <w:spacing w:after="20" w:line="252" w:lineRule="auto"/>
              <w:jc w:val="center"/>
            </w:pPr>
            <w:r>
              <w:rPr>
                <w:b/>
              </w:rPr>
            </w:r>
            <w:r>
              <w:rPr>
                <w:b/>
                <w:sz w:val="20"/>
              </w:rPr>
              <w:t>9,32</w:t>
            </w:r>
          </w:p>
        </w:tc>
      </w:tr>
    </w:tbl>
    <w:p>
      <w:r>
        <w:rPr>
          <w:i/>
          <w:sz w:val="19"/>
        </w:rPr>
        <w:t>Ghi chú: Trên mẫu ước lượng, Ljung–Box đã trừ bậc tự do p + q (df ghi trong ngoặc); trên Test, sai số dự báo được kiểm định không hiệu chỉnh.</w:t>
      </w:r>
    </w:p>
    <w:p>
      <w:pPr>
        <w:jc w:val="both"/>
      </w:pPr>
      <w:r>
        <w:t>Phần phương sai chưa được mô hình hóa: ARCH-LM bác bỏ giả thuyết không có hiệu ứng ARCH trên mọi mẫu, kể cả sai số Test (p = 0,004). Phần dư chuẩn hóa có các cụm biến động lớn, rõ nhất quanh cuối năm 2022 (Hình P1.6). Q–Q plot lệch mạnh ở hai đuôi và kurtosis (chưa trừ 3) khoảng 17, so với 3 của phân phối chuẩn, nên giả định nhiễu trắng Gaussian phương sai hằng không được thỏa mãn.</w:t>
      </w:r>
    </w:p>
    <w:p>
      <w:pPr>
        <w:keepNext/>
        <w:jc w:val="center"/>
      </w:pPr>
      <w:r>
        <w:drawing>
          <wp:inline xmlns:a="http://schemas.openxmlformats.org/drawingml/2006/main" xmlns:pic="http://schemas.openxmlformats.org/drawingml/2006/picture">
            <wp:extent cx="5220000" cy="3396069"/>
            <wp:docPr id="6" name="Picture 6"/>
            <wp:cNvGraphicFramePr>
              <a:graphicFrameLocks noChangeAspect="1"/>
            </wp:cNvGraphicFramePr>
            <a:graphic>
              <a:graphicData uri="http://schemas.openxmlformats.org/drawingml/2006/picture">
                <pic:pic>
                  <pic:nvPicPr>
                    <pic:cNvPr id="0" name="11_arima_residual_diagnostics_final.png"/>
                    <pic:cNvPicPr/>
                  </pic:nvPicPr>
                  <pic:blipFill>
                    <a:blip r:embed="rId14"/>
                    <a:stretch>
                      <a:fillRect/>
                    </a:stretch>
                  </pic:blipFill>
                  <pic:spPr>
                    <a:xfrm>
                      <a:off x="0" y="0"/>
                      <a:ext cx="5220000" cy="3396069"/>
                    </a:xfrm>
                    <a:prstGeom prst="rect"/>
                  </pic:spPr>
                </pic:pic>
              </a:graphicData>
            </a:graphic>
          </wp:inline>
        </w:drawing>
      </w:r>
    </w:p>
    <w:p>
      <w:pPr>
        <w:jc w:val="center"/>
      </w:pPr>
      <w:r>
        <w:rPr>
          <w:i/>
          <w:sz w:val="20"/>
        </w:rPr>
        <w:t xml:space="preserve">Hình P1.6. </w:t>
      </w:r>
      <w:r>
        <w:rPr>
          <w:sz w:val="20"/>
        </w:rPr>
        <w:t>Chẩn đoán phần dư ARIMA(3,1,1) trên Train: phần dư chuẩn hóa, histogram so với N(0,1), Q–Q plot và ACF phần dư.</w:t>
      </w:r>
    </w:p>
    <w:p>
      <w:pPr>
        <w:pStyle w:val="Heading3"/>
      </w:pPr>
      <w:r>
        <w:t>7.1.8. Kiểm tra dự báo nhiều bước từ cùng một mốc cố định</w:t>
      </w:r>
    </w:p>
    <w:p>
      <w:pPr>
        <w:jc w:val="both"/>
      </w:pPr>
      <w:r>
        <w:t>Để kiểm tra dự báo xa, mô hình ước lượng trên Train + Validation dự báo liên tục 175 phiên kể từ 31/12/2025, không cập nhật bằng giá Test. Trung vị dự báo của ARIMA(3,1,1) gần như phẳng quanh 26.302–26.303 VND/USD. RMSE ở mọi chân trời chỉ cao hơn Naive một chút (133,28 so với 130,41 ở h = 175). Khác biệt lớn nằm ở độ rộng khoảng dự báo: ở h = 175, khoảng 95% của ARIMA rộng 1.779 VND so với 1.260 VND của Naive và chứa toàn bộ quan sát. Nguyên nhân là phương sai dự báo h bước tiến tới σ²·h·ψ(1)², với ψ(1) = Θ(1)/Φ(1) = 0,442/0,299 ≈ 1,48. Cấu trúc ARMA ước lượng ngầm định cú sốc được khuếch đại theo thời gian, khiến khoảng dự báo xa quá thận trọng (Hình P1.7).</w:t>
      </w:r>
    </w:p>
    <w:p>
      <w:pPr>
        <w:keepNext/>
        <w:spacing w:before="120"/>
      </w:pPr>
      <w:r>
        <w:rPr>
          <w:b/>
        </w:rPr>
        <w:t xml:space="preserve">Bảng P1.9. </w:t>
      </w:r>
      <w:r>
        <w:t>Dự báo nhiều bước từ mốc cố định 31/12/2025 (VND/USD)</w:t>
      </w:r>
    </w:p>
    <w:tbl>
      <w:tblPr>
        <w:tblStyle w:val="TableGrid"/>
        <w:tblW w:type="auto" w:w="0"/>
        <w:jc w:val="center"/>
        <w:tblLook w:firstColumn="1" w:firstRow="1" w:lastColumn="0" w:lastRow="0" w:noHBand="0" w:noVBand="1" w:val="04A0"/>
      </w:tblPr>
      <w:tblGrid>
        <w:gridCol w:w="1300"/>
        <w:gridCol w:w="1300"/>
        <w:gridCol w:w="1300"/>
        <w:gridCol w:w="1300"/>
        <w:gridCol w:w="1300"/>
        <w:gridCol w:w="1300"/>
        <w:gridCol w:w="1300"/>
      </w:tblGrid>
      <w:tr>
        <w:trPr>
          <w:cantSplit/>
          <w:tblHeader/>
        </w:trPr>
        <w:tc>
          <w:tcPr>
            <w:tcW w:type="dxa" w:w="907"/>
            <w:shd w:val="clear" w:color="auto" w:fill="DCE6F1"/>
          </w:tcPr>
          <w:p>
            <w:pPr>
              <w:spacing w:after="20" w:line="252" w:lineRule="auto"/>
              <w:jc w:val="left"/>
            </w:pPr>
            <w:r>
              <w:rPr>
                <w:b/>
              </w:rPr>
            </w:r>
            <w:r>
              <w:rPr>
                <w:b/>
                <w:sz w:val="20"/>
              </w:rPr>
              <w:t>Số phiên</w:t>
            </w:r>
          </w:p>
        </w:tc>
        <w:tc>
          <w:tcPr>
            <w:tcW w:type="dxa" w:w="1191"/>
            <w:shd w:val="clear" w:color="auto" w:fill="DCE6F1"/>
          </w:tcPr>
          <w:p>
            <w:pPr>
              <w:spacing w:after="20" w:line="252" w:lineRule="auto"/>
              <w:jc w:val="center"/>
            </w:pPr>
            <w:r>
              <w:rPr>
                <w:b/>
              </w:rPr>
            </w:r>
            <w:r>
              <w:rPr>
                <w:b/>
                <w:sz w:val="20"/>
              </w:rPr>
              <w:t>Naive: RMSE</w:t>
            </w:r>
          </w:p>
        </w:tc>
        <w:tc>
          <w:tcPr>
            <w:tcW w:type="dxa" w:w="1247"/>
            <w:shd w:val="clear" w:color="auto" w:fill="DCE6F1"/>
          </w:tcPr>
          <w:p>
            <w:pPr>
              <w:spacing w:after="20" w:line="252" w:lineRule="auto"/>
              <w:jc w:val="center"/>
            </w:pPr>
            <w:r>
              <w:rPr>
                <w:b/>
              </w:rPr>
            </w:r>
            <w:r>
              <w:rPr>
                <w:b/>
                <w:sz w:val="20"/>
              </w:rPr>
              <w:t>Naive: Width</w:t>
            </w:r>
          </w:p>
        </w:tc>
        <w:tc>
          <w:tcPr>
            <w:tcW w:type="dxa" w:w="1304"/>
            <w:shd w:val="clear" w:color="auto" w:fill="DCE6F1"/>
          </w:tcPr>
          <w:p>
            <w:pPr>
              <w:spacing w:after="20" w:line="252" w:lineRule="auto"/>
              <w:jc w:val="center"/>
            </w:pPr>
            <w:r>
              <w:rPr>
                <w:b/>
              </w:rPr>
            </w:r>
            <w:r>
              <w:rPr>
                <w:b/>
                <w:sz w:val="20"/>
              </w:rPr>
              <w:t>Naive: Coverage</w:t>
            </w:r>
          </w:p>
        </w:tc>
        <w:tc>
          <w:tcPr>
            <w:tcW w:type="dxa" w:w="1474"/>
            <w:shd w:val="clear" w:color="auto" w:fill="DCE6F1"/>
          </w:tcPr>
          <w:p>
            <w:pPr>
              <w:spacing w:after="20" w:line="252" w:lineRule="auto"/>
              <w:jc w:val="center"/>
            </w:pPr>
            <w:r>
              <w:rPr>
                <w:b/>
              </w:rPr>
            </w:r>
            <w:r>
              <w:rPr>
                <w:b/>
                <w:sz w:val="20"/>
              </w:rPr>
              <w:t>ARIMA(3,1,1): RMSE</w:t>
            </w:r>
          </w:p>
        </w:tc>
        <w:tc>
          <w:tcPr>
            <w:tcW w:type="dxa" w:w="1474"/>
            <w:shd w:val="clear" w:color="auto" w:fill="DCE6F1"/>
          </w:tcPr>
          <w:p>
            <w:pPr>
              <w:spacing w:after="20" w:line="252" w:lineRule="auto"/>
              <w:jc w:val="center"/>
            </w:pPr>
            <w:r>
              <w:rPr>
                <w:b/>
              </w:rPr>
            </w:r>
            <w:r>
              <w:rPr>
                <w:b/>
                <w:sz w:val="20"/>
              </w:rPr>
              <w:t>ARIMA(3,1,1): Width</w:t>
            </w:r>
          </w:p>
        </w:tc>
        <w:tc>
          <w:tcPr>
            <w:tcW w:type="dxa" w:w="1474"/>
            <w:shd w:val="clear" w:color="auto" w:fill="DCE6F1"/>
          </w:tcPr>
          <w:p>
            <w:pPr>
              <w:spacing w:after="20" w:line="252" w:lineRule="auto"/>
              <w:jc w:val="center"/>
            </w:pPr>
            <w:r>
              <w:rPr>
                <w:b/>
              </w:rPr>
            </w:r>
            <w:r>
              <w:rPr>
                <w:b/>
                <w:sz w:val="20"/>
              </w:rPr>
              <w:t>ARIMA(3,1,1): Coverage</w:t>
            </w:r>
          </w:p>
        </w:tc>
      </w:tr>
      <w:tr>
        <w:trPr>
          <w:cantSplit/>
        </w:trPr>
        <w:tc>
          <w:tcPr>
            <w:tcW w:type="dxa" w:w="907"/>
          </w:tcPr>
          <w:p>
            <w:pPr>
              <w:spacing w:after="20" w:line="252" w:lineRule="auto"/>
              <w:jc w:val="left"/>
            </w:pPr>
            <w:r/>
            <w:r>
              <w:rPr>
                <w:sz w:val="20"/>
              </w:rPr>
              <w:t>1</w:t>
            </w:r>
          </w:p>
        </w:tc>
        <w:tc>
          <w:tcPr>
            <w:tcW w:type="dxa" w:w="1191"/>
          </w:tcPr>
          <w:p>
            <w:pPr>
              <w:spacing w:after="20" w:line="252" w:lineRule="auto"/>
              <w:jc w:val="center"/>
            </w:pPr>
            <w:r/>
            <w:r>
              <w:rPr>
                <w:sz w:val="20"/>
              </w:rPr>
              <w:t>0,00</w:t>
            </w:r>
          </w:p>
        </w:tc>
        <w:tc>
          <w:tcPr>
            <w:tcW w:type="dxa" w:w="1247"/>
          </w:tcPr>
          <w:p>
            <w:pPr>
              <w:spacing w:after="20" w:line="252" w:lineRule="auto"/>
              <w:jc w:val="center"/>
            </w:pPr>
            <w:r/>
            <w:r>
              <w:rPr>
                <w:sz w:val="20"/>
              </w:rPr>
              <w:t>142,24</w:t>
            </w:r>
          </w:p>
        </w:tc>
        <w:tc>
          <w:tcPr>
            <w:tcW w:type="dxa" w:w="1304"/>
          </w:tcPr>
          <w:p>
            <w:pPr>
              <w:spacing w:after="20" w:line="252" w:lineRule="auto"/>
              <w:jc w:val="center"/>
            </w:pPr>
            <w:r/>
            <w:r>
              <w:rPr>
                <w:sz w:val="20"/>
              </w:rPr>
              <w:t>100,00%</w:t>
            </w:r>
          </w:p>
        </w:tc>
        <w:tc>
          <w:tcPr>
            <w:tcW w:type="dxa" w:w="1474"/>
          </w:tcPr>
          <w:p>
            <w:pPr>
              <w:spacing w:after="20" w:line="252" w:lineRule="auto"/>
              <w:jc w:val="center"/>
            </w:pPr>
            <w:r/>
            <w:r>
              <w:rPr>
                <w:sz w:val="20"/>
              </w:rPr>
              <w:t>2,26</w:t>
            </w:r>
          </w:p>
        </w:tc>
        <w:tc>
          <w:tcPr>
            <w:tcW w:type="dxa" w:w="1474"/>
          </w:tcPr>
          <w:p>
            <w:pPr>
              <w:spacing w:after="20" w:line="252" w:lineRule="auto"/>
              <w:jc w:val="center"/>
            </w:pPr>
            <w:r/>
            <w:r>
              <w:rPr>
                <w:sz w:val="20"/>
              </w:rPr>
              <w:t>139,49</w:t>
            </w:r>
          </w:p>
        </w:tc>
        <w:tc>
          <w:tcPr>
            <w:tcW w:type="dxa" w:w="1474"/>
          </w:tcPr>
          <w:p>
            <w:pPr>
              <w:spacing w:after="20" w:line="252" w:lineRule="auto"/>
              <w:jc w:val="center"/>
            </w:pPr>
            <w:r/>
            <w:r>
              <w:rPr>
                <w:sz w:val="20"/>
              </w:rPr>
              <w:t>100,00%</w:t>
            </w:r>
          </w:p>
        </w:tc>
      </w:tr>
      <w:tr>
        <w:trPr>
          <w:cantSplit/>
        </w:trPr>
        <w:tc>
          <w:tcPr>
            <w:tcW w:type="dxa" w:w="907"/>
          </w:tcPr>
          <w:p>
            <w:pPr>
              <w:spacing w:after="20" w:line="252" w:lineRule="auto"/>
              <w:jc w:val="left"/>
            </w:pPr>
            <w:r/>
            <w:r>
              <w:rPr>
                <w:sz w:val="20"/>
              </w:rPr>
              <w:t>5</w:t>
            </w:r>
          </w:p>
        </w:tc>
        <w:tc>
          <w:tcPr>
            <w:tcW w:type="dxa" w:w="1191"/>
          </w:tcPr>
          <w:p>
            <w:pPr>
              <w:spacing w:after="20" w:line="252" w:lineRule="auto"/>
              <w:jc w:val="center"/>
            </w:pPr>
            <w:r/>
            <w:r>
              <w:rPr>
                <w:sz w:val="20"/>
              </w:rPr>
              <w:t>19,63</w:t>
            </w:r>
          </w:p>
        </w:tc>
        <w:tc>
          <w:tcPr>
            <w:tcW w:type="dxa" w:w="1247"/>
          </w:tcPr>
          <w:p>
            <w:pPr>
              <w:spacing w:after="20" w:line="252" w:lineRule="auto"/>
              <w:jc w:val="center"/>
            </w:pPr>
            <w:r/>
            <w:r>
              <w:rPr>
                <w:sz w:val="20"/>
              </w:rPr>
              <w:t>238,46</w:t>
            </w:r>
          </w:p>
        </w:tc>
        <w:tc>
          <w:tcPr>
            <w:tcW w:type="dxa" w:w="1304"/>
          </w:tcPr>
          <w:p>
            <w:pPr>
              <w:spacing w:after="20" w:line="252" w:lineRule="auto"/>
              <w:jc w:val="center"/>
            </w:pPr>
            <w:r/>
            <w:r>
              <w:rPr>
                <w:sz w:val="20"/>
              </w:rPr>
              <w:t>100,00%</w:t>
            </w:r>
          </w:p>
        </w:tc>
        <w:tc>
          <w:tcPr>
            <w:tcW w:type="dxa" w:w="1474"/>
          </w:tcPr>
          <w:p>
            <w:pPr>
              <w:spacing w:after="20" w:line="252" w:lineRule="auto"/>
              <w:jc w:val="center"/>
            </w:pPr>
            <w:r/>
            <w:r>
              <w:rPr>
                <w:sz w:val="20"/>
              </w:rPr>
              <w:t>20,01</w:t>
            </w:r>
          </w:p>
        </w:tc>
        <w:tc>
          <w:tcPr>
            <w:tcW w:type="dxa" w:w="1474"/>
          </w:tcPr>
          <w:p>
            <w:pPr>
              <w:spacing w:after="20" w:line="252" w:lineRule="auto"/>
              <w:jc w:val="center"/>
            </w:pPr>
            <w:r/>
            <w:r>
              <w:rPr>
                <w:sz w:val="20"/>
              </w:rPr>
              <w:t>248,03</w:t>
            </w:r>
          </w:p>
        </w:tc>
        <w:tc>
          <w:tcPr>
            <w:tcW w:type="dxa" w:w="1474"/>
          </w:tcPr>
          <w:p>
            <w:pPr>
              <w:spacing w:after="20" w:line="252" w:lineRule="auto"/>
              <w:jc w:val="center"/>
            </w:pPr>
            <w:r/>
            <w:r>
              <w:rPr>
                <w:sz w:val="20"/>
              </w:rPr>
              <w:t>100,00%</w:t>
            </w:r>
          </w:p>
        </w:tc>
      </w:tr>
      <w:tr>
        <w:trPr>
          <w:cantSplit/>
        </w:trPr>
        <w:tc>
          <w:tcPr>
            <w:tcW w:type="dxa" w:w="907"/>
          </w:tcPr>
          <w:p>
            <w:pPr>
              <w:spacing w:after="20" w:line="252" w:lineRule="auto"/>
              <w:jc w:val="left"/>
            </w:pPr>
            <w:r/>
            <w:r>
              <w:rPr>
                <w:sz w:val="20"/>
              </w:rPr>
              <w:t>20</w:t>
            </w:r>
          </w:p>
        </w:tc>
        <w:tc>
          <w:tcPr>
            <w:tcW w:type="dxa" w:w="1191"/>
          </w:tcPr>
          <w:p>
            <w:pPr>
              <w:spacing w:after="20" w:line="252" w:lineRule="auto"/>
              <w:jc w:val="center"/>
            </w:pPr>
            <w:r/>
            <w:r>
              <w:rPr>
                <w:sz w:val="20"/>
              </w:rPr>
              <w:t>53,11</w:t>
            </w:r>
          </w:p>
        </w:tc>
        <w:tc>
          <w:tcPr>
            <w:tcW w:type="dxa" w:w="1247"/>
          </w:tcPr>
          <w:p>
            <w:pPr>
              <w:spacing w:after="20" w:line="252" w:lineRule="auto"/>
              <w:jc w:val="center"/>
            </w:pPr>
            <w:r/>
            <w:r>
              <w:rPr>
                <w:sz w:val="20"/>
              </w:rPr>
              <w:t>438,58</w:t>
            </w:r>
          </w:p>
        </w:tc>
        <w:tc>
          <w:tcPr>
            <w:tcW w:type="dxa" w:w="1304"/>
          </w:tcPr>
          <w:p>
            <w:pPr>
              <w:spacing w:after="20" w:line="252" w:lineRule="auto"/>
              <w:jc w:val="center"/>
            </w:pPr>
            <w:r/>
            <w:r>
              <w:rPr>
                <w:sz w:val="20"/>
              </w:rPr>
              <w:t>100,00%</w:t>
            </w:r>
          </w:p>
        </w:tc>
        <w:tc>
          <w:tcPr>
            <w:tcW w:type="dxa" w:w="1474"/>
          </w:tcPr>
          <w:p>
            <w:pPr>
              <w:spacing w:after="20" w:line="252" w:lineRule="auto"/>
              <w:jc w:val="center"/>
            </w:pPr>
            <w:r/>
            <w:r>
              <w:rPr>
                <w:sz w:val="20"/>
              </w:rPr>
              <w:t>55,56</w:t>
            </w:r>
          </w:p>
        </w:tc>
        <w:tc>
          <w:tcPr>
            <w:tcW w:type="dxa" w:w="1474"/>
          </w:tcPr>
          <w:p>
            <w:pPr>
              <w:spacing w:after="20" w:line="252" w:lineRule="auto"/>
              <w:jc w:val="center"/>
            </w:pPr>
            <w:r/>
            <w:r>
              <w:rPr>
                <w:sz w:val="20"/>
              </w:rPr>
              <w:t>538,75</w:t>
            </w:r>
          </w:p>
        </w:tc>
        <w:tc>
          <w:tcPr>
            <w:tcW w:type="dxa" w:w="1474"/>
          </w:tcPr>
          <w:p>
            <w:pPr>
              <w:spacing w:after="20" w:line="252" w:lineRule="auto"/>
              <w:jc w:val="center"/>
            </w:pPr>
            <w:r/>
            <w:r>
              <w:rPr>
                <w:sz w:val="20"/>
              </w:rPr>
              <w:t>100,00%</w:t>
            </w:r>
          </w:p>
        </w:tc>
      </w:tr>
      <w:tr>
        <w:trPr>
          <w:cantSplit/>
        </w:trPr>
        <w:tc>
          <w:tcPr>
            <w:tcW w:type="dxa" w:w="907"/>
          </w:tcPr>
          <w:p>
            <w:pPr>
              <w:spacing w:after="20" w:line="252" w:lineRule="auto"/>
              <w:jc w:val="left"/>
            </w:pPr>
            <w:r/>
            <w:r>
              <w:rPr>
                <w:sz w:val="20"/>
              </w:rPr>
              <w:t>60</w:t>
            </w:r>
          </w:p>
        </w:tc>
        <w:tc>
          <w:tcPr>
            <w:tcW w:type="dxa" w:w="1191"/>
          </w:tcPr>
          <w:p>
            <w:pPr>
              <w:spacing w:after="20" w:line="252" w:lineRule="auto"/>
              <w:jc w:val="center"/>
            </w:pPr>
            <w:r/>
            <w:r>
              <w:rPr>
                <w:sz w:val="20"/>
              </w:rPr>
              <w:t>195,00</w:t>
            </w:r>
          </w:p>
        </w:tc>
        <w:tc>
          <w:tcPr>
            <w:tcW w:type="dxa" w:w="1247"/>
          </w:tcPr>
          <w:p>
            <w:pPr>
              <w:spacing w:after="20" w:line="252" w:lineRule="auto"/>
              <w:jc w:val="center"/>
            </w:pPr>
            <w:r/>
            <w:r>
              <w:rPr>
                <w:sz w:val="20"/>
              </w:rPr>
              <w:t>743,26</w:t>
            </w:r>
          </w:p>
        </w:tc>
        <w:tc>
          <w:tcPr>
            <w:tcW w:type="dxa" w:w="1304"/>
          </w:tcPr>
          <w:p>
            <w:pPr>
              <w:spacing w:after="20" w:line="252" w:lineRule="auto"/>
              <w:jc w:val="center"/>
            </w:pPr>
            <w:r/>
            <w:r>
              <w:rPr>
                <w:sz w:val="20"/>
              </w:rPr>
              <w:t>95,00%</w:t>
            </w:r>
          </w:p>
        </w:tc>
        <w:tc>
          <w:tcPr>
            <w:tcW w:type="dxa" w:w="1474"/>
          </w:tcPr>
          <w:p>
            <w:pPr>
              <w:spacing w:after="20" w:line="252" w:lineRule="auto"/>
              <w:jc w:val="center"/>
            </w:pPr>
            <w:r/>
            <w:r>
              <w:rPr>
                <w:sz w:val="20"/>
              </w:rPr>
              <w:t>198,36</w:t>
            </w:r>
          </w:p>
        </w:tc>
        <w:tc>
          <w:tcPr>
            <w:tcW w:type="dxa" w:w="1474"/>
          </w:tcPr>
          <w:p>
            <w:pPr>
              <w:spacing w:after="20" w:line="252" w:lineRule="auto"/>
              <w:jc w:val="center"/>
            </w:pPr>
            <w:r/>
            <w:r>
              <w:rPr>
                <w:sz w:val="20"/>
              </w:rPr>
              <w:t>1.006,73</w:t>
            </w:r>
          </w:p>
        </w:tc>
        <w:tc>
          <w:tcPr>
            <w:tcW w:type="dxa" w:w="1474"/>
          </w:tcPr>
          <w:p>
            <w:pPr>
              <w:spacing w:after="20" w:line="252" w:lineRule="auto"/>
              <w:jc w:val="center"/>
            </w:pPr>
            <w:r/>
            <w:r>
              <w:rPr>
                <w:sz w:val="20"/>
              </w:rPr>
              <w:t>100,00%</w:t>
            </w:r>
          </w:p>
        </w:tc>
      </w:tr>
      <w:tr>
        <w:trPr>
          <w:cantSplit/>
        </w:trPr>
        <w:tc>
          <w:tcPr>
            <w:tcW w:type="dxa" w:w="907"/>
          </w:tcPr>
          <w:p>
            <w:pPr>
              <w:spacing w:after="20" w:line="252" w:lineRule="auto"/>
              <w:jc w:val="left"/>
            </w:pPr>
            <w:r/>
            <w:r>
              <w:rPr>
                <w:sz w:val="20"/>
              </w:rPr>
              <w:t>175</w:t>
            </w:r>
          </w:p>
        </w:tc>
        <w:tc>
          <w:tcPr>
            <w:tcW w:type="dxa" w:w="1191"/>
          </w:tcPr>
          <w:p>
            <w:pPr>
              <w:spacing w:after="20" w:line="252" w:lineRule="auto"/>
              <w:jc w:val="center"/>
            </w:pPr>
            <w:r/>
            <w:r>
              <w:rPr>
                <w:sz w:val="20"/>
              </w:rPr>
              <w:t>130,41</w:t>
            </w:r>
          </w:p>
        </w:tc>
        <w:tc>
          <w:tcPr>
            <w:tcW w:type="dxa" w:w="1247"/>
          </w:tcPr>
          <w:p>
            <w:pPr>
              <w:spacing w:after="20" w:line="252" w:lineRule="auto"/>
              <w:jc w:val="center"/>
            </w:pPr>
            <w:r/>
            <w:r>
              <w:rPr>
                <w:sz w:val="20"/>
              </w:rPr>
              <w:t>1.259,81</w:t>
            </w:r>
          </w:p>
        </w:tc>
        <w:tc>
          <w:tcPr>
            <w:tcW w:type="dxa" w:w="1304"/>
          </w:tcPr>
          <w:p>
            <w:pPr>
              <w:spacing w:after="20" w:line="252" w:lineRule="auto"/>
              <w:jc w:val="center"/>
            </w:pPr>
            <w:r/>
            <w:r>
              <w:rPr>
                <w:sz w:val="20"/>
              </w:rPr>
              <w:t>98,29%</w:t>
            </w:r>
          </w:p>
        </w:tc>
        <w:tc>
          <w:tcPr>
            <w:tcW w:type="dxa" w:w="1474"/>
          </w:tcPr>
          <w:p>
            <w:pPr>
              <w:spacing w:after="20" w:line="252" w:lineRule="auto"/>
              <w:jc w:val="center"/>
            </w:pPr>
            <w:r/>
            <w:r>
              <w:rPr>
                <w:sz w:val="20"/>
              </w:rPr>
              <w:t>133,28</w:t>
            </w:r>
          </w:p>
        </w:tc>
        <w:tc>
          <w:tcPr>
            <w:tcW w:type="dxa" w:w="1474"/>
          </w:tcPr>
          <w:p>
            <w:pPr>
              <w:spacing w:after="20" w:line="252" w:lineRule="auto"/>
              <w:jc w:val="center"/>
            </w:pPr>
            <w:r/>
            <w:r>
              <w:rPr>
                <w:sz w:val="20"/>
              </w:rPr>
              <w:t>1.779,18</w:t>
            </w:r>
          </w:p>
        </w:tc>
        <w:tc>
          <w:tcPr>
            <w:tcW w:type="dxa" w:w="1474"/>
          </w:tcPr>
          <w:p>
            <w:pPr>
              <w:spacing w:after="20" w:line="252" w:lineRule="auto"/>
              <w:jc w:val="center"/>
            </w:pPr>
            <w:r/>
            <w:r>
              <w:rPr>
                <w:sz w:val="20"/>
              </w:rPr>
              <w:t>100,00%</w:t>
            </w:r>
          </w:p>
        </w:tc>
      </w:tr>
    </w:tbl>
    <w:p>
      <w:r>
        <w:rPr>
          <w:i/>
          <w:sz w:val="19"/>
        </w:rPr>
        <w:t>Ghi chú: Phiên Test đầu tiên (01/01/2026) là ngày lễ có giá bằng phiên trước, nên RMSE của Naive ở h = 1 bằng 0. Naive ở đây giữ cố định giá ngày 31/12/2025 cho mọi chân trời.</w:t>
      </w:r>
    </w:p>
    <w:p>
      <w:pPr>
        <w:keepNext/>
        <w:jc w:val="center"/>
      </w:pPr>
      <w:r>
        <w:drawing>
          <wp:inline xmlns:a="http://schemas.openxmlformats.org/drawingml/2006/main" xmlns:pic="http://schemas.openxmlformats.org/drawingml/2006/picture">
            <wp:extent cx="5760000" cy="2400000"/>
            <wp:docPr id="7" name="Picture 7"/>
            <wp:cNvGraphicFramePr>
              <a:graphicFrameLocks noChangeAspect="1"/>
            </wp:cNvGraphicFramePr>
            <a:graphic>
              <a:graphicData uri="http://schemas.openxmlformats.org/drawingml/2006/picture">
                <pic:pic>
                  <pic:nvPicPr>
                    <pic:cNvPr id="0" name="20_arima_fixed_origin_test.png"/>
                    <pic:cNvPicPr/>
                  </pic:nvPicPr>
                  <pic:blipFill>
                    <a:blip r:embed="rId15"/>
                    <a:stretch>
                      <a:fillRect/>
                    </a:stretch>
                  </pic:blipFill>
                  <pic:spPr>
                    <a:xfrm>
                      <a:off x="0" y="0"/>
                      <a:ext cx="5760000" cy="2400000"/>
                    </a:xfrm>
                    <a:prstGeom prst="rect"/>
                  </pic:spPr>
                </pic:pic>
              </a:graphicData>
            </a:graphic>
          </wp:inline>
        </w:drawing>
      </w:r>
    </w:p>
    <w:p>
      <w:pPr>
        <w:jc w:val="center"/>
      </w:pPr>
      <w:r>
        <w:rPr>
          <w:i/>
          <w:sz w:val="20"/>
        </w:rPr>
        <w:t xml:space="preserve">Hình P1.7. </w:t>
      </w:r>
      <w:r>
        <w:rPr>
          <w:sz w:val="20"/>
        </w:rPr>
        <w:t>Dự báo nhiều bước từ mốc cố định 31/12/2025: ARIMA(3,1,1), Naive và khoảng dự báo 95% của ARIMA(3,1,1).</w:t>
      </w:r>
    </w:p>
    <w:p>
      <w:pPr>
        <w:pStyle w:val="Heading3"/>
      </w:pPr>
      <w:r>
        <w:t>7.1.9. Kiểm tra độ vững</w:t>
      </w:r>
    </w:p>
    <w:p>
      <w:pPr>
        <w:jc w:val="both"/>
      </w:pPr>
      <w:r>
        <w:t>Kết luận không thay đổi qua các kiểm tra sau (Bảng P1.10). Ước lượng lại tham số theo cửa sổ trượt hoặc cửa sổ mở rộng không giúp vượt Naive; với ARIMA(3,1,1), Relative RMSE trên Test còn tăng lên 1,012–1,022. Loại bỏ 105 phiên nghỉ lễ bị điền giá cũ không làm thay đổi bậc được chọn. Ngay trong mẫu, mức giảm RMSE 2,3% của ARIMA(3,1,1) so với Naive chỉ có ý nghĩa ở mức 10% khi dùng sai số chuẩn HAC.</w:t>
      </w:r>
    </w:p>
    <w:p>
      <w:pPr>
        <w:keepNext/>
        <w:spacing w:before="120"/>
      </w:pPr>
      <w:r>
        <w:rPr>
          <w:b/>
        </w:rPr>
        <w:t xml:space="preserve">Bảng P1.10. </w:t>
      </w:r>
      <w:r>
        <w:t>Các kiểm tra độ vững</w:t>
      </w:r>
    </w:p>
    <w:tbl>
      <w:tblPr>
        <w:tblStyle w:val="TableGrid"/>
        <w:tblW w:type="auto" w:w="0"/>
        <w:jc w:val="center"/>
        <w:tblLook w:firstColumn="1" w:firstRow="1" w:lastColumn="0" w:lastRow="0" w:noHBand="0" w:noVBand="1" w:val="04A0"/>
      </w:tblPr>
      <w:tblGrid>
        <w:gridCol w:w="3033"/>
        <w:gridCol w:w="3033"/>
        <w:gridCol w:w="3033"/>
      </w:tblGrid>
      <w:tr>
        <w:trPr>
          <w:cantSplit/>
          <w:tblHeader/>
        </w:trPr>
        <w:tc>
          <w:tcPr>
            <w:tcW w:type="dxa" w:w="2494"/>
            <w:shd w:val="clear" w:color="auto" w:fill="DCE6F1"/>
          </w:tcPr>
          <w:p>
            <w:pPr>
              <w:spacing w:after="20" w:line="252" w:lineRule="auto"/>
              <w:jc w:val="left"/>
            </w:pPr>
            <w:r>
              <w:rPr>
                <w:b/>
              </w:rPr>
            </w:r>
            <w:r>
              <w:rPr>
                <w:b/>
                <w:sz w:val="19"/>
              </w:rPr>
              <w:t>Kiểm tra</w:t>
            </w:r>
          </w:p>
        </w:tc>
        <w:tc>
          <w:tcPr>
            <w:tcW w:type="dxa" w:w="3742"/>
            <w:shd w:val="clear" w:color="auto" w:fill="DCE6F1"/>
          </w:tcPr>
          <w:p>
            <w:pPr>
              <w:spacing w:after="20" w:line="252" w:lineRule="auto"/>
              <w:jc w:val="center"/>
            </w:pPr>
            <w:r>
              <w:rPr>
                <w:b/>
              </w:rPr>
            </w:r>
            <w:r>
              <w:rPr>
                <w:b/>
                <w:sz w:val="19"/>
              </w:rPr>
              <w:t>Kết quả</w:t>
            </w:r>
          </w:p>
        </w:tc>
        <w:tc>
          <w:tcPr>
            <w:tcW w:type="dxa" w:w="2835"/>
            <w:shd w:val="clear" w:color="auto" w:fill="DCE6F1"/>
          </w:tcPr>
          <w:p>
            <w:pPr>
              <w:spacing w:after="20" w:line="252" w:lineRule="auto"/>
              <w:jc w:val="center"/>
            </w:pPr>
            <w:r>
              <w:rPr>
                <w:b/>
              </w:rPr>
            </w:r>
            <w:r>
              <w:rPr>
                <w:b/>
                <w:sz w:val="19"/>
              </w:rPr>
              <w:t>Ý nghĩa</w:t>
            </w:r>
          </w:p>
        </w:tc>
      </w:tr>
      <w:tr>
        <w:trPr>
          <w:cantSplit/>
        </w:trPr>
        <w:tc>
          <w:tcPr>
            <w:tcW w:type="dxa" w:w="2494"/>
          </w:tcPr>
          <w:p>
            <w:pPr>
              <w:spacing w:after="20" w:line="252" w:lineRule="auto"/>
              <w:jc w:val="left"/>
            </w:pPr>
            <w:r/>
            <w:r>
              <w:rPr>
                <w:sz w:val="19"/>
              </w:rPr>
              <w:t>Ước lượng lại cuốn chiếu (cửa sổ 250/500/1.000 phiên, cửa sổ mở rộng)</w:t>
            </w:r>
          </w:p>
        </w:tc>
        <w:tc>
          <w:tcPr>
            <w:tcW w:type="dxa" w:w="3742"/>
          </w:tcPr>
          <w:p>
            <w:pPr>
              <w:spacing w:after="20" w:line="252" w:lineRule="auto"/>
              <w:jc w:val="center"/>
            </w:pPr>
            <w:r/>
            <w:r>
              <w:rPr>
                <w:sz w:val="19"/>
              </w:rPr>
              <w:t>ARIMA(3,1,1): Relative RMSE (thang return) trên Test 1,012–1,022; AR(1)/MA(1) với cửa sổ 500 phiên hoặc mở rộng: ≈ 0,995</w:t>
            </w:r>
          </w:p>
        </w:tc>
        <w:tc>
          <w:tcPr>
            <w:tcW w:type="dxa" w:w="2835"/>
          </w:tcPr>
          <w:p>
            <w:pPr>
              <w:spacing w:after="20" w:line="252" w:lineRule="auto"/>
              <w:jc w:val="center"/>
            </w:pPr>
            <w:r/>
            <w:r>
              <w:rPr>
                <w:sz w:val="19"/>
              </w:rPr>
              <w:t>Cập nhật tham số không giúp vượt Naive</w:t>
            </w:r>
          </w:p>
        </w:tc>
      </w:tr>
      <w:tr>
        <w:trPr>
          <w:cantSplit/>
        </w:trPr>
        <w:tc>
          <w:tcPr>
            <w:tcW w:type="dxa" w:w="2494"/>
          </w:tcPr>
          <w:p>
            <w:pPr>
              <w:spacing w:after="20" w:line="252" w:lineRule="auto"/>
              <w:jc w:val="left"/>
            </w:pPr>
            <w:r/>
            <w:r>
              <w:rPr>
                <w:sz w:val="19"/>
              </w:rPr>
              <w:t>Biến giả cho 18 phiên có |z| &gt; 4</w:t>
            </w:r>
          </w:p>
        </w:tc>
        <w:tc>
          <w:tcPr>
            <w:tcW w:type="dxa" w:w="3742"/>
          </w:tcPr>
          <w:p>
            <w:pPr>
              <w:spacing w:after="20" w:line="252" w:lineRule="auto"/>
              <w:jc w:val="center"/>
            </w:pPr>
            <w:r/>
            <w:r>
              <w:rPr>
                <w:sz w:val="19"/>
              </w:rPr>
              <w:t>AR(1) giảm từ 0,109 xuống 0,071, vẫn có ý nghĩa</w:t>
            </w:r>
          </w:p>
        </w:tc>
        <w:tc>
          <w:tcPr>
            <w:tcW w:type="dxa" w:w="2835"/>
          </w:tcPr>
          <w:p>
            <w:pPr>
              <w:spacing w:after="20" w:line="252" w:lineRule="auto"/>
              <w:jc w:val="center"/>
            </w:pPr>
            <w:r/>
            <w:r>
              <w:rPr>
                <w:sz w:val="19"/>
              </w:rPr>
              <w:t>Tự tương quan không do ngoại lai</w:t>
            </w:r>
          </w:p>
        </w:tc>
      </w:tr>
      <w:tr>
        <w:trPr>
          <w:cantSplit/>
        </w:trPr>
        <w:tc>
          <w:tcPr>
            <w:tcW w:type="dxa" w:w="2494"/>
          </w:tcPr>
          <w:p>
            <w:pPr>
              <w:spacing w:after="20" w:line="252" w:lineRule="auto"/>
              <w:jc w:val="left"/>
            </w:pPr>
            <w:r/>
            <w:r>
              <w:rPr>
                <w:sz w:val="19"/>
              </w:rPr>
              <w:t>Hiệu ứng ngày trong tuần</w:t>
            </w:r>
          </w:p>
        </w:tc>
        <w:tc>
          <w:tcPr>
            <w:tcW w:type="dxa" w:w="3742"/>
          </w:tcPr>
          <w:p>
            <w:pPr>
              <w:spacing w:after="20" w:line="252" w:lineRule="auto"/>
              <w:jc w:val="center"/>
            </w:pPr>
            <w:r/>
            <w:r>
              <w:rPr>
                <w:sz w:val="19"/>
              </w:rPr>
              <w:t>ANOVA p = 0,059</w:t>
            </w:r>
          </w:p>
        </w:tc>
        <w:tc>
          <w:tcPr>
            <w:tcW w:type="dxa" w:w="2835"/>
          </w:tcPr>
          <w:p>
            <w:pPr>
              <w:spacing w:after="20" w:line="252" w:lineRule="auto"/>
              <w:jc w:val="center"/>
            </w:pPr>
            <w:r/>
            <w:r>
              <w:rPr>
                <w:sz w:val="19"/>
              </w:rPr>
              <w:t>Không cần thành phần mùa vụ</w:t>
            </w:r>
          </w:p>
        </w:tc>
      </w:tr>
      <w:tr>
        <w:trPr>
          <w:cantSplit/>
        </w:trPr>
        <w:tc>
          <w:tcPr>
            <w:tcW w:type="dxa" w:w="2494"/>
          </w:tcPr>
          <w:p>
            <w:pPr>
              <w:spacing w:after="20" w:line="252" w:lineRule="auto"/>
              <w:jc w:val="left"/>
            </w:pPr>
            <w:r/>
            <w:r>
              <w:rPr>
                <w:sz w:val="19"/>
              </w:rPr>
              <w:t>Bỏ 105 phiên nghỉ lễ</w:t>
            </w:r>
          </w:p>
        </w:tc>
        <w:tc>
          <w:tcPr>
            <w:tcW w:type="dxa" w:w="3742"/>
          </w:tcPr>
          <w:p>
            <w:pPr>
              <w:spacing w:after="20" w:line="252" w:lineRule="auto"/>
              <w:jc w:val="center"/>
            </w:pPr>
            <w:r/>
            <w:r>
              <w:rPr>
                <w:sz w:val="19"/>
              </w:rPr>
              <w:t>AIC/BIC vẫn chọn (3,1,4)/(3,1,1); ARIMA(3,1,1): Relative RMSE Validation 1,028, Test 0,997 (DM không hiệu chỉnh HAC, p = 0,87)</w:t>
            </w:r>
          </w:p>
        </w:tc>
        <w:tc>
          <w:tcPr>
            <w:tcW w:type="dxa" w:w="2835"/>
          </w:tcPr>
          <w:p>
            <w:pPr>
              <w:spacing w:after="20" w:line="252" w:lineRule="auto"/>
              <w:jc w:val="center"/>
            </w:pPr>
            <w:r/>
            <w:r>
              <w:rPr>
                <w:sz w:val="19"/>
              </w:rPr>
              <w:t>Không phụ thuộc cách xử lý ngày lễ</w:t>
            </w:r>
          </w:p>
        </w:tc>
      </w:tr>
      <w:tr>
        <w:trPr>
          <w:cantSplit/>
        </w:trPr>
        <w:tc>
          <w:tcPr>
            <w:tcW w:type="dxa" w:w="2494"/>
          </w:tcPr>
          <w:p>
            <w:pPr>
              <w:spacing w:after="20" w:line="252" w:lineRule="auto"/>
              <w:jc w:val="left"/>
            </w:pPr>
            <w:r/>
            <w:r>
              <w:rPr>
                <w:sz w:val="19"/>
              </w:rPr>
              <w:t>So sánh trong mẫu trên Train</w:t>
            </w:r>
          </w:p>
        </w:tc>
        <w:tc>
          <w:tcPr>
            <w:tcW w:type="dxa" w:w="3742"/>
          </w:tcPr>
          <w:p>
            <w:pPr>
              <w:spacing w:after="20" w:line="252" w:lineRule="auto"/>
              <w:jc w:val="center"/>
            </w:pPr>
            <w:r/>
            <w:r>
              <w:rPr>
                <w:sz w:val="19"/>
              </w:rPr>
              <w:t>ARIMA(3,1,1): Relative RMSE 0,977, HAC p = 0,053</w:t>
            </w:r>
          </w:p>
        </w:tc>
        <w:tc>
          <w:tcPr>
            <w:tcW w:type="dxa" w:w="2835"/>
          </w:tcPr>
          <w:p>
            <w:pPr>
              <w:spacing w:after="20" w:line="252" w:lineRule="auto"/>
              <w:jc w:val="center"/>
            </w:pPr>
            <w:r/>
            <w:r>
              <w:rPr>
                <w:sz w:val="19"/>
              </w:rPr>
              <w:t>Lợi thế trong mẫu chỉ có ý nghĩa ở mức 10%</w:t>
            </w:r>
          </w:p>
        </w:tc>
      </w:tr>
      <w:tr>
        <w:trPr>
          <w:cantSplit/>
        </w:trPr>
        <w:tc>
          <w:tcPr>
            <w:tcW w:type="dxa" w:w="2494"/>
          </w:tcPr>
          <w:p>
            <w:pPr>
              <w:spacing w:after="20" w:line="252" w:lineRule="auto"/>
              <w:jc w:val="left"/>
            </w:pPr>
            <w:r/>
            <w:r>
              <w:rPr>
                <w:sz w:val="19"/>
              </w:rPr>
              <w:t>Khoảng 95% của Naive: σ cuốn chiếu 60 phiên thay σ hằng</w:t>
            </w:r>
          </w:p>
        </w:tc>
        <w:tc>
          <w:tcPr>
            <w:tcW w:type="dxa" w:w="3742"/>
          </w:tcPr>
          <w:p>
            <w:pPr>
              <w:spacing w:after="20" w:line="252" w:lineRule="auto"/>
              <w:jc w:val="center"/>
            </w:pPr>
            <w:r/>
            <w:r>
              <w:rPr>
                <w:sz w:val="19"/>
              </w:rPr>
              <w:t>Coverage Test giảm từ 94,9% xuống 86,9%</w:t>
            </w:r>
          </w:p>
        </w:tc>
        <w:tc>
          <w:tcPr>
            <w:tcW w:type="dxa" w:w="2835"/>
          </w:tcPr>
          <w:p>
            <w:pPr>
              <w:spacing w:after="20" w:line="252" w:lineRule="auto"/>
              <w:jc w:val="center"/>
            </w:pPr>
            <w:r/>
            <w:r>
              <w:rPr>
                <w:sz w:val="19"/>
              </w:rPr>
              <w:t>Cần mô hình phương sai có điều kiện</w:t>
            </w:r>
          </w:p>
        </w:tc>
      </w:tr>
    </w:tbl>
    <w:p>
      <w:pPr>
        <w:spacing w:after="0"/>
      </w:pPr>
    </w:p>
    <w:p>
      <w:pPr>
        <w:pStyle w:val="Heading3"/>
      </w:pPr>
      <w:r>
        <w:t>7.1.10. Kết luận thực nghiệm mô hình ARIMA</w:t>
      </w:r>
    </w:p>
    <w:p>
      <w:pPr>
        <w:jc w:val="both"/>
      </w:pPr>
      <w:r>
        <w:t>ARIMA(3,1,1) được chọn theo quy tắc ưu tiên mô hình gọn trong phạm vi 1% RMSE Validation. Mô hình có BIC nhỏ nhất, dừng, khả nghịch, mọi hệ số có ý nghĩa và ổn định giữa hai lần ước lượng, xác nhận USD/VND có cấu trúc phụ thuộc tuyến tính ngắn hạn. Tuy nhiên, trên Test mô hình đạt MAE 18,7363 và RMSE 30,4392 VND/USD, không tốt hơn Naive (Relative RMSE 1,0128; HAC p = 0,47; khoảng bootstrap của ΔRMSE chứa 0). Các cấu hình khác, kể cả ARIMA(3,1,4) có AIC nhỏ nhất, cho kết quả tương tự. ARIMA vì vậy đóng vai trò mốc tuyến tính để đánh giá giá trị gia tăng của các mô hình tiếp theo.</w:t>
      </w:r>
    </w:p>
    <w:p>
      <w:pPr>
        <w:jc w:val="both"/>
      </w:pPr>
      <w:r>
        <w:t xml:space="preserve">Ba hạn chế của ARIMA định hướng cho các mô hình còn lại. </w:t>
      </w:r>
      <w:r>
        <w:rPr>
          <w:b/>
        </w:rPr>
        <w:t>Thứ nhất, phương sai không hằng.</w:t>
      </w:r>
      <w:r>
        <w:t xml:space="preserve"> ARCH-LM bác bỏ ở mọi mẫu và kurtosis (chưa trừ 3) khoảng 17, nên khoảng dự báo độ rộng cố định quá rộng khi thị trường yên tĩnh và quá hẹp khi biến động. ARMA-GARCH với innovation Student-t (mô hình 2) mô hình hóa trực tiếp σ²ₜ. </w:t>
      </w:r>
      <w:r>
        <w:rPr>
          <w:b/>
        </w:rPr>
        <w:t>Thứ hai, cấu trúc phụ thuộc thay đổi theo thời gian.</w:t>
      </w:r>
      <w:r>
        <w:t xml:space="preserve"> Dù hệ số ước lượng ổn định, sai số Test vẫn có tự tương quan mạnh hơn Naive, và việc ước lượng lại theo cửa sổ trượt không cải thiện kết quả. State Space với Kalman Filter (mô hình 3) cho phép mức ẩn được cập nhật tuần tự. </w:t>
      </w:r>
      <w:r>
        <w:rPr>
          <w:b/>
        </w:rPr>
        <w:t>Thứ ba, động học một chế độ tuyến tính</w:t>
      </w:r>
      <w:r>
        <w:t xml:space="preserve"> không mô tả được sự chuyển giữa giai đoạn ổn định 2018–2021 và giai đoạn biến động từ 2022, cũng như phản ứng khác nhau sau các cú sốc chính sách. SETAR (mô hình 4) với ngưỡng quan sát được và Markov Switching AR (mô hình 5) với chế độ ẩn được dùng để kiểm định giả thuyết này.</w:t>
      </w:r>
    </w:p>
    <w:p>
      <w:pPr>
        <w:pStyle w:val="Heading3"/>
      </w:pPr>
      <w:r>
        <w:t>7.1.11. Notebook và tệp đầu ra</w:t>
      </w:r>
    </w:p>
    <w:p>
      <w:pPr>
        <w:jc w:val="both"/>
      </w:pPr>
      <w:r>
        <w:t>Toàn bộ kết quả của mục 7.1 được tạo từ notebook ARIMA_USD_VND/code/05_mo_hinh_arima_usd_vnd.ipynb; Bảng P1.11 liệt kê nội dung và tệp đầu ra theo từng nhóm mục. Notebook ghi 19 bảng vào ARIMA_USD_VND/results/ và 7 hình vào ARIMA_USD_VND/figures/; cách chạy được mô tả trong README.md.</w:t>
      </w:r>
    </w:p>
    <w:p>
      <w:pPr>
        <w:keepNext/>
        <w:spacing w:before="120"/>
      </w:pPr>
      <w:r>
        <w:rPr>
          <w:b/>
        </w:rPr>
        <w:t xml:space="preserve">Bảng P1.11. </w:t>
      </w:r>
      <w:r>
        <w:t>Notebook và tệp đầu ra của Mô hình 1</w:t>
      </w:r>
    </w:p>
    <w:tbl>
      <w:tblPr>
        <w:tblStyle w:val="TableGrid"/>
        <w:tblW w:type="auto" w:w="0"/>
        <w:jc w:val="center"/>
        <w:tblLook w:firstColumn="1" w:firstRow="1" w:lastColumn="0" w:lastRow="0" w:noHBand="0" w:noVBand="1" w:val="04A0"/>
      </w:tblPr>
      <w:tblGrid>
        <w:gridCol w:w="3033"/>
        <w:gridCol w:w="3033"/>
        <w:gridCol w:w="3033"/>
      </w:tblGrid>
      <w:tr>
        <w:trPr>
          <w:cantSplit/>
          <w:tblHeader/>
        </w:trPr>
        <w:tc>
          <w:tcPr>
            <w:tcW w:type="dxa" w:w="2381"/>
            <w:shd w:val="clear" w:color="auto" w:fill="DCE6F1"/>
          </w:tcPr>
          <w:p>
            <w:pPr>
              <w:spacing w:after="20" w:line="252" w:lineRule="auto"/>
              <w:jc w:val="left"/>
            </w:pPr>
            <w:r>
              <w:rPr>
                <w:b/>
              </w:rPr>
            </w:r>
            <w:r>
              <w:rPr>
                <w:b/>
                <w:sz w:val="18"/>
              </w:rPr>
              <w:t>Tệp</w:t>
            </w:r>
          </w:p>
        </w:tc>
        <w:tc>
          <w:tcPr>
            <w:tcW w:type="dxa" w:w="3402"/>
            <w:shd w:val="clear" w:color="auto" w:fill="DCE6F1"/>
          </w:tcPr>
          <w:p>
            <w:pPr>
              <w:spacing w:after="20" w:line="252" w:lineRule="auto"/>
              <w:jc w:val="center"/>
            </w:pPr>
            <w:r>
              <w:rPr>
                <w:b/>
              </w:rPr>
            </w:r>
            <w:r>
              <w:rPr>
                <w:b/>
                <w:sz w:val="18"/>
              </w:rPr>
              <w:t>Nội dung</w:t>
            </w:r>
          </w:p>
        </w:tc>
        <w:tc>
          <w:tcPr>
            <w:tcW w:type="dxa" w:w="3288"/>
            <w:shd w:val="clear" w:color="auto" w:fill="DCE6F1"/>
          </w:tcPr>
          <w:p>
            <w:pPr>
              <w:spacing w:after="20" w:line="252" w:lineRule="auto"/>
              <w:jc w:val="center"/>
            </w:pPr>
            <w:r>
              <w:rPr>
                <w:b/>
              </w:rPr>
            </w:r>
            <w:r>
              <w:rPr>
                <w:b/>
                <w:sz w:val="18"/>
              </w:rPr>
              <w:t>Đầu ra</w:t>
            </w:r>
          </w:p>
        </w:tc>
      </w:tr>
      <w:tr>
        <w:trPr>
          <w:cantSplit/>
        </w:trPr>
        <w:tc>
          <w:tcPr>
            <w:tcW w:type="dxa" w:w="2381"/>
          </w:tcPr>
          <w:p>
            <w:pPr>
              <w:spacing w:after="20" w:line="252" w:lineRule="auto"/>
              <w:jc w:val="left"/>
            </w:pPr>
            <w:r/>
            <w:r>
              <w:rPr>
                <w:sz w:val="18"/>
              </w:rPr>
              <w:t>05_mo_hinh_arima_usd_vnd.ipynb, mục 1–8</w:t>
            </w:r>
          </w:p>
        </w:tc>
        <w:tc>
          <w:tcPr>
            <w:tcW w:type="dxa" w:w="3402"/>
          </w:tcPr>
          <w:p>
            <w:pPr>
              <w:spacing w:after="20" w:line="252" w:lineRule="auto"/>
              <w:jc w:val="center"/>
            </w:pPr>
            <w:r/>
            <w:r>
              <w:rPr>
                <w:sz w:val="18"/>
              </w:rPr>
              <w:t>Nhận dạng, ADF và KPSS, chọn bậc theo AIC/BIC, so sánh 14 ứng viên trên Validation, chọn ARIMA(3,1,1)</w:t>
            </w:r>
          </w:p>
        </w:tc>
        <w:tc>
          <w:tcPr>
            <w:tcW w:type="dxa" w:w="3288"/>
          </w:tcPr>
          <w:p>
            <w:pPr>
              <w:spacing w:after="20" w:line="252" w:lineRule="auto"/>
              <w:jc w:val="center"/>
            </w:pPr>
            <w:r/>
            <w:r>
              <w:rPr>
                <w:sz w:val="18"/>
              </w:rPr>
              <w:t>arima_stationarity_tests.csv, arima_order_selection.csv, arima_overfitting.csv, arima_validation_metrics.csv; hình 10, 22</w:t>
            </w:r>
          </w:p>
        </w:tc>
      </w:tr>
      <w:tr>
        <w:trPr>
          <w:cantSplit/>
        </w:trPr>
        <w:tc>
          <w:tcPr>
            <w:tcW w:type="dxa" w:w="2381"/>
          </w:tcPr>
          <w:p>
            <w:pPr>
              <w:spacing w:after="20" w:line="252" w:lineRule="auto"/>
              <w:jc w:val="left"/>
            </w:pPr>
            <w:r/>
            <w:r>
              <w:rPr>
                <w:sz w:val="18"/>
              </w:rPr>
              <w:t>05, mục 9–10 và 12</w:t>
            </w:r>
          </w:p>
        </w:tc>
        <w:tc>
          <w:tcPr>
            <w:tcW w:type="dxa" w:w="3402"/>
          </w:tcPr>
          <w:p>
            <w:pPr>
              <w:spacing w:after="20" w:line="252" w:lineRule="auto"/>
              <w:jc w:val="center"/>
            </w:pPr>
            <w:r/>
            <w:r>
              <w:rPr>
                <w:sz w:val="18"/>
              </w:rPr>
              <w:t>Tham số, nghiệm AR/MA, kiểm tra overfitting (4,1,1) và (3,1,2), ước lượng lại trên Train + Val, chẩn đoán phần dư (Ljung–Box trừ bậc tự do)</w:t>
            </w:r>
          </w:p>
        </w:tc>
        <w:tc>
          <w:tcPr>
            <w:tcW w:type="dxa" w:w="3288"/>
          </w:tcPr>
          <w:p>
            <w:pPr>
              <w:spacing w:after="20" w:line="252" w:lineRule="auto"/>
              <w:jc w:val="center"/>
            </w:pPr>
            <w:r/>
            <w:r>
              <w:rPr>
                <w:sz w:val="18"/>
              </w:rPr>
              <w:t>arima_params.csv, arima_params_aic.csv, arima_overfitting_final.csv, arima_refit_summary.csv, arima_residual_tests_df_adjusted.csv, arima_test_error_diagnostics.csv; hình 11</w:t>
            </w:r>
          </w:p>
        </w:tc>
      </w:tr>
      <w:tr>
        <w:trPr>
          <w:cantSplit/>
        </w:trPr>
        <w:tc>
          <w:tcPr>
            <w:tcW w:type="dxa" w:w="2381"/>
          </w:tcPr>
          <w:p>
            <w:pPr>
              <w:spacing w:after="20" w:line="252" w:lineRule="auto"/>
              <w:jc w:val="left"/>
            </w:pPr>
            <w:r/>
            <w:r>
              <w:rPr>
                <w:sz w:val="18"/>
              </w:rPr>
              <w:t>05, mục 11, 13–14</w:t>
            </w:r>
          </w:p>
        </w:tc>
        <w:tc>
          <w:tcPr>
            <w:tcW w:type="dxa" w:w="3402"/>
          </w:tcPr>
          <w:p>
            <w:pPr>
              <w:spacing w:after="20" w:line="252" w:lineRule="auto"/>
              <w:jc w:val="center"/>
            </w:pPr>
            <w:r/>
            <w:r>
              <w:rPr>
                <w:sz w:val="18"/>
              </w:rPr>
              <w:t>Đánh giá Test theo bộ chỉ số chung của nhóm: MASE, DA, DM HAC, bootstrap khối, interval score, dự báo từ mốc cố định</w:t>
            </w:r>
          </w:p>
        </w:tc>
        <w:tc>
          <w:tcPr>
            <w:tcW w:type="dxa" w:w="3288"/>
          </w:tcPr>
          <w:p>
            <w:pPr>
              <w:spacing w:after="20" w:line="252" w:lineRule="auto"/>
              <w:jc w:val="center"/>
            </w:pPr>
            <w:r/>
            <w:r>
              <w:rPr>
                <w:sz w:val="18"/>
              </w:rPr>
              <w:t>arima_metrics_group_protocol.csv, arima_loss_tests_hac_bootstrap.csv, arima_test_forecasts.csv, arima_fixed_origin_multistep.csv; hình 15, 20, 21</w:t>
            </w:r>
          </w:p>
        </w:tc>
      </w:tr>
      <w:tr>
        <w:trPr>
          <w:cantSplit/>
        </w:trPr>
        <w:tc>
          <w:tcPr>
            <w:tcW w:type="dxa" w:w="2381"/>
          </w:tcPr>
          <w:p>
            <w:pPr>
              <w:spacing w:after="20" w:line="252" w:lineRule="auto"/>
              <w:jc w:val="left"/>
            </w:pPr>
            <w:r/>
            <w:r>
              <w:rPr>
                <w:sz w:val="18"/>
              </w:rPr>
              <w:t>05, mục 15 (15.1–15.6)</w:t>
            </w:r>
          </w:p>
        </w:tc>
        <w:tc>
          <w:tcPr>
            <w:tcW w:type="dxa" w:w="3402"/>
          </w:tcPr>
          <w:p>
            <w:pPr>
              <w:spacing w:after="20" w:line="252" w:lineRule="auto"/>
              <w:jc w:val="center"/>
            </w:pPr>
            <w:r/>
            <w:r>
              <w:rPr>
                <w:sz w:val="18"/>
              </w:rPr>
              <w:t>Độ vững: ước lượng cuốn chiếu, biến giả ngoại lai, ngày trong tuần, σ cuốn chiếu, bảng ba tập, bỏ ngày lễ</w:t>
            </w:r>
          </w:p>
        </w:tc>
        <w:tc>
          <w:tcPr>
            <w:tcW w:type="dxa" w:w="3288"/>
          </w:tcPr>
          <w:p>
            <w:pPr>
              <w:spacing w:after="20" w:line="252" w:lineRule="auto"/>
              <w:jc w:val="center"/>
            </w:pPr>
            <w:r/>
            <w:r>
              <w:rPr>
                <w:sz w:val="18"/>
              </w:rPr>
              <w:t>arima_robustness_*.csv, arima_metrics_all_sets_ss_format.csv; hình 23</w:t>
            </w:r>
          </w:p>
        </w:tc>
      </w:tr>
    </w:tbl>
    <w:p>
      <w:r>
        <w:rPr>
          <w:i/>
          <w:sz w:val="19"/>
        </w:rPr>
        <w:t>Ghi chú: Số hình trong cột Đầu ra là tiền tố tên tệp trong figures/ (ví dụ hình 22 là 22_arima_validation_candidates.png).</w:t>
      </w:r>
    </w:p>
    <w:sectPr w:rsidR="00FC693F" w:rsidRPr="0006063C" w:rsidSect="00034616">
      <w:pgSz w:w="11906" w:h="16838"/>
      <w:pgMar w:top="1276" w:right="1276"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173955"/>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cs="Times New Roman" w:eastAsia="Times New Roman"/>
      <w:b/>
      <w:bCs/>
      <w:i w:val="0"/>
      <w:color w:val="1739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