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Reference Architecture</w:t>
      </w:r>
    </w:p>
    <w:p>
      <w:pPr>
        <w:spacing w:after="120"/>
        <w:jc w:val="both"/>
      </w:pPr>
      <w:r>
        <w:t>A cloud reference architecture in which inbound traffic terminates at Front Door + WAF and App Gateway, is served by Internal LB and AKS pools, and state is held in Azure SQL, Cache for Redis and Blob Storage. Asynchronous, event-driven work flows through Service Bus. The estate sits inside VNet 10.1.0.0/16, with shared services (Entra ID, Key Vault and Monitor) applied across every tier.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78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_re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Azure Reference Architecture: Hub / Spoke</w:t>
      </w:r>
    </w:p>
    <w:p>
      <w:pPr>
        <w:pStyle w:val="ListBullet"/>
        <w:spacing w:after="80"/>
        <w:jc w:val="both"/>
      </w:pPr>
      <w:r>
        <w:rPr>
          <w:b/>
        </w:rPr>
        <w:t>VNet 10.1.0.0/16 (zone-redundant)</w:t>
      </w:r>
      <w:r>
        <w:t>: transparent, dashed network boundary, badged virtual networks (AZURE) spanning the tiers it encloses</w:t>
      </w:r>
    </w:p>
    <w:p>
      <w:pPr>
        <w:pStyle w:val="ListBullet"/>
        <w:spacing w:after="80"/>
        <w:jc w:val="both"/>
      </w:pPr>
      <w:r>
        <w:rPr>
          <w:b/>
        </w:rPr>
        <w:t>Front Door + WAF</w:t>
      </w:r>
      <w:r>
        <w:t>: front doors (AZURE) in Edge / Global; HTTPS to App Gateway (WAF v2)</w:t>
      </w:r>
    </w:p>
    <w:p>
      <w:pPr>
        <w:pStyle w:val="ListBullet"/>
        <w:spacing w:after="80"/>
        <w:jc w:val="both"/>
      </w:pPr>
      <w:r>
        <w:rPr>
          <w:b/>
        </w:rPr>
        <w:t>App Gateway (WAF v2)</w:t>
      </w:r>
      <w:r>
        <w:t>: application gateway (AZURE) in Subnet: App Gateway; HTTPS to Internal LB</w:t>
      </w:r>
    </w:p>
    <w:p>
      <w:pPr>
        <w:pStyle w:val="ListBullet"/>
        <w:spacing w:after="80"/>
        <w:jc w:val="both"/>
      </w:pPr>
      <w:r>
        <w:rPr>
          <w:b/>
        </w:rPr>
        <w:t>Internal LB</w:t>
      </w:r>
      <w:r>
        <w:t>: load balancers (AZURE) in Subnet: AKS; connects to AKS pools</w:t>
      </w:r>
    </w:p>
    <w:p>
      <w:pPr>
        <w:pStyle w:val="ListBullet"/>
        <w:spacing w:after="80"/>
        <w:jc w:val="both"/>
      </w:pPr>
      <w:r>
        <w:rPr>
          <w:b/>
        </w:rPr>
        <w:t>AKS pools</w:t>
      </w:r>
      <w:r>
        <w:t>: kubernetes services (AZURE), system+user in Subnet: AKS; SQL to Azure SQL, cache to Cache for Redis, assets to Blob Storage, publishes events to Service Bus</w:t>
      </w:r>
    </w:p>
    <w:p>
      <w:pPr>
        <w:pStyle w:val="ListBullet"/>
        <w:spacing w:after="80"/>
        <w:jc w:val="both"/>
      </w:pPr>
      <w:r>
        <w:rPr>
          <w:b/>
        </w:rPr>
        <w:t>Azure SQL</w:t>
      </w:r>
      <w:r>
        <w:t>: sql database (AZURE) in Private Endpoints</w:t>
      </w:r>
    </w:p>
    <w:p>
      <w:pPr>
        <w:pStyle w:val="ListBullet"/>
        <w:spacing w:after="80"/>
        <w:jc w:val="both"/>
      </w:pPr>
      <w:r>
        <w:rPr>
          <w:b/>
        </w:rPr>
        <w:t>Cache for Redis</w:t>
      </w:r>
      <w:r>
        <w:t>: cache redis (AZURE) in Private Endpoints</w:t>
      </w:r>
    </w:p>
    <w:p>
      <w:pPr>
        <w:pStyle w:val="ListBullet"/>
        <w:spacing w:after="80"/>
        <w:jc w:val="both"/>
      </w:pPr>
      <w:r>
        <w:rPr>
          <w:b/>
        </w:rPr>
        <w:t>Blob Storage</w:t>
      </w:r>
      <w:r>
        <w:t>: blob storage (AZURE) in Private Endpoints</w:t>
      </w:r>
    </w:p>
    <w:p>
      <w:pPr>
        <w:pStyle w:val="ListBullet"/>
        <w:spacing w:after="80"/>
        <w:jc w:val="both"/>
      </w:pPr>
      <w:r>
        <w:rPr>
          <w:b/>
        </w:rPr>
        <w:t>Service Bus</w:t>
      </w:r>
      <w:r>
        <w:t>: service bus (AZURE) in Messaging</w:t>
      </w:r>
    </w:p>
    <w:p>
      <w:pPr>
        <w:pStyle w:val="ListBullet"/>
        <w:spacing w:after="80"/>
        <w:jc w:val="both"/>
      </w:pPr>
      <w:r>
        <w:rPr>
          <w:b/>
        </w:rPr>
        <w:t>Shared Services</w:t>
      </w:r>
      <w:r>
        <w:t>: cross-cutting services (Entra ID, Key Vault, Monitor) applied to every tier — Entra ID / Key Vault / Monitor  (all tiers)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