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/ RAG Architecture</w:t>
      </w:r>
    </w:p>
    <w:p>
      <w:pPr>
        <w:spacing w:after="120"/>
        <w:jc w:val="both"/>
      </w:pPr>
      <w:r>
        <w:t>A retrieval-augmented AI architecture: a user request is orchestrated, dispatched to the model providers, and grounded with context retrieved from the vector store before the answer is returned.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28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AI / RAG Architecture — AI RAG + Multi-Model Gateway</w:t>
      </w:r>
    </w:p>
    <w:p>
      <w:pPr>
        <w:pStyle w:val="ListBullet"/>
        <w:spacing w:after="80"/>
        <w:jc w:val="both"/>
      </w:pPr>
      <w:r>
        <w:rPr>
          <w:b/>
        </w:rPr>
        <w:t>User</w:t>
      </w:r>
      <w:r>
        <w:t xml:space="preserve"> — users (ONPREM); prompt to Chat App / API</w:t>
      </w:r>
    </w:p>
    <w:p>
      <w:pPr>
        <w:pStyle w:val="ListBullet"/>
        <w:spacing w:after="80"/>
        <w:jc w:val="both"/>
      </w:pPr>
      <w:r>
        <w:rPr>
          <w:b/>
        </w:rPr>
        <w:t>Chat App / API</w:t>
      </w:r>
      <w:r>
        <w:t xml:space="preserve"> — server (ONPREM); connects to LangChain, embed to Embeddings</w:t>
      </w:r>
    </w:p>
    <w:p>
      <w:pPr>
        <w:pStyle w:val="ListBullet"/>
        <w:spacing w:after="80"/>
        <w:jc w:val="both"/>
      </w:pPr>
      <w:r>
        <w:rPr>
          <w:b/>
        </w:rPr>
        <w:t>LangChain</w:t>
      </w:r>
      <w:r>
        <w:t xml:space="preserve"> — langchain (AI) in Orchestration; route to OpenAI, connects to Claude, connects to Gemini, connects to DeepSeek</w:t>
      </w:r>
    </w:p>
    <w:p>
      <w:pPr>
        <w:pStyle w:val="ListBullet"/>
        <w:spacing w:after="80"/>
        <w:jc w:val="both"/>
      </w:pPr>
      <w:r>
        <w:rPr>
          <w:b/>
        </w:rPr>
        <w:t>OpenAI</w:t>
      </w:r>
      <w:r>
        <w:t xml:space="preserve"> — openai (AI) in Model providers</w:t>
      </w:r>
    </w:p>
    <w:p>
      <w:pPr>
        <w:pStyle w:val="ListBullet"/>
        <w:spacing w:after="80"/>
        <w:jc w:val="both"/>
      </w:pPr>
      <w:r>
        <w:rPr>
          <w:b/>
        </w:rPr>
        <w:t>Claude</w:t>
      </w:r>
      <w:r>
        <w:t xml:space="preserve"> — claude (AI) in Model providers</w:t>
      </w:r>
    </w:p>
    <w:p>
      <w:pPr>
        <w:pStyle w:val="ListBullet"/>
        <w:spacing w:after="80"/>
        <w:jc w:val="both"/>
      </w:pPr>
      <w:r>
        <w:rPr>
          <w:b/>
        </w:rPr>
        <w:t>Gemini</w:t>
      </w:r>
      <w:r>
        <w:t xml:space="preserve"> — gemini (AI) in Model providers</w:t>
      </w:r>
    </w:p>
    <w:p>
      <w:pPr>
        <w:pStyle w:val="ListBullet"/>
        <w:spacing w:after="80"/>
        <w:jc w:val="both"/>
      </w:pPr>
      <w:r>
        <w:rPr>
          <w:b/>
        </w:rPr>
        <w:t>DeepSeek</w:t>
      </w:r>
      <w:r>
        <w:t xml:space="preserve"> — deepseek (AI) in Model providers</w:t>
      </w:r>
    </w:p>
    <w:p>
      <w:pPr>
        <w:pStyle w:val="ListBullet"/>
        <w:spacing w:after="80"/>
        <w:jc w:val="both"/>
      </w:pPr>
      <w:r>
        <w:rPr>
          <w:b/>
        </w:rPr>
        <w:t>Embeddings</w:t>
      </w:r>
      <w:r>
        <w:t xml:space="preserve"> — huggingface (AI) in Retrieval; search to Qdrant vector DB</w:t>
      </w:r>
    </w:p>
    <w:p>
      <w:pPr>
        <w:pStyle w:val="ListBullet"/>
        <w:spacing w:after="80"/>
        <w:jc w:val="both"/>
      </w:pPr>
      <w:r>
        <w:rPr>
          <w:b/>
        </w:rPr>
        <w:t>Qdrant vector DB</w:t>
      </w:r>
      <w:r>
        <w:t xml:space="preserve"> — qdrant (AI) in Retrieval; publishes context to LangChain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