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 Diagram</w:t>
      </w:r>
    </w:p>
    <w:p>
      <w:pPr>
        <w:spacing w:after="120"/>
        <w:jc w:val="both"/>
      </w:pPr>
      <w:r>
        <w:t>System Context — Internet Banking models 4 elements — Customer, Internet Banking, Email System and Mainframe Banking — and the 3 relationships that connect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150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System Context — Internet Banking</w:t>
      </w:r>
    </w:p>
    <w:p>
      <w:pPr>
        <w:pStyle w:val="ListBullet"/>
        <w:spacing w:after="80"/>
        <w:jc w:val="both"/>
      </w:pPr>
      <w:r>
        <w:rPr>
          <w:b/>
        </w:rPr>
        <w:t>Customer</w:t>
      </w:r>
      <w:r>
        <w:t xml:space="preserve"> — person; Bank customer; connects to Internet Banking (views balances [HTTPS])</w:t>
      </w:r>
    </w:p>
    <w:p>
      <w:pPr>
        <w:pStyle w:val="ListBullet"/>
        <w:spacing w:after="80"/>
        <w:jc w:val="both"/>
      </w:pPr>
      <w:r>
        <w:rPr>
          <w:b/>
        </w:rPr>
        <w:t>Internet Banking</w:t>
      </w:r>
      <w:r>
        <w:t xml:space="preserve"> — system; in scope; connects to Email System (sends email [SMTP]), Mainframe Banking (gets account data [XML/HTTPS])</w:t>
      </w:r>
    </w:p>
    <w:p>
      <w:pPr>
        <w:pStyle w:val="ListBullet"/>
        <w:spacing w:after="80"/>
        <w:jc w:val="both"/>
      </w:pPr>
      <w:r>
        <w:rPr>
          <w:b/>
        </w:rPr>
        <w:t>Email System</w:t>
      </w:r>
      <w:r>
        <w:t xml:space="preserve"> — external</w:t>
      </w:r>
    </w:p>
    <w:p>
      <w:pPr>
        <w:pStyle w:val="ListBullet"/>
        <w:spacing w:after="80"/>
        <w:jc w:val="both"/>
      </w:pPr>
      <w:r>
        <w:rPr>
          <w:b/>
        </w:rPr>
        <w:t>Mainframe Banking</w:t>
      </w:r>
      <w:r>
        <w:t xml:space="preserve"> — external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