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C1DC" w14:textId="495D72C5" w:rsidR="0021762A" w:rsidRPr="0021762A" w:rsidRDefault="009841D8" w:rsidP="00AA0260">
      <w:pPr>
        <w:shd w:val="clear" w:color="auto" w:fill="8EAADB" w:themeFill="accent1" w:themeFillTint="99"/>
        <w:jc w:val="both"/>
        <w:rPr>
          <w:rFonts w:ascii="Times New Roman" w:eastAsia="Times New Roman" w:hAnsi="Times New Roman" w:cs="Times New Roman"/>
          <w:color w:val="FFFFFF" w:themeColor="background1"/>
        </w:rPr>
      </w:pPr>
      <w:r>
        <w:rPr>
          <w:rFonts w:ascii="Times New Roman" w:eastAsia="Times New Roman" w:hAnsi="Times New Roman" w:cs="Times New Roman"/>
          <w:color w:val="FFFFFF" w:themeColor="background1"/>
        </w:rPr>
        <w:t>SPDR FUND MATERIALS SELECTION SECTOR ETF (XLB)</w:t>
      </w:r>
      <w:r w:rsidR="0021762A" w:rsidRPr="0021762A">
        <w:rPr>
          <w:rFonts w:ascii="Times New Roman" w:eastAsia="Times New Roman" w:hAnsi="Times New Roman" w:cs="Times New Roman"/>
          <w:color w:val="FFFFFF" w:themeColor="background1"/>
        </w:rPr>
        <w:t xml:space="preserve"> HOLDING ANALYSIS</w:t>
      </w:r>
    </w:p>
    <w:p w14:paraId="55A0F428" w14:textId="77777777" w:rsidR="0021762A" w:rsidRPr="0021762A" w:rsidRDefault="0021762A" w:rsidP="00AA0260">
      <w:pPr>
        <w:shd w:val="clear" w:color="auto" w:fill="D9E2F3" w:themeFill="accent1" w:themeFillTint="33"/>
        <w:jc w:val="both"/>
        <w:rPr>
          <w:rFonts w:ascii="Times New Roman" w:eastAsia="Times New Roman" w:hAnsi="Times New Roman" w:cs="Times New Roman"/>
          <w:color w:val="000000" w:themeColor="text1"/>
        </w:rPr>
      </w:pPr>
      <w:r w:rsidRPr="0021762A">
        <w:rPr>
          <w:rFonts w:ascii="Times New Roman" w:eastAsia="Times New Roman" w:hAnsi="Times New Roman" w:cs="Times New Roman"/>
          <w:color w:val="000000" w:themeColor="text1"/>
          <w:sz w:val="20"/>
          <w:szCs w:val="20"/>
        </w:rPr>
        <w:t>JOHN PHAN</w:t>
      </w:r>
    </w:p>
    <w:p w14:paraId="1AC37734" w14:textId="77777777" w:rsidR="0021762A" w:rsidRPr="0021762A" w:rsidRDefault="003F1F5F" w:rsidP="0021762A">
      <w:pPr>
        <w:rPr>
          <w:rFonts w:ascii="Times New Roman" w:eastAsia="Times New Roman" w:hAnsi="Times New Roman" w:cs="Times New Roman"/>
        </w:rPr>
      </w:pPr>
      <w:r>
        <w:rPr>
          <w:rFonts w:ascii="Times New Roman" w:eastAsia="Times New Roman" w:hAnsi="Times New Roman" w:cs="Times New Roman"/>
          <w:noProof/>
        </w:rPr>
        <w:pict w14:anchorId="7D94B6BF">
          <v:rect id="_x0000_i1025" alt="" style="width:468pt;height:.05pt;mso-width-percent:0;mso-height-percent:0;mso-width-percent:0;mso-height-percent:0" o:hralign="center" o:hrstd="t" o:hr="t" fillcolor="#a0a0a0" stroked="f"/>
        </w:pict>
      </w:r>
    </w:p>
    <w:p w14:paraId="7A7FC14A" w14:textId="14F8524D" w:rsidR="009841D8" w:rsidRDefault="009841D8" w:rsidP="00673C7B">
      <w:pPr>
        <w:rPr>
          <w:rFonts w:ascii="Times New Roman" w:eastAsia="Times New Roman" w:hAnsi="Times New Roman" w:cs="Times New Roman"/>
          <w:color w:val="4472C4" w:themeColor="accent1"/>
          <w:sz w:val="20"/>
          <w:szCs w:val="20"/>
        </w:rPr>
      </w:pPr>
      <w:r>
        <w:rPr>
          <w:rFonts w:ascii="Times New Roman" w:eastAsia="Times New Roman" w:hAnsi="Times New Roman" w:cs="Times New Roman"/>
          <w:noProof/>
          <w:color w:val="4472C4" w:themeColor="accent1"/>
        </w:rPr>
        <w:drawing>
          <wp:anchor distT="0" distB="0" distL="114300" distR="114300" simplePos="0" relativeHeight="251658240" behindDoc="0" locked="0" layoutInCell="1" allowOverlap="1" wp14:anchorId="1BE5BCEC" wp14:editId="78E12A9D">
            <wp:simplePos x="0" y="0"/>
            <wp:positionH relativeFrom="column">
              <wp:posOffset>2121535</wp:posOffset>
            </wp:positionH>
            <wp:positionV relativeFrom="paragraph">
              <wp:posOffset>26670</wp:posOffset>
            </wp:positionV>
            <wp:extent cx="3669030" cy="1325880"/>
            <wp:effectExtent l="0" t="0" r="3175" b="0"/>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69030" cy="1325880"/>
                    </a:xfrm>
                    <a:prstGeom prst="rect">
                      <a:avLst/>
                    </a:prstGeom>
                  </pic:spPr>
                </pic:pic>
              </a:graphicData>
            </a:graphic>
            <wp14:sizeRelH relativeFrom="page">
              <wp14:pctWidth>0</wp14:pctWidth>
            </wp14:sizeRelH>
            <wp14:sizeRelV relativeFrom="page">
              <wp14:pctHeight>0</wp14:pctHeight>
            </wp14:sizeRelV>
          </wp:anchor>
        </w:drawing>
      </w:r>
      <w:r w:rsidR="00803CD7">
        <w:rPr>
          <w:rFonts w:ascii="Times New Roman" w:eastAsia="Times New Roman" w:hAnsi="Times New Roman" w:cs="Times New Roman"/>
          <w:color w:val="4472C4" w:themeColor="accent1"/>
          <w:sz w:val="20"/>
          <w:szCs w:val="20"/>
        </w:rPr>
        <w:t>ETF</w:t>
      </w:r>
      <w:r w:rsidR="00673C7B">
        <w:rPr>
          <w:rFonts w:ascii="Times New Roman" w:eastAsia="Times New Roman" w:hAnsi="Times New Roman" w:cs="Times New Roman"/>
          <w:color w:val="4472C4" w:themeColor="accent1"/>
          <w:sz w:val="20"/>
          <w:szCs w:val="20"/>
        </w:rPr>
        <w:t xml:space="preserve"> </w:t>
      </w:r>
      <w:r w:rsidR="0021762A" w:rsidRPr="0021762A">
        <w:rPr>
          <w:rFonts w:ascii="Times New Roman" w:eastAsia="Times New Roman" w:hAnsi="Times New Roman" w:cs="Times New Roman"/>
          <w:color w:val="4472C4" w:themeColor="accent1"/>
          <w:sz w:val="20"/>
          <w:szCs w:val="20"/>
        </w:rPr>
        <w:t>OVERVIE</w:t>
      </w:r>
      <w:r>
        <w:rPr>
          <w:rFonts w:ascii="Times New Roman" w:eastAsia="Times New Roman" w:hAnsi="Times New Roman" w:cs="Times New Roman"/>
          <w:color w:val="4472C4" w:themeColor="accent1"/>
          <w:sz w:val="20"/>
          <w:szCs w:val="20"/>
        </w:rPr>
        <w:t>W</w:t>
      </w:r>
    </w:p>
    <w:p w14:paraId="09A9AC1D" w14:textId="2392D987" w:rsidR="00673C7B" w:rsidRPr="00956AF5" w:rsidRDefault="009841D8" w:rsidP="00956AF5">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Material Select Sector SPDR Trust is an exchange-traded fund on the NYSE. Its objective is to provide the investment result that correspond</w:t>
      </w:r>
      <w:r w:rsidR="00956657">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to the performance of the entire Materials Sector Market Index. There are four main industries that are invested by the fund: </w:t>
      </w:r>
      <w:r w:rsidR="0050430F">
        <w:rPr>
          <w:rFonts w:ascii="Times New Roman" w:eastAsia="Times New Roman" w:hAnsi="Times New Roman" w:cs="Times New Roman"/>
          <w:sz w:val="20"/>
          <w:szCs w:val="20"/>
        </w:rPr>
        <w:t>chemical</w:t>
      </w:r>
      <w:r w:rsidR="00E84FE8">
        <w:rPr>
          <w:rFonts w:ascii="Times New Roman" w:eastAsia="Times New Roman" w:hAnsi="Times New Roman" w:cs="Times New Roman"/>
          <w:sz w:val="20"/>
          <w:szCs w:val="20"/>
        </w:rPr>
        <w:t>s</w:t>
      </w:r>
      <w:r w:rsidR="0050430F">
        <w:rPr>
          <w:rFonts w:ascii="Times New Roman" w:eastAsia="Times New Roman" w:hAnsi="Times New Roman" w:cs="Times New Roman"/>
          <w:sz w:val="20"/>
          <w:szCs w:val="20"/>
        </w:rPr>
        <w:t>, construction materials, containers and packaging, and metals and mining.</w:t>
      </w:r>
      <w:r w:rsidR="00D13233">
        <w:rPr>
          <w:rFonts w:ascii="Times New Roman" w:eastAsia="Times New Roman" w:hAnsi="Times New Roman" w:cs="Times New Roman"/>
          <w:sz w:val="20"/>
          <w:szCs w:val="20"/>
        </w:rPr>
        <w:t xml:space="preserve"> Its portfolio is focused on the United States market (81.553%) and United Kingdom market (18.325%). There are a few other equities they own over the globe like Canada, Japan, Sweden, and Switzerland, but their percentage is not significant enough to affect the portfolio.</w:t>
      </w:r>
      <w:r w:rsidR="000B3555">
        <w:rPr>
          <w:rFonts w:ascii="Times New Roman" w:eastAsia="Times New Roman" w:hAnsi="Times New Roman" w:cs="Times New Roman"/>
          <w:sz w:val="20"/>
          <w:szCs w:val="20"/>
        </w:rPr>
        <w:t xml:space="preserve"> </w:t>
      </w:r>
      <w:r w:rsidR="006C7DCD">
        <w:rPr>
          <w:rFonts w:ascii="Times New Roman" w:eastAsia="Times New Roman" w:hAnsi="Times New Roman" w:cs="Times New Roman"/>
          <w:sz w:val="20"/>
          <w:szCs w:val="20"/>
        </w:rPr>
        <w:t>The top number one holding is Linde PLC (LIN) whose stock price has recovered over 100% from the pandemic sell off. The analysts expect Linde to continue to hike their stock price and grow their buyers volume result</w:t>
      </w:r>
      <w:r w:rsidR="005858ED">
        <w:rPr>
          <w:rFonts w:ascii="Times New Roman" w:eastAsia="Times New Roman" w:hAnsi="Times New Roman" w:cs="Times New Roman"/>
          <w:sz w:val="20"/>
          <w:szCs w:val="20"/>
        </w:rPr>
        <w:t>ing</w:t>
      </w:r>
      <w:r w:rsidR="006C7DCD">
        <w:rPr>
          <w:rFonts w:ascii="Times New Roman" w:eastAsia="Times New Roman" w:hAnsi="Times New Roman" w:cs="Times New Roman"/>
          <w:sz w:val="20"/>
          <w:szCs w:val="20"/>
        </w:rPr>
        <w:t xml:space="preserve"> in a sales growth around 6% in 2022. Majority of its financial ratios are better than the industry advantage: P</w:t>
      </w:r>
      <w:r w:rsidR="0002461E">
        <w:rPr>
          <w:rFonts w:ascii="Times New Roman" w:eastAsia="Times New Roman" w:hAnsi="Times New Roman" w:cs="Times New Roman"/>
          <w:sz w:val="20"/>
          <w:szCs w:val="20"/>
        </w:rPr>
        <w:t>rice to Earnings</w:t>
      </w:r>
      <w:r w:rsidR="006C7DCD">
        <w:rPr>
          <w:rFonts w:ascii="Times New Roman" w:eastAsia="Times New Roman" w:hAnsi="Times New Roman" w:cs="Times New Roman"/>
          <w:sz w:val="20"/>
          <w:szCs w:val="20"/>
        </w:rPr>
        <w:t xml:space="preserve"> ratio of 46.5x </w:t>
      </w:r>
      <w:r w:rsidR="0002461E">
        <w:rPr>
          <w:rFonts w:ascii="Times New Roman" w:eastAsia="Times New Roman" w:hAnsi="Times New Roman" w:cs="Times New Roman"/>
          <w:sz w:val="20"/>
          <w:szCs w:val="20"/>
        </w:rPr>
        <w:t xml:space="preserve">compared to 32.9x, Price per Book Value is 3.7 to 5.6 and Price to Cash Flow is 19.5 to 17.8. </w:t>
      </w:r>
    </w:p>
    <w:p w14:paraId="26EA04E0" w14:textId="77777777" w:rsidR="00673C7B" w:rsidRDefault="00673C7B" w:rsidP="00AC24B0">
      <w:pPr>
        <w:pBdr>
          <w:bottom w:val="single" w:sz="4" w:space="1" w:color="auto"/>
        </w:pBdr>
        <w:jc w:val="both"/>
        <w:rPr>
          <w:rFonts w:ascii="Times New Roman" w:eastAsia="Times New Roman" w:hAnsi="Times New Roman" w:cs="Times New Roman"/>
          <w:color w:val="000000"/>
          <w:sz w:val="20"/>
          <w:szCs w:val="20"/>
        </w:rPr>
      </w:pPr>
    </w:p>
    <w:p w14:paraId="24A1BD2D" w14:textId="587609E2" w:rsidR="003F5471" w:rsidRDefault="00803CD7" w:rsidP="0021762A">
      <w:pPr>
        <w:jc w:val="both"/>
        <w:rPr>
          <w:rFonts w:ascii="Times New Roman" w:eastAsia="Times New Roman" w:hAnsi="Times New Roman" w:cs="Times New Roman"/>
          <w:color w:val="4472C4" w:themeColor="accent1"/>
          <w:sz w:val="20"/>
          <w:szCs w:val="20"/>
        </w:rPr>
      </w:pPr>
      <w:r>
        <w:rPr>
          <w:rFonts w:ascii="Times New Roman" w:eastAsia="Times New Roman" w:hAnsi="Times New Roman" w:cs="Times New Roman"/>
          <w:color w:val="4472C4" w:themeColor="accent1"/>
          <w:sz w:val="20"/>
          <w:szCs w:val="20"/>
        </w:rPr>
        <w:t>CURRENT MATERIAL</w:t>
      </w:r>
      <w:r w:rsidR="005C0AE1">
        <w:rPr>
          <w:rFonts w:ascii="Times New Roman" w:eastAsia="Times New Roman" w:hAnsi="Times New Roman" w:cs="Times New Roman"/>
          <w:color w:val="4472C4" w:themeColor="accent1"/>
          <w:sz w:val="20"/>
          <w:szCs w:val="20"/>
        </w:rPr>
        <w:t xml:space="preserve">S </w:t>
      </w:r>
      <w:r w:rsidR="00992C1E">
        <w:rPr>
          <w:rFonts w:ascii="Times New Roman" w:eastAsia="Times New Roman" w:hAnsi="Times New Roman" w:cs="Times New Roman"/>
          <w:color w:val="4472C4" w:themeColor="accent1"/>
          <w:sz w:val="20"/>
          <w:szCs w:val="20"/>
        </w:rPr>
        <w:t>MARKET TREND</w:t>
      </w:r>
    </w:p>
    <w:p w14:paraId="386FAB99" w14:textId="6A287533" w:rsidR="005C0AE1" w:rsidRDefault="0046283A" w:rsidP="0021762A">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Infrastructure Investment and Jobs Act that was signed into law in mid-November of 2021 provided $1.2 trillion in government spending creating a big tailwind for the material industry. </w:t>
      </w:r>
      <w:r w:rsidR="006F54E3">
        <w:rPr>
          <w:rFonts w:ascii="Times New Roman" w:eastAsia="Times New Roman" w:hAnsi="Times New Roman" w:cs="Times New Roman"/>
          <w:color w:val="000000" w:themeColor="text1"/>
          <w:sz w:val="20"/>
          <w:szCs w:val="20"/>
        </w:rPr>
        <w:t>The money was spent on new public work</w:t>
      </w:r>
      <w:r w:rsidR="00403F32">
        <w:rPr>
          <w:rFonts w:ascii="Times New Roman" w:eastAsia="Times New Roman" w:hAnsi="Times New Roman" w:cs="Times New Roman"/>
          <w:color w:val="000000" w:themeColor="text1"/>
          <w:sz w:val="20"/>
          <w:szCs w:val="20"/>
        </w:rPr>
        <w:t xml:space="preserve"> such as</w:t>
      </w:r>
      <w:r w:rsidR="006F54E3">
        <w:rPr>
          <w:rFonts w:ascii="Times New Roman" w:eastAsia="Times New Roman" w:hAnsi="Times New Roman" w:cs="Times New Roman"/>
          <w:color w:val="000000" w:themeColor="text1"/>
          <w:sz w:val="20"/>
          <w:szCs w:val="20"/>
        </w:rPr>
        <w:t xml:space="preserve"> roads, bridges, other major projects, passengers and freight rails, broadbands and EVs had a big impact on the key commodity inputs</w:t>
      </w:r>
      <w:r w:rsidR="00E92638">
        <w:rPr>
          <w:rFonts w:ascii="Times New Roman" w:eastAsia="Times New Roman" w:hAnsi="Times New Roman" w:cs="Times New Roman"/>
          <w:color w:val="000000" w:themeColor="text1"/>
          <w:sz w:val="20"/>
          <w:szCs w:val="20"/>
        </w:rPr>
        <w:t xml:space="preserve">, such as copper and steel. </w:t>
      </w:r>
      <w:r w:rsidR="00D73151">
        <w:rPr>
          <w:rFonts w:ascii="Times New Roman" w:eastAsia="Times New Roman" w:hAnsi="Times New Roman" w:cs="Times New Roman"/>
          <w:color w:val="000000" w:themeColor="text1"/>
          <w:sz w:val="20"/>
          <w:szCs w:val="20"/>
        </w:rPr>
        <w:t>Not just copper and steel received a push, other basic materials necessary for construction also rebounded from their pandemic-level lows. Moreover, improve</w:t>
      </w:r>
      <w:r w:rsidR="00EC4E02">
        <w:rPr>
          <w:rFonts w:ascii="Times New Roman" w:eastAsia="Times New Roman" w:hAnsi="Times New Roman" w:cs="Times New Roman"/>
          <w:color w:val="000000" w:themeColor="text1"/>
          <w:sz w:val="20"/>
          <w:szCs w:val="20"/>
        </w:rPr>
        <w:t>d</w:t>
      </w:r>
      <w:r w:rsidR="00D73151">
        <w:rPr>
          <w:rFonts w:ascii="Times New Roman" w:eastAsia="Times New Roman" w:hAnsi="Times New Roman" w:cs="Times New Roman"/>
          <w:color w:val="000000" w:themeColor="text1"/>
          <w:sz w:val="20"/>
          <w:szCs w:val="20"/>
        </w:rPr>
        <w:t xml:space="preserve"> features</w:t>
      </w:r>
      <w:r w:rsidR="00A175FC">
        <w:rPr>
          <w:rFonts w:ascii="Times New Roman" w:eastAsia="Times New Roman" w:hAnsi="Times New Roman" w:cs="Times New Roman"/>
          <w:color w:val="000000" w:themeColor="text1"/>
          <w:sz w:val="20"/>
          <w:szCs w:val="20"/>
        </w:rPr>
        <w:t xml:space="preserve"> and increased driving range for battery-charged cars could boost the sales of EV market leading to an increase in demand for battery materials like lithium and nickel, coating materials and copper as an EV contains 4 times as much copper as normal vehicles. </w:t>
      </w:r>
    </w:p>
    <w:p w14:paraId="18FAB84B" w14:textId="77777777" w:rsidR="005C0AE1" w:rsidRDefault="005C0AE1" w:rsidP="0021762A">
      <w:pPr>
        <w:jc w:val="both"/>
        <w:rPr>
          <w:rFonts w:ascii="Times New Roman" w:eastAsia="Times New Roman" w:hAnsi="Times New Roman" w:cs="Times New Roman"/>
          <w:color w:val="000000" w:themeColor="text1"/>
          <w:sz w:val="20"/>
          <w:szCs w:val="20"/>
        </w:rPr>
      </w:pPr>
    </w:p>
    <w:p w14:paraId="7D99AA30" w14:textId="5D985AE7" w:rsidR="00626F85" w:rsidRDefault="00A175FC" w:rsidP="0021762A">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Building materials are also receiving a high projected growth rate for 2022 around 10% due to the </w:t>
      </w:r>
      <w:r w:rsidR="00EC4E02">
        <w:rPr>
          <w:rFonts w:ascii="Times New Roman" w:eastAsia="Times New Roman" w:hAnsi="Times New Roman" w:cs="Times New Roman"/>
          <w:color w:val="000000" w:themeColor="text1"/>
          <w:sz w:val="20"/>
          <w:szCs w:val="20"/>
        </w:rPr>
        <w:t>increase</w:t>
      </w:r>
      <w:r>
        <w:rPr>
          <w:rFonts w:ascii="Times New Roman" w:eastAsia="Times New Roman" w:hAnsi="Times New Roman" w:cs="Times New Roman"/>
          <w:color w:val="000000" w:themeColor="text1"/>
          <w:sz w:val="20"/>
          <w:szCs w:val="20"/>
        </w:rPr>
        <w:t xml:space="preserve"> in demand. People are shifting from traveling-to-work to work-from-home or hybrid, thus, </w:t>
      </w:r>
      <w:r w:rsidR="0059340D">
        <w:rPr>
          <w:rFonts w:ascii="Times New Roman" w:eastAsia="Times New Roman" w:hAnsi="Times New Roman" w:cs="Times New Roman"/>
          <w:color w:val="000000" w:themeColor="text1"/>
          <w:sz w:val="20"/>
          <w:szCs w:val="20"/>
        </w:rPr>
        <w:t xml:space="preserve">they will spend more time under the roof. That will help to increase building materials as the customers are trying to refurnish their home, to build a new and better home. Moreover, residential real estate is not the only industry that helps </w:t>
      </w:r>
      <w:r w:rsidR="00EC4E02">
        <w:rPr>
          <w:rFonts w:ascii="Times New Roman" w:eastAsia="Times New Roman" w:hAnsi="Times New Roman" w:cs="Times New Roman"/>
          <w:color w:val="000000" w:themeColor="text1"/>
          <w:sz w:val="20"/>
          <w:szCs w:val="20"/>
        </w:rPr>
        <w:t>drive</w:t>
      </w:r>
      <w:r w:rsidR="0059340D">
        <w:rPr>
          <w:rFonts w:ascii="Times New Roman" w:eastAsia="Times New Roman" w:hAnsi="Times New Roman" w:cs="Times New Roman"/>
          <w:color w:val="000000" w:themeColor="text1"/>
          <w:sz w:val="20"/>
          <w:szCs w:val="20"/>
        </w:rPr>
        <w:t xml:space="preserve"> the demand for building materials, commercial and industrial real estate projects are also one of the catalysts. Because of the supply chain issue and the growth of e-commerce sales, manufacturing facilities are trying to expand their portfolio to increase the limited supply for a persistently high demand for inventory space. </w:t>
      </w:r>
      <w:r w:rsidR="00F852C6">
        <w:rPr>
          <w:rFonts w:ascii="Times New Roman" w:eastAsia="Times New Roman" w:hAnsi="Times New Roman" w:cs="Times New Roman"/>
          <w:color w:val="000000" w:themeColor="text1"/>
          <w:sz w:val="20"/>
          <w:szCs w:val="20"/>
        </w:rPr>
        <w:t xml:space="preserve">These growth in the real estate industry leading to the increase in revenue </w:t>
      </w:r>
      <w:r w:rsidR="005C0AE1">
        <w:rPr>
          <w:rFonts w:ascii="Times New Roman" w:eastAsia="Times New Roman" w:hAnsi="Times New Roman" w:cs="Times New Roman"/>
          <w:color w:val="000000" w:themeColor="text1"/>
          <w:sz w:val="20"/>
          <w:szCs w:val="20"/>
        </w:rPr>
        <w:t>for the materials industry can be made seamless by supportive policies. Housing loans and affordable housing schemes are making a surplus in funds in buyers’ hands, therefore, there is a</w:t>
      </w:r>
      <w:r w:rsidR="00685EE0">
        <w:rPr>
          <w:rFonts w:ascii="Times New Roman" w:eastAsia="Times New Roman" w:hAnsi="Times New Roman" w:cs="Times New Roman"/>
          <w:color w:val="000000" w:themeColor="text1"/>
          <w:sz w:val="20"/>
          <w:szCs w:val="20"/>
        </w:rPr>
        <w:t>n</w:t>
      </w:r>
      <w:r w:rsidR="005C0AE1">
        <w:rPr>
          <w:rFonts w:ascii="Times New Roman" w:eastAsia="Times New Roman" w:hAnsi="Times New Roman" w:cs="Times New Roman"/>
          <w:color w:val="000000" w:themeColor="text1"/>
          <w:sz w:val="20"/>
          <w:szCs w:val="20"/>
        </w:rPr>
        <w:t xml:space="preserve"> increase in demand. </w:t>
      </w:r>
    </w:p>
    <w:p w14:paraId="4C38EE2B" w14:textId="32DDE2FD" w:rsidR="005C0AE1" w:rsidRDefault="005C0AE1" w:rsidP="0021762A">
      <w:pPr>
        <w:jc w:val="both"/>
        <w:rPr>
          <w:rFonts w:ascii="Times New Roman" w:eastAsia="Times New Roman" w:hAnsi="Times New Roman" w:cs="Times New Roman"/>
          <w:color w:val="000000" w:themeColor="text1"/>
          <w:sz w:val="20"/>
          <w:szCs w:val="20"/>
        </w:rPr>
      </w:pPr>
    </w:p>
    <w:p w14:paraId="0559D91C" w14:textId="38932321" w:rsidR="00992C1E" w:rsidRDefault="00992C1E" w:rsidP="0021762A">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There are two more big trends in the materials market: Specialty Chemicals and Agricultural Chemicals. Chemical producers will benefit from higher demand and prices as economic reopening, government stimulus check</w:t>
      </w:r>
      <w:r w:rsidR="009979F6">
        <w:rPr>
          <w:rFonts w:ascii="Times New Roman" w:eastAsia="Times New Roman" w:hAnsi="Times New Roman" w:cs="Times New Roman"/>
          <w:color w:val="000000" w:themeColor="text1"/>
          <w:sz w:val="20"/>
          <w:szCs w:val="20"/>
        </w:rPr>
        <w:t>s</w:t>
      </w:r>
      <w:r>
        <w:rPr>
          <w:rFonts w:ascii="Times New Roman" w:eastAsia="Times New Roman" w:hAnsi="Times New Roman" w:cs="Times New Roman"/>
          <w:color w:val="000000" w:themeColor="text1"/>
          <w:sz w:val="20"/>
          <w:szCs w:val="20"/>
        </w:rPr>
        <w:t xml:space="preserve"> </w:t>
      </w:r>
      <w:r w:rsidR="00000FE5">
        <w:rPr>
          <w:rFonts w:ascii="Times New Roman" w:eastAsia="Times New Roman" w:hAnsi="Times New Roman" w:cs="Times New Roman"/>
          <w:color w:val="000000" w:themeColor="text1"/>
          <w:sz w:val="20"/>
          <w:szCs w:val="20"/>
        </w:rPr>
        <w:t>and less troublesome supply chains. Nevertheless, because of supply chain disruptions, there might be a boost in volume in early to mid 2022 as producers will be playing catch</w:t>
      </w:r>
      <w:r w:rsidR="006E5700">
        <w:rPr>
          <w:rFonts w:ascii="Times New Roman" w:eastAsia="Times New Roman" w:hAnsi="Times New Roman" w:cs="Times New Roman"/>
          <w:color w:val="000000" w:themeColor="text1"/>
          <w:sz w:val="20"/>
          <w:szCs w:val="20"/>
        </w:rPr>
        <w:t xml:space="preserve"> </w:t>
      </w:r>
      <w:r w:rsidR="00000FE5">
        <w:rPr>
          <w:rFonts w:ascii="Times New Roman" w:eastAsia="Times New Roman" w:hAnsi="Times New Roman" w:cs="Times New Roman"/>
          <w:color w:val="000000" w:themeColor="text1"/>
          <w:sz w:val="20"/>
          <w:szCs w:val="20"/>
        </w:rPr>
        <w:t xml:space="preserve">up. </w:t>
      </w:r>
      <w:r w:rsidR="00AF44F2">
        <w:rPr>
          <w:rFonts w:ascii="Times New Roman" w:eastAsia="Times New Roman" w:hAnsi="Times New Roman" w:cs="Times New Roman"/>
          <w:color w:val="000000" w:themeColor="text1"/>
          <w:sz w:val="20"/>
          <w:szCs w:val="20"/>
        </w:rPr>
        <w:t xml:space="preserve">There is going to be a robust demand in 2022 for specialty chemicals </w:t>
      </w:r>
      <w:r w:rsidR="00892121">
        <w:rPr>
          <w:rFonts w:ascii="Times New Roman" w:eastAsia="Times New Roman" w:hAnsi="Times New Roman" w:cs="Times New Roman"/>
          <w:color w:val="000000" w:themeColor="text1"/>
          <w:sz w:val="20"/>
          <w:szCs w:val="20"/>
        </w:rPr>
        <w:t>used in</w:t>
      </w:r>
      <w:r w:rsidR="00AF44F2">
        <w:rPr>
          <w:rFonts w:ascii="Times New Roman" w:eastAsia="Times New Roman" w:hAnsi="Times New Roman" w:cs="Times New Roman"/>
          <w:color w:val="000000" w:themeColor="text1"/>
          <w:sz w:val="20"/>
          <w:szCs w:val="20"/>
        </w:rPr>
        <w:t xml:space="preserve"> coatings </w:t>
      </w:r>
      <w:r w:rsidR="00892121">
        <w:rPr>
          <w:rFonts w:ascii="Times New Roman" w:eastAsia="Times New Roman" w:hAnsi="Times New Roman" w:cs="Times New Roman"/>
          <w:color w:val="000000" w:themeColor="text1"/>
          <w:sz w:val="20"/>
          <w:szCs w:val="20"/>
        </w:rPr>
        <w:t xml:space="preserve">in the </w:t>
      </w:r>
      <w:r w:rsidR="00A21A4B">
        <w:rPr>
          <w:rFonts w:ascii="Times New Roman" w:eastAsia="Times New Roman" w:hAnsi="Times New Roman" w:cs="Times New Roman"/>
          <w:color w:val="000000" w:themeColor="text1"/>
          <w:sz w:val="20"/>
          <w:szCs w:val="20"/>
        </w:rPr>
        <w:t xml:space="preserve">slow recovering </w:t>
      </w:r>
      <w:r w:rsidR="00AF44F2">
        <w:rPr>
          <w:rFonts w:ascii="Times New Roman" w:eastAsia="Times New Roman" w:hAnsi="Times New Roman" w:cs="Times New Roman"/>
          <w:color w:val="000000" w:themeColor="text1"/>
          <w:sz w:val="20"/>
          <w:szCs w:val="20"/>
        </w:rPr>
        <w:t>end-markets</w:t>
      </w:r>
      <w:r w:rsidR="00A21A4B">
        <w:rPr>
          <w:rFonts w:ascii="Times New Roman" w:eastAsia="Times New Roman" w:hAnsi="Times New Roman" w:cs="Times New Roman"/>
          <w:color w:val="000000" w:themeColor="text1"/>
          <w:sz w:val="20"/>
          <w:szCs w:val="20"/>
        </w:rPr>
        <w:t xml:space="preserve"> such as coil, general industrials, electronics, automobile refurnish, wood coatings, and aerospace. Growth is also offered in companies that make disinfects, cleaning products, sanitizing equipment, personal protection, and medical supplies. Even though the specialty chemicals sector is receiving a tailwind, the agricultural chemicals market is struggling to make a good fortune. Farm cash </w:t>
      </w:r>
      <w:r w:rsidR="00FD600C">
        <w:rPr>
          <w:rFonts w:ascii="Times New Roman" w:eastAsia="Times New Roman" w:hAnsi="Times New Roman" w:cs="Times New Roman"/>
          <w:color w:val="000000" w:themeColor="text1"/>
          <w:sz w:val="20"/>
          <w:szCs w:val="20"/>
        </w:rPr>
        <w:t>inflow</w:t>
      </w:r>
      <w:r w:rsidR="00A21A4B">
        <w:rPr>
          <w:rFonts w:ascii="Times New Roman" w:eastAsia="Times New Roman" w:hAnsi="Times New Roman" w:cs="Times New Roman"/>
          <w:color w:val="000000" w:themeColor="text1"/>
          <w:sz w:val="20"/>
          <w:szCs w:val="20"/>
        </w:rPr>
        <w:t xml:space="preserve"> was surging, but costs were also jumping </w:t>
      </w:r>
      <w:r w:rsidR="00192222">
        <w:rPr>
          <w:rFonts w:ascii="Times New Roman" w:eastAsia="Times New Roman" w:hAnsi="Times New Roman" w:cs="Times New Roman"/>
          <w:color w:val="000000" w:themeColor="text1"/>
          <w:sz w:val="20"/>
          <w:szCs w:val="20"/>
        </w:rPr>
        <w:t xml:space="preserve">high leading to a concern for a revenue peak in the farming market. Farmers </w:t>
      </w:r>
      <w:r w:rsidR="00C41C08">
        <w:rPr>
          <w:rFonts w:ascii="Times New Roman" w:eastAsia="Times New Roman" w:hAnsi="Times New Roman" w:cs="Times New Roman"/>
          <w:color w:val="000000" w:themeColor="text1"/>
          <w:sz w:val="20"/>
          <w:szCs w:val="20"/>
        </w:rPr>
        <w:t>were</w:t>
      </w:r>
      <w:r w:rsidR="00192222">
        <w:rPr>
          <w:rFonts w:ascii="Times New Roman" w:eastAsia="Times New Roman" w:hAnsi="Times New Roman" w:cs="Times New Roman"/>
          <w:color w:val="000000" w:themeColor="text1"/>
          <w:sz w:val="20"/>
          <w:szCs w:val="20"/>
        </w:rPr>
        <w:t xml:space="preserve"> able to spend significantly more on agricultural chemicals in 2021 by an increase in crop prices. Unless the commodit</w:t>
      </w:r>
      <w:r w:rsidR="00B636B0">
        <w:rPr>
          <w:rFonts w:ascii="Times New Roman" w:eastAsia="Times New Roman" w:hAnsi="Times New Roman" w:cs="Times New Roman"/>
          <w:color w:val="000000" w:themeColor="text1"/>
          <w:sz w:val="20"/>
          <w:szCs w:val="20"/>
        </w:rPr>
        <w:t>y</w:t>
      </w:r>
      <w:r w:rsidR="00192222">
        <w:rPr>
          <w:rFonts w:ascii="Times New Roman" w:eastAsia="Times New Roman" w:hAnsi="Times New Roman" w:cs="Times New Roman"/>
          <w:color w:val="000000" w:themeColor="text1"/>
          <w:sz w:val="20"/>
          <w:szCs w:val="20"/>
        </w:rPr>
        <w:t xml:space="preserve"> price</w:t>
      </w:r>
      <w:r w:rsidR="00B636B0">
        <w:rPr>
          <w:rFonts w:ascii="Times New Roman" w:eastAsia="Times New Roman" w:hAnsi="Times New Roman" w:cs="Times New Roman"/>
          <w:color w:val="000000" w:themeColor="text1"/>
          <w:sz w:val="20"/>
          <w:szCs w:val="20"/>
        </w:rPr>
        <w:t>s</w:t>
      </w:r>
      <w:r w:rsidR="00192222">
        <w:rPr>
          <w:rFonts w:ascii="Times New Roman" w:eastAsia="Times New Roman" w:hAnsi="Times New Roman" w:cs="Times New Roman"/>
          <w:color w:val="000000" w:themeColor="text1"/>
          <w:sz w:val="20"/>
          <w:szCs w:val="20"/>
        </w:rPr>
        <w:t xml:space="preserve"> rise more, farm spending will likely face a sequential squeeze in 2022. </w:t>
      </w:r>
    </w:p>
    <w:p w14:paraId="6F9DD9AB" w14:textId="77777777" w:rsidR="00192222" w:rsidRDefault="00192222" w:rsidP="0021762A">
      <w:pPr>
        <w:jc w:val="both"/>
        <w:rPr>
          <w:rFonts w:ascii="Times New Roman" w:eastAsia="Times New Roman" w:hAnsi="Times New Roman" w:cs="Times New Roman"/>
          <w:color w:val="000000" w:themeColor="text1"/>
          <w:sz w:val="20"/>
          <w:szCs w:val="20"/>
        </w:rPr>
      </w:pPr>
    </w:p>
    <w:p w14:paraId="207CC950" w14:textId="1AD48343" w:rsidR="005C0AE1" w:rsidRPr="005C0AE1" w:rsidRDefault="005210D5" w:rsidP="005C0AE1">
      <w:pPr>
        <w:pBdr>
          <w:top w:val="single" w:sz="4" w:space="1" w:color="auto"/>
        </w:pBdr>
        <w:jc w:val="both"/>
        <w:rPr>
          <w:rFonts w:ascii="Times New Roman" w:eastAsia="Times New Roman" w:hAnsi="Times New Roman" w:cs="Times New Roman"/>
          <w:color w:val="4472C4" w:themeColor="accent1"/>
          <w:sz w:val="20"/>
          <w:szCs w:val="20"/>
        </w:rPr>
      </w:pPr>
      <w:r>
        <w:rPr>
          <w:rFonts w:ascii="Times New Roman" w:eastAsia="Times New Roman" w:hAnsi="Times New Roman" w:cs="Times New Roman"/>
          <w:color w:val="4472C4" w:themeColor="accent1"/>
          <w:sz w:val="20"/>
          <w:szCs w:val="20"/>
        </w:rPr>
        <w:t>MATERIALS MARKET OUTLOOK</w:t>
      </w:r>
    </w:p>
    <w:p w14:paraId="406C6062" w14:textId="77262764" w:rsidR="005C0AE1" w:rsidRDefault="00192222" w:rsidP="0021762A">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lastRenderedPageBreak/>
        <w:t>American Chemistry Council (ACC) forecasted that the US chemical volume will rise by 3.2% in the summer of 2022 compared to an estimate</w:t>
      </w:r>
      <w:r w:rsidR="00CF5D52">
        <w:rPr>
          <w:rFonts w:ascii="Times New Roman" w:eastAsia="Times New Roman" w:hAnsi="Times New Roman" w:cs="Times New Roman"/>
          <w:color w:val="000000" w:themeColor="text1"/>
          <w:sz w:val="20"/>
          <w:szCs w:val="20"/>
        </w:rPr>
        <w:t xml:space="preserve">d increase of 1.4% this year. Pharmaceutical industry continues to grow </w:t>
      </w:r>
      <w:r w:rsidR="00CD4074">
        <w:rPr>
          <w:rFonts w:ascii="Times New Roman" w:eastAsia="Times New Roman" w:hAnsi="Times New Roman" w:cs="Times New Roman"/>
          <w:color w:val="000000" w:themeColor="text1"/>
          <w:sz w:val="20"/>
          <w:szCs w:val="20"/>
        </w:rPr>
        <w:t xml:space="preserve">unabatedly due to strong demand which helps to boost the revenue of the specialty chemicals manufacturers. With the Delta and Omicron variants slowing down the reopening of </w:t>
      </w:r>
      <w:r w:rsidR="00E61721">
        <w:rPr>
          <w:rFonts w:ascii="Times New Roman" w:eastAsia="Times New Roman" w:hAnsi="Times New Roman" w:cs="Times New Roman"/>
          <w:color w:val="000000" w:themeColor="text1"/>
          <w:sz w:val="20"/>
          <w:szCs w:val="20"/>
        </w:rPr>
        <w:t xml:space="preserve">the </w:t>
      </w:r>
      <w:r w:rsidR="00CD4074">
        <w:rPr>
          <w:rFonts w:ascii="Times New Roman" w:eastAsia="Times New Roman" w:hAnsi="Times New Roman" w:cs="Times New Roman"/>
          <w:color w:val="000000" w:themeColor="text1"/>
          <w:sz w:val="20"/>
          <w:szCs w:val="20"/>
        </w:rPr>
        <w:t xml:space="preserve">global economy, there is still significant pent-up demand, particularly across the industrial and consumer-end markets. As demand keeps on growing, employment is expected to recover this year, but it </w:t>
      </w:r>
      <w:r w:rsidR="00D76FC1">
        <w:rPr>
          <w:rFonts w:ascii="Times New Roman" w:eastAsia="Times New Roman" w:hAnsi="Times New Roman" w:cs="Times New Roman"/>
          <w:color w:val="000000" w:themeColor="text1"/>
          <w:sz w:val="20"/>
          <w:szCs w:val="20"/>
        </w:rPr>
        <w:t>will</w:t>
      </w:r>
      <w:r w:rsidR="00CD4074">
        <w:rPr>
          <w:rFonts w:ascii="Times New Roman" w:eastAsia="Times New Roman" w:hAnsi="Times New Roman" w:cs="Times New Roman"/>
          <w:color w:val="000000" w:themeColor="text1"/>
          <w:sz w:val="20"/>
          <w:szCs w:val="20"/>
        </w:rPr>
        <w:t xml:space="preserve"> not reach pre-COVID level until 2023. US chemical volumes are expected to </w:t>
      </w:r>
      <w:r w:rsidR="008F3A91">
        <w:rPr>
          <w:rFonts w:ascii="Times New Roman" w:eastAsia="Times New Roman" w:hAnsi="Times New Roman" w:cs="Times New Roman"/>
          <w:color w:val="000000" w:themeColor="text1"/>
          <w:sz w:val="20"/>
          <w:szCs w:val="20"/>
        </w:rPr>
        <w:t xml:space="preserve">grow by 3.2% in 2022, shipment will rise 8.2% in 2022 after a big fall of 13.5% in 2020. Industry capital spending will grow 3.1% in 2022 after falling 17.6% in 2020 and </w:t>
      </w:r>
      <w:r w:rsidR="007E4E96">
        <w:rPr>
          <w:rFonts w:ascii="Times New Roman" w:eastAsia="Times New Roman" w:hAnsi="Times New Roman" w:cs="Times New Roman"/>
          <w:color w:val="000000" w:themeColor="text1"/>
          <w:sz w:val="20"/>
          <w:szCs w:val="20"/>
        </w:rPr>
        <w:t>rise</w:t>
      </w:r>
      <w:r w:rsidR="008F3A91">
        <w:rPr>
          <w:rFonts w:ascii="Times New Roman" w:eastAsia="Times New Roman" w:hAnsi="Times New Roman" w:cs="Times New Roman"/>
          <w:color w:val="000000" w:themeColor="text1"/>
          <w:sz w:val="20"/>
          <w:szCs w:val="20"/>
        </w:rPr>
        <w:t xml:space="preserve"> back to $30.6 billions in 2021. </w:t>
      </w:r>
    </w:p>
    <w:p w14:paraId="6606C14D" w14:textId="2C32A53A" w:rsidR="00C70F66" w:rsidRDefault="00C70F66" w:rsidP="0021762A">
      <w:pPr>
        <w:jc w:val="both"/>
        <w:rPr>
          <w:rFonts w:ascii="Times New Roman" w:eastAsia="Times New Roman" w:hAnsi="Times New Roman" w:cs="Times New Roman"/>
          <w:color w:val="000000" w:themeColor="text1"/>
          <w:sz w:val="20"/>
          <w:szCs w:val="20"/>
        </w:rPr>
      </w:pPr>
    </w:p>
    <w:p w14:paraId="2DF97E62" w14:textId="7153958C" w:rsidR="00C70F66" w:rsidRDefault="00C70F66" w:rsidP="00402B0E">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themeColor="text1"/>
          <w:sz w:val="20"/>
          <w:szCs w:val="20"/>
        </w:rPr>
        <w:t>US chemical exports are growing as major economies reopen and import demand in partner economies improves. After falling 7.6% in 2020, exports</w:t>
      </w:r>
      <w:r w:rsidR="00F811F9">
        <w:rPr>
          <w:rFonts w:ascii="Times New Roman" w:eastAsia="Times New Roman" w:hAnsi="Times New Roman" w:cs="Times New Roman"/>
          <w:color w:val="000000" w:themeColor="text1"/>
          <w:sz w:val="20"/>
          <w:szCs w:val="20"/>
        </w:rPr>
        <w:t xml:space="preserve"> are</w:t>
      </w:r>
      <w:r>
        <w:rPr>
          <w:rFonts w:ascii="Times New Roman" w:eastAsia="Times New Roman" w:hAnsi="Times New Roman" w:cs="Times New Roman"/>
          <w:color w:val="000000" w:themeColor="text1"/>
          <w:sz w:val="20"/>
          <w:szCs w:val="20"/>
        </w:rPr>
        <w:t xml:space="preserve"> </w:t>
      </w:r>
      <w:r w:rsidR="00F15F9F">
        <w:rPr>
          <w:rFonts w:ascii="Times New Roman" w:eastAsia="Times New Roman" w:hAnsi="Times New Roman" w:cs="Times New Roman"/>
          <w:color w:val="000000" w:themeColor="text1"/>
          <w:sz w:val="20"/>
          <w:szCs w:val="20"/>
        </w:rPr>
        <w:t>increasing</w:t>
      </w:r>
      <w:r>
        <w:rPr>
          <w:rFonts w:ascii="Times New Roman" w:eastAsia="Times New Roman" w:hAnsi="Times New Roman" w:cs="Times New Roman"/>
          <w:color w:val="000000" w:themeColor="text1"/>
          <w:sz w:val="20"/>
          <w:szCs w:val="20"/>
        </w:rPr>
        <w:t xml:space="preserve"> by 5.8% in 2021 and </w:t>
      </w:r>
      <w:r w:rsidR="00F811F9">
        <w:rPr>
          <w:rFonts w:ascii="Times New Roman" w:eastAsia="Times New Roman" w:hAnsi="Times New Roman" w:cs="Times New Roman"/>
          <w:color w:val="000000" w:themeColor="text1"/>
          <w:sz w:val="20"/>
          <w:szCs w:val="20"/>
        </w:rPr>
        <w:t xml:space="preserve">expected to be increasing 13.8% in 2022. The US chemical imports are expected to grow 13.7% in 2022 after a drop of 5.1% in 2020 and a rise of 1.6% in 2021. The US chemical industry will maintain its net exporter position, supporting the total US goods exports. By 2025, net exports of chemicals will reach $40.5 billion. </w:t>
      </w:r>
      <w:r w:rsidR="00402B0E">
        <w:rPr>
          <w:rFonts w:ascii="Times New Roman" w:eastAsia="Times New Roman" w:hAnsi="Times New Roman" w:cs="Times New Roman"/>
          <w:color w:val="000000"/>
          <w:sz w:val="20"/>
          <w:szCs w:val="20"/>
        </w:rPr>
        <w:t xml:space="preserve">General economic conditions like inflation, recession, changes in interest rates, credits, market liquidity, regulations, political events can cause the industry great volatility and fluctuation. 60% of chemical industry respondents saw volatile costs as biggest risks facing companies in 2022 because of the monetary inflation. </w:t>
      </w:r>
    </w:p>
    <w:p w14:paraId="04DC1472" w14:textId="0A090986" w:rsidR="00772BD1" w:rsidRDefault="00772BD1" w:rsidP="00402B0E">
      <w:pPr>
        <w:jc w:val="both"/>
        <w:rPr>
          <w:rFonts w:ascii="Times New Roman" w:eastAsia="Times New Roman" w:hAnsi="Times New Roman" w:cs="Times New Roman"/>
          <w:color w:val="000000"/>
          <w:sz w:val="20"/>
          <w:szCs w:val="20"/>
        </w:rPr>
      </w:pPr>
    </w:p>
    <w:p w14:paraId="17BEFE53" w14:textId="32AB381B" w:rsidR="00772BD1" w:rsidRPr="001063E2" w:rsidRDefault="00772BD1" w:rsidP="00402B0E">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More people are shifting to </w:t>
      </w:r>
      <w:r w:rsidR="00877A61">
        <w:rPr>
          <w:rFonts w:ascii="Times New Roman" w:eastAsia="Times New Roman" w:hAnsi="Times New Roman" w:cs="Times New Roman"/>
          <w:color w:val="000000" w:themeColor="text1"/>
          <w:sz w:val="20"/>
          <w:szCs w:val="20"/>
        </w:rPr>
        <w:t xml:space="preserve">more </w:t>
      </w:r>
      <w:r>
        <w:rPr>
          <w:rFonts w:ascii="Times New Roman" w:eastAsia="Times New Roman" w:hAnsi="Times New Roman" w:cs="Times New Roman"/>
          <w:color w:val="000000" w:themeColor="text1"/>
          <w:sz w:val="20"/>
          <w:szCs w:val="20"/>
        </w:rPr>
        <w:t xml:space="preserve">sustainable </w:t>
      </w:r>
      <w:r w:rsidR="00877A61">
        <w:rPr>
          <w:rFonts w:ascii="Times New Roman" w:eastAsia="Times New Roman" w:hAnsi="Times New Roman" w:cs="Times New Roman"/>
          <w:color w:val="000000" w:themeColor="text1"/>
          <w:sz w:val="20"/>
          <w:szCs w:val="20"/>
        </w:rPr>
        <w:t xml:space="preserve">and eco-friendly alternative </w:t>
      </w:r>
      <w:r>
        <w:rPr>
          <w:rFonts w:ascii="Times New Roman" w:eastAsia="Times New Roman" w:hAnsi="Times New Roman" w:cs="Times New Roman"/>
          <w:color w:val="000000" w:themeColor="text1"/>
          <w:sz w:val="20"/>
          <w:szCs w:val="20"/>
        </w:rPr>
        <w:t>design</w:t>
      </w:r>
      <w:r w:rsidR="00877A61">
        <w:rPr>
          <w:rFonts w:ascii="Times New Roman" w:eastAsia="Times New Roman" w:hAnsi="Times New Roman" w:cs="Times New Roman"/>
          <w:color w:val="000000" w:themeColor="text1"/>
          <w:sz w:val="20"/>
          <w:szCs w:val="20"/>
        </w:rPr>
        <w:t xml:space="preserve">s. Solar panels reduce electricity bills, make use of renewable energy, and </w:t>
      </w:r>
      <w:r w:rsidR="00F15F9F">
        <w:rPr>
          <w:rFonts w:ascii="Times New Roman" w:eastAsia="Times New Roman" w:hAnsi="Times New Roman" w:cs="Times New Roman"/>
          <w:color w:val="000000" w:themeColor="text1"/>
          <w:sz w:val="20"/>
          <w:szCs w:val="20"/>
        </w:rPr>
        <w:t xml:space="preserve">are </w:t>
      </w:r>
      <w:r w:rsidR="00877A61">
        <w:rPr>
          <w:rFonts w:ascii="Times New Roman" w:eastAsia="Times New Roman" w:hAnsi="Times New Roman" w:cs="Times New Roman"/>
          <w:color w:val="000000" w:themeColor="text1"/>
          <w:sz w:val="20"/>
          <w:szCs w:val="20"/>
        </w:rPr>
        <w:t xml:space="preserve">aesthetically pleasing. Smart Glass Window is currently a big trend in commercial and industrial construction, natural light, and large windows to reduce electricity consumption. Composite roofing shingles are sustainable, they do not require constant repairs and management or replacements. Bamboo floors are unique solutions to normal hardwood </w:t>
      </w:r>
      <w:r w:rsidR="001B7834">
        <w:rPr>
          <w:rFonts w:ascii="Times New Roman" w:eastAsia="Times New Roman" w:hAnsi="Times New Roman" w:cs="Times New Roman"/>
          <w:color w:val="000000" w:themeColor="text1"/>
          <w:sz w:val="20"/>
          <w:szCs w:val="20"/>
        </w:rPr>
        <w:t>floors</w:t>
      </w:r>
      <w:r w:rsidR="006A6807">
        <w:rPr>
          <w:rFonts w:ascii="Times New Roman" w:eastAsia="Times New Roman" w:hAnsi="Times New Roman" w:cs="Times New Roman"/>
          <w:color w:val="000000" w:themeColor="text1"/>
          <w:sz w:val="20"/>
          <w:szCs w:val="20"/>
        </w:rPr>
        <w:t>. Insulated concrete framing is a fundamental element in controlling heating and cooling costs</w:t>
      </w:r>
      <w:r w:rsidR="008C7562">
        <w:rPr>
          <w:rFonts w:ascii="Times New Roman" w:eastAsia="Times New Roman" w:hAnsi="Times New Roman" w:cs="Times New Roman"/>
          <w:color w:val="000000" w:themeColor="text1"/>
          <w:sz w:val="20"/>
          <w:szCs w:val="20"/>
        </w:rPr>
        <w:t>.</w:t>
      </w:r>
      <w:r w:rsidR="006A6807">
        <w:rPr>
          <w:rFonts w:ascii="Times New Roman" w:eastAsia="Times New Roman" w:hAnsi="Times New Roman" w:cs="Times New Roman"/>
          <w:color w:val="000000" w:themeColor="text1"/>
          <w:sz w:val="20"/>
          <w:szCs w:val="20"/>
        </w:rPr>
        <w:t xml:space="preserve"> </w:t>
      </w:r>
      <w:r w:rsidR="008C7562">
        <w:rPr>
          <w:rFonts w:ascii="Times New Roman" w:eastAsia="Times New Roman" w:hAnsi="Times New Roman" w:cs="Times New Roman"/>
          <w:color w:val="000000" w:themeColor="text1"/>
          <w:sz w:val="20"/>
          <w:szCs w:val="20"/>
        </w:rPr>
        <w:t>I</w:t>
      </w:r>
      <w:r w:rsidR="00CA5C60">
        <w:rPr>
          <w:rFonts w:ascii="Times New Roman" w:eastAsia="Times New Roman" w:hAnsi="Times New Roman" w:cs="Times New Roman"/>
          <w:color w:val="000000" w:themeColor="text1"/>
          <w:sz w:val="20"/>
          <w:szCs w:val="20"/>
        </w:rPr>
        <w:t>t</w:t>
      </w:r>
      <w:r w:rsidR="006A6807">
        <w:rPr>
          <w:rFonts w:ascii="Times New Roman" w:eastAsia="Times New Roman" w:hAnsi="Times New Roman" w:cs="Times New Roman"/>
          <w:color w:val="000000" w:themeColor="text1"/>
          <w:sz w:val="20"/>
          <w:szCs w:val="20"/>
        </w:rPr>
        <w:t xml:space="preserve"> is airtight blockage that can prevent any unwanted energy transfer like any wood panels that always come with cracks. Green building materials market is growing driven by the demand for eco-friendly buildings and these building</w:t>
      </w:r>
      <w:r w:rsidR="000928B0">
        <w:rPr>
          <w:rFonts w:ascii="Times New Roman" w:eastAsia="Times New Roman" w:hAnsi="Times New Roman" w:cs="Times New Roman"/>
          <w:color w:val="000000" w:themeColor="text1"/>
          <w:sz w:val="20"/>
          <w:szCs w:val="20"/>
        </w:rPr>
        <w:t>s</w:t>
      </w:r>
      <w:r w:rsidR="006A6807">
        <w:rPr>
          <w:rFonts w:ascii="Times New Roman" w:eastAsia="Times New Roman" w:hAnsi="Times New Roman" w:cs="Times New Roman"/>
          <w:color w:val="000000" w:themeColor="text1"/>
          <w:sz w:val="20"/>
          <w:szCs w:val="20"/>
        </w:rPr>
        <w:t xml:space="preserve"> require high capital investment compared to other conventional buildings. This </w:t>
      </w:r>
      <w:r w:rsidR="001063E2">
        <w:rPr>
          <w:rFonts w:ascii="Times New Roman" w:eastAsia="Times New Roman" w:hAnsi="Times New Roman" w:cs="Times New Roman"/>
          <w:color w:val="000000" w:themeColor="text1"/>
          <w:sz w:val="20"/>
          <w:szCs w:val="20"/>
        </w:rPr>
        <w:t xml:space="preserve">results in an assumption of market growth in the forecast period. </w:t>
      </w:r>
    </w:p>
    <w:p w14:paraId="5C918BA3" w14:textId="56A6CDB2" w:rsidR="00F811F9" w:rsidRDefault="00F811F9" w:rsidP="0021762A">
      <w:pPr>
        <w:jc w:val="both"/>
        <w:rPr>
          <w:rFonts w:ascii="Times New Roman" w:eastAsia="Times New Roman" w:hAnsi="Times New Roman" w:cs="Times New Roman"/>
          <w:color w:val="000000" w:themeColor="text1"/>
          <w:sz w:val="20"/>
          <w:szCs w:val="20"/>
        </w:rPr>
      </w:pPr>
    </w:p>
    <w:p w14:paraId="582E0B91" w14:textId="10DBF6C1" w:rsidR="00F811F9" w:rsidRDefault="00F811F9" w:rsidP="0021762A">
      <w:pPr>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In 2022, </w:t>
      </w:r>
      <w:r w:rsidR="00B86546">
        <w:rPr>
          <w:rFonts w:ascii="Times New Roman" w:eastAsia="Times New Roman" w:hAnsi="Times New Roman" w:cs="Times New Roman"/>
          <w:color w:val="000000" w:themeColor="text1"/>
          <w:sz w:val="20"/>
          <w:szCs w:val="20"/>
        </w:rPr>
        <w:t xml:space="preserve">the </w:t>
      </w:r>
      <w:r>
        <w:rPr>
          <w:rFonts w:ascii="Times New Roman" w:eastAsia="Times New Roman" w:hAnsi="Times New Roman" w:cs="Times New Roman"/>
          <w:color w:val="000000" w:themeColor="text1"/>
          <w:sz w:val="20"/>
          <w:szCs w:val="20"/>
        </w:rPr>
        <w:t xml:space="preserve">chemical industry likely has </w:t>
      </w:r>
      <w:r w:rsidR="00B86546">
        <w:rPr>
          <w:rFonts w:ascii="Times New Roman" w:eastAsia="Times New Roman" w:hAnsi="Times New Roman" w:cs="Times New Roman"/>
          <w:color w:val="000000" w:themeColor="text1"/>
          <w:sz w:val="20"/>
          <w:szCs w:val="20"/>
        </w:rPr>
        <w:t xml:space="preserve">a </w:t>
      </w:r>
      <w:r>
        <w:rPr>
          <w:rFonts w:ascii="Times New Roman" w:eastAsia="Times New Roman" w:hAnsi="Times New Roman" w:cs="Times New Roman"/>
          <w:color w:val="000000" w:themeColor="text1"/>
          <w:sz w:val="20"/>
          <w:szCs w:val="20"/>
        </w:rPr>
        <w:t>sharper focus on decarbonization strategies due to regulatory changes and technology innovations. European Union Green Deal, a commit</w:t>
      </w:r>
      <w:r w:rsidR="00B86546">
        <w:rPr>
          <w:rFonts w:ascii="Times New Roman" w:eastAsia="Times New Roman" w:hAnsi="Times New Roman" w:cs="Times New Roman"/>
          <w:color w:val="000000" w:themeColor="text1"/>
          <w:sz w:val="20"/>
          <w:szCs w:val="20"/>
        </w:rPr>
        <w:t>ment</w:t>
      </w:r>
      <w:r>
        <w:rPr>
          <w:rFonts w:ascii="Times New Roman" w:eastAsia="Times New Roman" w:hAnsi="Times New Roman" w:cs="Times New Roman"/>
          <w:color w:val="000000" w:themeColor="text1"/>
          <w:sz w:val="20"/>
          <w:szCs w:val="20"/>
        </w:rPr>
        <w:t xml:space="preserve"> to carbon neutrality by 2050, </w:t>
      </w:r>
      <w:r w:rsidR="002F71DA">
        <w:rPr>
          <w:rFonts w:ascii="Times New Roman" w:eastAsia="Times New Roman" w:hAnsi="Times New Roman" w:cs="Times New Roman"/>
          <w:color w:val="000000" w:themeColor="text1"/>
          <w:sz w:val="20"/>
          <w:szCs w:val="20"/>
        </w:rPr>
        <w:t xml:space="preserve">gains steam from the shifting of fossil fuels to renewables in 2022. It creates a new market for carbon and other byproducts. Over the past year, the market showed that people are willing to switch to more environmentally friendly substitutes even if they cost slightly more and function less effectively. Moreover, chemical manufacturers are increasingly realizing that digitalization is about implementing better technologies and involves aligning the culture, people, structure, and tasks. </w:t>
      </w:r>
      <w:r w:rsidR="006E3A99">
        <w:rPr>
          <w:rFonts w:ascii="Times New Roman" w:eastAsia="Times New Roman" w:hAnsi="Times New Roman" w:cs="Times New Roman"/>
          <w:color w:val="000000" w:themeColor="text1"/>
          <w:sz w:val="20"/>
          <w:szCs w:val="20"/>
        </w:rPr>
        <w:t>The c</w:t>
      </w:r>
      <w:r w:rsidR="002F71DA">
        <w:rPr>
          <w:rFonts w:ascii="Times New Roman" w:eastAsia="Times New Roman" w:hAnsi="Times New Roman" w:cs="Times New Roman"/>
          <w:color w:val="000000" w:themeColor="text1"/>
          <w:sz w:val="20"/>
          <w:szCs w:val="20"/>
        </w:rPr>
        <w:t xml:space="preserve">hemical industry is one of the industries that are reluctant to use cutting-edge technologies in their facilities. Now, they are trying to use technologies to support productivity, strengthening asset dependability with IoT devices and remote monitoring. </w:t>
      </w:r>
      <w:r w:rsidR="000C1019">
        <w:rPr>
          <w:rFonts w:ascii="Times New Roman" w:eastAsia="Times New Roman" w:hAnsi="Times New Roman" w:cs="Times New Roman"/>
          <w:color w:val="000000" w:themeColor="text1"/>
          <w:sz w:val="20"/>
          <w:szCs w:val="20"/>
        </w:rPr>
        <w:t>Creating ecosystem collaborations with multiple entities, universities, companies to better serve customers through solving complex problems</w:t>
      </w:r>
      <w:r w:rsidR="0000008A">
        <w:rPr>
          <w:rFonts w:ascii="Times New Roman" w:eastAsia="Times New Roman" w:hAnsi="Times New Roman" w:cs="Times New Roman"/>
          <w:color w:val="000000" w:themeColor="text1"/>
          <w:sz w:val="20"/>
          <w:szCs w:val="20"/>
        </w:rPr>
        <w:t>.</w:t>
      </w:r>
    </w:p>
    <w:p w14:paraId="236DB7D1" w14:textId="77777777" w:rsidR="00402B0E" w:rsidRDefault="00402B0E" w:rsidP="00512E9D">
      <w:pPr>
        <w:pBdr>
          <w:bottom w:val="single" w:sz="4" w:space="1" w:color="auto"/>
        </w:pBdr>
        <w:jc w:val="both"/>
        <w:rPr>
          <w:rFonts w:ascii="Times New Roman" w:eastAsia="Times New Roman" w:hAnsi="Times New Roman" w:cs="Times New Roman"/>
          <w:color w:val="000000"/>
          <w:sz w:val="20"/>
          <w:szCs w:val="20"/>
        </w:rPr>
      </w:pPr>
    </w:p>
    <w:p w14:paraId="21E110A1" w14:textId="55567759" w:rsidR="0002372B" w:rsidRPr="00AA0260" w:rsidRDefault="00512E9D" w:rsidP="001A53C7">
      <w:pPr>
        <w:jc w:val="both"/>
        <w:rPr>
          <w:rFonts w:ascii="Times New Roman" w:eastAsia="Times New Roman" w:hAnsi="Times New Roman" w:cs="Times New Roman"/>
          <w:color w:val="4472C4" w:themeColor="accent1"/>
          <w:sz w:val="20"/>
          <w:szCs w:val="20"/>
        </w:rPr>
      </w:pPr>
      <w:r w:rsidRPr="00AA0260">
        <w:rPr>
          <w:rFonts w:ascii="Times New Roman" w:eastAsia="Times New Roman" w:hAnsi="Times New Roman" w:cs="Times New Roman"/>
          <w:color w:val="4472C4" w:themeColor="accent1"/>
          <w:sz w:val="20"/>
          <w:szCs w:val="20"/>
        </w:rPr>
        <w:t>RECOMMENDATION</w:t>
      </w:r>
    </w:p>
    <w:p w14:paraId="1B05D6CD" w14:textId="3D734E0D" w:rsidR="003B140C" w:rsidRDefault="003B140C" w:rsidP="003B140C">
      <w:pPr>
        <w:jc w:val="both"/>
        <w:rPr>
          <w:rFonts w:ascii="Times New Roman" w:eastAsia="Times New Roman" w:hAnsi="Times New Roman" w:cs="Times New Roman"/>
          <w:b/>
          <w:bCs/>
          <w:i/>
          <w:iCs/>
          <w:color w:val="000000"/>
          <w:sz w:val="20"/>
          <w:szCs w:val="20"/>
          <w:u w:val="single"/>
        </w:rPr>
      </w:pPr>
      <w:r>
        <w:rPr>
          <w:rFonts w:ascii="Times New Roman" w:eastAsia="Times New Roman" w:hAnsi="Times New Roman" w:cs="Times New Roman"/>
          <w:color w:val="000000"/>
          <w:sz w:val="20"/>
          <w:szCs w:val="20"/>
        </w:rPr>
        <w:t xml:space="preserve">Due to reasons mentioned above, I believe we should </w:t>
      </w:r>
      <w:r w:rsidRPr="0043519B">
        <w:rPr>
          <w:rFonts w:ascii="Times New Roman" w:eastAsia="Times New Roman" w:hAnsi="Times New Roman" w:cs="Times New Roman"/>
          <w:b/>
          <w:bCs/>
          <w:color w:val="000000"/>
          <w:sz w:val="20"/>
          <w:szCs w:val="20"/>
          <w:u w:val="single"/>
        </w:rPr>
        <w:t xml:space="preserve">HOLD </w:t>
      </w:r>
      <w:r>
        <w:rPr>
          <w:rFonts w:ascii="Times New Roman" w:eastAsia="Times New Roman" w:hAnsi="Times New Roman" w:cs="Times New Roman"/>
          <w:b/>
          <w:bCs/>
          <w:color w:val="000000"/>
          <w:sz w:val="20"/>
          <w:szCs w:val="20"/>
          <w:u w:val="single"/>
        </w:rPr>
        <w:t>XLB</w:t>
      </w:r>
      <w:r>
        <w:rPr>
          <w:rFonts w:ascii="Times New Roman" w:eastAsia="Times New Roman" w:hAnsi="Times New Roman" w:cs="Times New Roman"/>
          <w:color w:val="000000"/>
          <w:sz w:val="20"/>
          <w:szCs w:val="20"/>
        </w:rPr>
        <w:t xml:space="preserve"> in the UIndy Student Fund portfolio for the time being.</w:t>
      </w:r>
      <w:r w:rsidR="00772BD1">
        <w:rPr>
          <w:rFonts w:ascii="Times New Roman" w:eastAsia="Times New Roman" w:hAnsi="Times New Roman" w:cs="Times New Roman"/>
          <w:color w:val="000000"/>
          <w:sz w:val="20"/>
          <w:szCs w:val="20"/>
        </w:rPr>
        <w:t xml:space="preserve"> The fund</w:t>
      </w:r>
      <w:r w:rsidR="001063E2">
        <w:rPr>
          <w:rFonts w:ascii="Times New Roman" w:eastAsia="Times New Roman" w:hAnsi="Times New Roman" w:cs="Times New Roman"/>
          <w:color w:val="000000"/>
          <w:sz w:val="20"/>
          <w:szCs w:val="20"/>
        </w:rPr>
        <w:t xml:space="preserve"> has holdings of leading companies in both specialty chemicals and sustainable markets. The demand </w:t>
      </w:r>
      <w:r w:rsidR="00423EB0">
        <w:rPr>
          <w:rFonts w:ascii="Times New Roman" w:eastAsia="Times New Roman" w:hAnsi="Times New Roman" w:cs="Times New Roman"/>
          <w:color w:val="000000"/>
          <w:sz w:val="20"/>
          <w:szCs w:val="20"/>
        </w:rPr>
        <w:t xml:space="preserve">and pricing </w:t>
      </w:r>
      <w:r w:rsidR="001063E2">
        <w:rPr>
          <w:rFonts w:ascii="Times New Roman" w:eastAsia="Times New Roman" w:hAnsi="Times New Roman" w:cs="Times New Roman"/>
          <w:color w:val="000000"/>
          <w:sz w:val="20"/>
          <w:szCs w:val="20"/>
        </w:rPr>
        <w:t>for those market</w:t>
      </w:r>
      <w:r w:rsidR="008D25EA">
        <w:rPr>
          <w:rFonts w:ascii="Times New Roman" w:eastAsia="Times New Roman" w:hAnsi="Times New Roman" w:cs="Times New Roman"/>
          <w:color w:val="000000"/>
          <w:sz w:val="20"/>
          <w:szCs w:val="20"/>
        </w:rPr>
        <w:t>s</w:t>
      </w:r>
      <w:r w:rsidR="001063E2">
        <w:rPr>
          <w:rFonts w:ascii="Times New Roman" w:eastAsia="Times New Roman" w:hAnsi="Times New Roman" w:cs="Times New Roman"/>
          <w:color w:val="000000"/>
          <w:sz w:val="20"/>
          <w:szCs w:val="20"/>
        </w:rPr>
        <w:t xml:space="preserve"> is</w:t>
      </w:r>
      <w:r w:rsidR="00423EB0">
        <w:rPr>
          <w:rFonts w:ascii="Times New Roman" w:eastAsia="Times New Roman" w:hAnsi="Times New Roman" w:cs="Times New Roman"/>
          <w:color w:val="000000"/>
          <w:sz w:val="20"/>
          <w:szCs w:val="20"/>
        </w:rPr>
        <w:t xml:space="preserve"> rebounding from its pandemic-level lows. </w:t>
      </w:r>
      <w:r w:rsidR="004342C6">
        <w:rPr>
          <w:rFonts w:ascii="Times New Roman" w:eastAsia="Times New Roman" w:hAnsi="Times New Roman" w:cs="Times New Roman"/>
          <w:color w:val="000000"/>
          <w:sz w:val="20"/>
          <w:szCs w:val="20"/>
        </w:rPr>
        <w:t>The fund is well-</w:t>
      </w:r>
      <w:r w:rsidR="00F91041">
        <w:rPr>
          <w:rFonts w:ascii="Times New Roman" w:eastAsia="Times New Roman" w:hAnsi="Times New Roman" w:cs="Times New Roman"/>
          <w:color w:val="000000"/>
          <w:sz w:val="20"/>
          <w:szCs w:val="20"/>
        </w:rPr>
        <w:t>proportioned</w:t>
      </w:r>
      <w:r w:rsidR="004342C6">
        <w:rPr>
          <w:rFonts w:ascii="Times New Roman" w:eastAsia="Times New Roman" w:hAnsi="Times New Roman" w:cs="Times New Roman"/>
          <w:color w:val="000000"/>
          <w:sz w:val="20"/>
          <w:szCs w:val="20"/>
        </w:rPr>
        <w:t xml:space="preserve"> in</w:t>
      </w:r>
      <w:r w:rsidR="00F91041">
        <w:rPr>
          <w:rFonts w:ascii="Times New Roman" w:eastAsia="Times New Roman" w:hAnsi="Times New Roman" w:cs="Times New Roman"/>
          <w:color w:val="000000"/>
          <w:sz w:val="20"/>
          <w:szCs w:val="20"/>
        </w:rPr>
        <w:t xml:space="preserve"> both previous and upcoming industry trends. </w:t>
      </w:r>
      <w:r w:rsidR="00F91041" w:rsidRPr="00F91041">
        <w:rPr>
          <w:rFonts w:ascii="Times New Roman" w:eastAsia="Times New Roman" w:hAnsi="Times New Roman" w:cs="Times New Roman"/>
          <w:b/>
          <w:bCs/>
          <w:color w:val="000000"/>
          <w:sz w:val="20"/>
          <w:szCs w:val="20"/>
          <w:u w:val="single"/>
        </w:rPr>
        <w:t>That is why, I recommended a HOLD for XLB</w:t>
      </w:r>
    </w:p>
    <w:p w14:paraId="10BB12DF" w14:textId="3B87995E" w:rsidR="00A32773" w:rsidRDefault="00A32773">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br w:type="page"/>
      </w:r>
    </w:p>
    <w:p w14:paraId="0273BE95" w14:textId="26BC0FEB" w:rsidR="00A32773" w:rsidRDefault="00A32773" w:rsidP="00AA0260">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References:</w:t>
      </w:r>
    </w:p>
    <w:p w14:paraId="66BC2E5B" w14:textId="4E26C6D0" w:rsidR="008B1B3B" w:rsidRDefault="0001529C">
      <w:pPr>
        <w:rPr>
          <w:rFonts w:ascii="Times New Roman" w:hAnsi="Times New Roman" w:cs="Times New Roman"/>
        </w:rPr>
      </w:pPr>
      <w:hyperlink r:id="rId7" w:history="1">
        <w:r w:rsidRPr="009A638E">
          <w:rPr>
            <w:rStyle w:val="Hyperlink"/>
            <w:rFonts w:ascii="Times New Roman" w:hAnsi="Times New Roman" w:cs="Times New Roman"/>
          </w:rPr>
          <w:t>https://prospectus-express.broadridge.com/summary.asp?clientid=amtd&amp;fundid=81369Y100</w:t>
        </w:r>
      </w:hyperlink>
    </w:p>
    <w:p w14:paraId="40A5FC9E" w14:textId="3AD9182F" w:rsidR="0097293D" w:rsidRDefault="0097293D">
      <w:pPr>
        <w:rPr>
          <w:rFonts w:ascii="Times New Roman" w:hAnsi="Times New Roman" w:cs="Times New Roman"/>
        </w:rPr>
      </w:pPr>
    </w:p>
    <w:p w14:paraId="7D46D04D" w14:textId="09830D19" w:rsidR="0097293D" w:rsidRPr="009A638E" w:rsidRDefault="003F1F5F">
      <w:pPr>
        <w:rPr>
          <w:rFonts w:ascii="Times New Roman" w:hAnsi="Times New Roman" w:cs="Times New Roman"/>
        </w:rPr>
      </w:pPr>
      <w:hyperlink r:id="rId8" w:history="1">
        <w:r w:rsidR="0097293D" w:rsidRPr="007E1C65">
          <w:rPr>
            <w:rStyle w:val="Hyperlink"/>
            <w:rFonts w:ascii="Times New Roman" w:hAnsi="Times New Roman" w:cs="Times New Roman"/>
          </w:rPr>
          <w:t>https://www.spglobal.com/spdji/en/documents/education/education-sector-primer-series-materials.pdf</w:t>
        </w:r>
      </w:hyperlink>
    </w:p>
    <w:p w14:paraId="610AF06A" w14:textId="495FC2E1" w:rsidR="0001529C" w:rsidRPr="009A638E" w:rsidRDefault="0001529C">
      <w:pPr>
        <w:rPr>
          <w:rFonts w:ascii="Times New Roman" w:hAnsi="Times New Roman" w:cs="Times New Roman"/>
        </w:rPr>
      </w:pPr>
    </w:p>
    <w:p w14:paraId="79C415C4" w14:textId="4F8EEC6A" w:rsidR="0001529C" w:rsidRPr="009A638E" w:rsidRDefault="003F1F5F">
      <w:pPr>
        <w:rPr>
          <w:rFonts w:ascii="Times New Roman" w:hAnsi="Times New Roman" w:cs="Times New Roman"/>
        </w:rPr>
      </w:pPr>
      <w:hyperlink r:id="rId9" w:history="1">
        <w:r w:rsidR="0001529C" w:rsidRPr="009A638E">
          <w:rPr>
            <w:rStyle w:val="Hyperlink"/>
            <w:rFonts w:ascii="Times New Roman" w:hAnsi="Times New Roman" w:cs="Times New Roman"/>
          </w:rPr>
          <w:t>https://www.americanchemistry.com/chemistry-in-america/news-trends/press-release/2022/new-survey-finds-persistent-supply-chain-problems-deeply-impacted-chemical-manufacturers</w:t>
        </w:r>
      </w:hyperlink>
    </w:p>
    <w:p w14:paraId="6E25F297" w14:textId="391089E1" w:rsidR="0001529C" w:rsidRPr="009A638E" w:rsidRDefault="0001529C">
      <w:pPr>
        <w:rPr>
          <w:rFonts w:ascii="Times New Roman" w:hAnsi="Times New Roman" w:cs="Times New Roman"/>
        </w:rPr>
      </w:pPr>
    </w:p>
    <w:p w14:paraId="4A8661BE" w14:textId="588152B1" w:rsidR="0001529C" w:rsidRPr="009A638E" w:rsidRDefault="003F1F5F">
      <w:pPr>
        <w:rPr>
          <w:rFonts w:ascii="Times New Roman" w:hAnsi="Times New Roman" w:cs="Times New Roman"/>
        </w:rPr>
      </w:pPr>
      <w:hyperlink r:id="rId10" w:history="1">
        <w:r w:rsidR="0001529C" w:rsidRPr="009A638E">
          <w:rPr>
            <w:rStyle w:val="Hyperlink"/>
            <w:rFonts w:ascii="Times New Roman" w:hAnsi="Times New Roman" w:cs="Times New Roman"/>
          </w:rPr>
          <w:t>https://www.vci.de/ergaenzende-downloads/business-worldwide-business-situation-global-chemical-industry.pdf</w:t>
        </w:r>
      </w:hyperlink>
    </w:p>
    <w:p w14:paraId="136BBD15" w14:textId="744E45EF" w:rsidR="0001529C" w:rsidRPr="009A638E" w:rsidRDefault="0001529C">
      <w:pPr>
        <w:rPr>
          <w:rFonts w:ascii="Times New Roman" w:hAnsi="Times New Roman" w:cs="Times New Roman"/>
        </w:rPr>
      </w:pPr>
    </w:p>
    <w:p w14:paraId="79DDE8C4" w14:textId="419A74D0" w:rsidR="0001529C" w:rsidRPr="009A638E" w:rsidRDefault="003F1F5F">
      <w:pPr>
        <w:rPr>
          <w:rFonts w:ascii="Times New Roman" w:hAnsi="Times New Roman" w:cs="Times New Roman"/>
        </w:rPr>
      </w:pPr>
      <w:hyperlink r:id="rId11" w:history="1">
        <w:r w:rsidR="0001529C" w:rsidRPr="009A638E">
          <w:rPr>
            <w:rStyle w:val="Hyperlink"/>
            <w:rFonts w:ascii="Times New Roman" w:hAnsi="Times New Roman" w:cs="Times New Roman"/>
          </w:rPr>
          <w:t>https://www.powderbulksolids.com/chemical/chemical-industry-outlook-2022-5-early-hot-takes</w:t>
        </w:r>
      </w:hyperlink>
    </w:p>
    <w:p w14:paraId="076606A4" w14:textId="5D802B93" w:rsidR="0001529C" w:rsidRPr="009A638E" w:rsidRDefault="0001529C">
      <w:pPr>
        <w:rPr>
          <w:rFonts w:ascii="Times New Roman" w:hAnsi="Times New Roman" w:cs="Times New Roman"/>
        </w:rPr>
      </w:pPr>
    </w:p>
    <w:p w14:paraId="19148258" w14:textId="6BCC1504" w:rsidR="0001529C" w:rsidRPr="009A638E" w:rsidRDefault="003F1F5F">
      <w:pPr>
        <w:rPr>
          <w:rFonts w:ascii="Times New Roman" w:hAnsi="Times New Roman" w:cs="Times New Roman"/>
        </w:rPr>
      </w:pPr>
      <w:hyperlink r:id="rId12" w:history="1">
        <w:r w:rsidR="0001529C" w:rsidRPr="009A638E">
          <w:rPr>
            <w:rStyle w:val="Hyperlink"/>
            <w:rFonts w:ascii="Times New Roman" w:hAnsi="Times New Roman" w:cs="Times New Roman"/>
          </w:rPr>
          <w:t>https://www.americanchemistry.com/chemistry-in-america/news-trends/press-release/2021/mid-year-outlook-us-chemical-industry-rebounds-as-global-recovery-continues</w:t>
        </w:r>
      </w:hyperlink>
    </w:p>
    <w:p w14:paraId="76D787C8" w14:textId="0F4F2CDF" w:rsidR="0001529C" w:rsidRPr="009A638E" w:rsidRDefault="0001529C">
      <w:pPr>
        <w:rPr>
          <w:rFonts w:ascii="Times New Roman" w:hAnsi="Times New Roman" w:cs="Times New Roman"/>
        </w:rPr>
      </w:pPr>
    </w:p>
    <w:p w14:paraId="6B792892" w14:textId="51EF2881" w:rsidR="0001529C" w:rsidRPr="009A638E" w:rsidRDefault="003F1F5F">
      <w:pPr>
        <w:rPr>
          <w:rFonts w:ascii="Times New Roman" w:hAnsi="Times New Roman" w:cs="Times New Roman"/>
        </w:rPr>
      </w:pPr>
      <w:hyperlink r:id="rId13" w:history="1">
        <w:r w:rsidR="0001529C" w:rsidRPr="009A638E">
          <w:rPr>
            <w:rStyle w:val="Hyperlink"/>
            <w:rFonts w:ascii="Times New Roman" w:hAnsi="Times New Roman" w:cs="Times New Roman"/>
          </w:rPr>
          <w:t>https://www.fidelity.com/learning-center/trading-investing/2022-outlook-materials</w:t>
        </w:r>
      </w:hyperlink>
    </w:p>
    <w:p w14:paraId="3B95098B" w14:textId="5EF1C503" w:rsidR="0001529C" w:rsidRPr="009A638E" w:rsidRDefault="0001529C">
      <w:pPr>
        <w:rPr>
          <w:rFonts w:ascii="Times New Roman" w:hAnsi="Times New Roman" w:cs="Times New Roman"/>
        </w:rPr>
      </w:pPr>
    </w:p>
    <w:p w14:paraId="7C1FF05C" w14:textId="30506647" w:rsidR="0001529C" w:rsidRPr="009A638E" w:rsidRDefault="003F1F5F">
      <w:pPr>
        <w:rPr>
          <w:rFonts w:ascii="Times New Roman" w:hAnsi="Times New Roman" w:cs="Times New Roman"/>
        </w:rPr>
      </w:pPr>
      <w:hyperlink r:id="rId14" w:history="1">
        <w:r w:rsidR="0001529C" w:rsidRPr="009A638E">
          <w:rPr>
            <w:rStyle w:val="Hyperlink"/>
            <w:rFonts w:ascii="Times New Roman" w:hAnsi="Times New Roman" w:cs="Times New Roman"/>
          </w:rPr>
          <w:t>https://www.surfacesreporter.com/articles/133505/building-materials-industry-is-evolving-expected-to-grow-by-8-10-in-2022</w:t>
        </w:r>
      </w:hyperlink>
    </w:p>
    <w:p w14:paraId="7425E736" w14:textId="177076BB" w:rsidR="0001529C" w:rsidRPr="009A638E" w:rsidRDefault="0001529C">
      <w:pPr>
        <w:rPr>
          <w:rFonts w:ascii="Times New Roman" w:hAnsi="Times New Roman" w:cs="Times New Roman"/>
        </w:rPr>
      </w:pPr>
    </w:p>
    <w:p w14:paraId="50879B9B" w14:textId="2C4EC026" w:rsidR="0001529C" w:rsidRPr="009A638E" w:rsidRDefault="003F1F5F">
      <w:pPr>
        <w:rPr>
          <w:rFonts w:ascii="Times New Roman" w:hAnsi="Times New Roman" w:cs="Times New Roman"/>
        </w:rPr>
      </w:pPr>
      <w:hyperlink r:id="rId15" w:history="1">
        <w:r w:rsidR="0001529C" w:rsidRPr="009A638E">
          <w:rPr>
            <w:rStyle w:val="Hyperlink"/>
            <w:rFonts w:ascii="Times New Roman" w:hAnsi="Times New Roman" w:cs="Times New Roman"/>
          </w:rPr>
          <w:t>https://www.construction21.org/articles/h/sustainable-building-materials-to-look-for-in-2022.html</w:t>
        </w:r>
      </w:hyperlink>
    </w:p>
    <w:p w14:paraId="551749DD" w14:textId="642E425A" w:rsidR="0001529C" w:rsidRPr="009A638E" w:rsidRDefault="0001529C">
      <w:pPr>
        <w:rPr>
          <w:rFonts w:ascii="Times New Roman" w:hAnsi="Times New Roman" w:cs="Times New Roman"/>
        </w:rPr>
      </w:pPr>
    </w:p>
    <w:p w14:paraId="5DB45AA6" w14:textId="20007530" w:rsidR="0001529C" w:rsidRPr="009A638E" w:rsidRDefault="003F1F5F">
      <w:pPr>
        <w:rPr>
          <w:rFonts w:ascii="Times New Roman" w:hAnsi="Times New Roman" w:cs="Times New Roman"/>
        </w:rPr>
      </w:pPr>
      <w:hyperlink r:id="rId16" w:history="1">
        <w:r w:rsidR="0001529C" w:rsidRPr="009A638E">
          <w:rPr>
            <w:rStyle w:val="Hyperlink"/>
            <w:rFonts w:ascii="Times New Roman" w:hAnsi="Times New Roman" w:cs="Times New Roman"/>
          </w:rPr>
          <w:t>https://www.marketwatch.com/press-release/global-green-building-materials-market-2022-size-share-growth-analysis-by-top-countries-data-by-top-players-types-applications-forecast-till-2026-2022-01-18</w:t>
        </w:r>
      </w:hyperlink>
    </w:p>
    <w:p w14:paraId="3C7D4814" w14:textId="4C9C7533" w:rsidR="0001529C" w:rsidRPr="009A638E" w:rsidRDefault="0001529C">
      <w:pPr>
        <w:rPr>
          <w:rFonts w:ascii="Times New Roman" w:hAnsi="Times New Roman" w:cs="Times New Roman"/>
        </w:rPr>
      </w:pPr>
    </w:p>
    <w:p w14:paraId="2948F94D" w14:textId="74A69500" w:rsidR="0001529C" w:rsidRPr="009A638E" w:rsidRDefault="003F1F5F">
      <w:pPr>
        <w:rPr>
          <w:rFonts w:ascii="Times New Roman" w:hAnsi="Times New Roman" w:cs="Times New Roman"/>
        </w:rPr>
      </w:pPr>
      <w:hyperlink r:id="rId17" w:history="1">
        <w:r w:rsidR="0001529C" w:rsidRPr="009A638E">
          <w:rPr>
            <w:rStyle w:val="Hyperlink"/>
            <w:rFonts w:ascii="Times New Roman" w:hAnsi="Times New Roman" w:cs="Times New Roman"/>
          </w:rPr>
          <w:t>https://www2.deloitte.com/content/dam/Deloitte/us/Documents/energy-resources/us-2022-outlook-chemicals.pdf</w:t>
        </w:r>
      </w:hyperlink>
    </w:p>
    <w:p w14:paraId="39023B9B" w14:textId="35AF100B" w:rsidR="0001529C" w:rsidRPr="009A638E" w:rsidRDefault="0001529C">
      <w:pPr>
        <w:rPr>
          <w:rFonts w:ascii="Times New Roman" w:hAnsi="Times New Roman" w:cs="Times New Roman"/>
        </w:rPr>
      </w:pPr>
    </w:p>
    <w:p w14:paraId="08AA234E" w14:textId="77777777" w:rsidR="009A638E" w:rsidRPr="009A638E" w:rsidRDefault="003F1F5F" w:rsidP="009A638E">
      <w:pPr>
        <w:jc w:val="both"/>
        <w:rPr>
          <w:rFonts w:ascii="Times New Roman" w:eastAsia="Times New Roman" w:hAnsi="Times New Roman" w:cs="Times New Roman"/>
          <w:color w:val="000000"/>
        </w:rPr>
      </w:pPr>
      <w:hyperlink r:id="rId18" w:history="1">
        <w:r w:rsidR="009A638E" w:rsidRPr="009A638E">
          <w:rPr>
            <w:rStyle w:val="Hyperlink"/>
            <w:rFonts w:ascii="Times New Roman" w:eastAsia="Times New Roman" w:hAnsi="Times New Roman" w:cs="Times New Roman"/>
          </w:rPr>
          <w:t>https://www.bloomberg.com/</w:t>
        </w:r>
      </w:hyperlink>
    </w:p>
    <w:p w14:paraId="18075755" w14:textId="77777777" w:rsidR="0001529C" w:rsidRPr="009A638E" w:rsidRDefault="0001529C">
      <w:pPr>
        <w:rPr>
          <w:rFonts w:ascii="Times New Roman" w:hAnsi="Times New Roman" w:cs="Times New Roman"/>
        </w:rPr>
      </w:pPr>
    </w:p>
    <w:sectPr w:rsidR="0001529C" w:rsidRPr="009A638E" w:rsidSect="0025200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E76E1" w14:textId="77777777" w:rsidR="003F1F5F" w:rsidRDefault="003F1F5F" w:rsidP="00252000">
      <w:r>
        <w:separator/>
      </w:r>
    </w:p>
  </w:endnote>
  <w:endnote w:type="continuationSeparator" w:id="0">
    <w:p w14:paraId="4E4201A0" w14:textId="77777777" w:rsidR="003F1F5F" w:rsidRDefault="003F1F5F" w:rsidP="00252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5072187"/>
      <w:docPartObj>
        <w:docPartGallery w:val="Page Numbers (Bottom of Page)"/>
        <w:docPartUnique/>
      </w:docPartObj>
    </w:sdtPr>
    <w:sdtEndPr>
      <w:rPr>
        <w:rStyle w:val="PageNumber"/>
      </w:rPr>
    </w:sdtEndPr>
    <w:sdtContent>
      <w:p w14:paraId="1FEE50FF" w14:textId="433045E4" w:rsidR="00252000" w:rsidRDefault="00252000" w:rsidP="00891E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959126" w14:textId="77777777" w:rsidR="00252000" w:rsidRDefault="00252000" w:rsidP="00252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8639" w14:textId="54E19DC9" w:rsidR="00252000" w:rsidRPr="00252000" w:rsidRDefault="00252000" w:rsidP="00891EFF">
    <w:pPr>
      <w:pStyle w:val="Footer"/>
      <w:framePr w:wrap="none" w:vAnchor="text" w:hAnchor="margin" w:xAlign="right" w:y="1"/>
      <w:rPr>
        <w:rStyle w:val="PageNumber"/>
        <w:rFonts w:ascii="Times New Roman" w:hAnsi="Times New Roman" w:cs="Times New Roman"/>
        <w:sz w:val="20"/>
        <w:szCs w:val="20"/>
      </w:rPr>
    </w:pPr>
    <w:r w:rsidRPr="00252000">
      <w:rPr>
        <w:rStyle w:val="PageNumber"/>
        <w:rFonts w:ascii="Times New Roman" w:hAnsi="Times New Roman" w:cs="Times New Roman"/>
        <w:sz w:val="20"/>
        <w:szCs w:val="20"/>
      </w:rPr>
      <w:t xml:space="preserve">PHAN </w:t>
    </w:r>
    <w:sdt>
      <w:sdtPr>
        <w:rPr>
          <w:rStyle w:val="PageNumber"/>
          <w:rFonts w:ascii="Times New Roman" w:hAnsi="Times New Roman" w:cs="Times New Roman"/>
          <w:sz w:val="20"/>
          <w:szCs w:val="20"/>
        </w:rPr>
        <w:id w:val="150032962"/>
        <w:docPartObj>
          <w:docPartGallery w:val="Page Numbers (Bottom of Page)"/>
          <w:docPartUnique/>
        </w:docPartObj>
      </w:sdtPr>
      <w:sdtEndPr>
        <w:rPr>
          <w:rStyle w:val="PageNumber"/>
        </w:rPr>
      </w:sdtEndPr>
      <w:sdtContent>
        <w:r w:rsidRPr="00252000">
          <w:rPr>
            <w:rStyle w:val="PageNumber"/>
            <w:rFonts w:ascii="Times New Roman" w:hAnsi="Times New Roman" w:cs="Times New Roman"/>
            <w:sz w:val="20"/>
            <w:szCs w:val="20"/>
          </w:rPr>
          <w:fldChar w:fldCharType="begin"/>
        </w:r>
        <w:r w:rsidRPr="00252000">
          <w:rPr>
            <w:rStyle w:val="PageNumber"/>
            <w:rFonts w:ascii="Times New Roman" w:hAnsi="Times New Roman" w:cs="Times New Roman"/>
            <w:sz w:val="20"/>
            <w:szCs w:val="20"/>
          </w:rPr>
          <w:instrText xml:space="preserve"> PAGE </w:instrText>
        </w:r>
        <w:r w:rsidRPr="00252000">
          <w:rPr>
            <w:rStyle w:val="PageNumber"/>
            <w:rFonts w:ascii="Times New Roman" w:hAnsi="Times New Roman" w:cs="Times New Roman"/>
            <w:sz w:val="20"/>
            <w:szCs w:val="20"/>
          </w:rPr>
          <w:fldChar w:fldCharType="separate"/>
        </w:r>
        <w:r w:rsidRPr="00252000">
          <w:rPr>
            <w:rStyle w:val="PageNumber"/>
            <w:rFonts w:ascii="Times New Roman" w:hAnsi="Times New Roman" w:cs="Times New Roman"/>
            <w:noProof/>
            <w:sz w:val="20"/>
            <w:szCs w:val="20"/>
          </w:rPr>
          <w:t>1</w:t>
        </w:r>
        <w:r w:rsidRPr="00252000">
          <w:rPr>
            <w:rStyle w:val="PageNumber"/>
            <w:rFonts w:ascii="Times New Roman" w:hAnsi="Times New Roman" w:cs="Times New Roman"/>
            <w:sz w:val="20"/>
            <w:szCs w:val="20"/>
          </w:rPr>
          <w:fldChar w:fldCharType="end"/>
        </w:r>
      </w:sdtContent>
    </w:sdt>
  </w:p>
  <w:p w14:paraId="3671CFCC" w14:textId="77777777" w:rsidR="00252000" w:rsidRDefault="00252000" w:rsidP="0025200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AE72" w14:textId="77777777" w:rsidR="00252000" w:rsidRDefault="00252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AAE55" w14:textId="77777777" w:rsidR="003F1F5F" w:rsidRDefault="003F1F5F" w:rsidP="00252000">
      <w:r>
        <w:separator/>
      </w:r>
    </w:p>
  </w:footnote>
  <w:footnote w:type="continuationSeparator" w:id="0">
    <w:p w14:paraId="04C7031B" w14:textId="77777777" w:rsidR="003F1F5F" w:rsidRDefault="003F1F5F" w:rsidP="002520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C20E" w14:textId="77777777" w:rsidR="00252000" w:rsidRDefault="00252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E94FC" w14:textId="77777777" w:rsidR="00252000" w:rsidRDefault="00252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C388" w14:textId="77777777" w:rsidR="00252000" w:rsidRDefault="00252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B3B"/>
    <w:rsid w:val="0000008A"/>
    <w:rsid w:val="00000FE5"/>
    <w:rsid w:val="0001529C"/>
    <w:rsid w:val="0002372B"/>
    <w:rsid w:val="0002461E"/>
    <w:rsid w:val="000331CC"/>
    <w:rsid w:val="00081651"/>
    <w:rsid w:val="000928B0"/>
    <w:rsid w:val="00094596"/>
    <w:rsid w:val="000B3555"/>
    <w:rsid w:val="000C1019"/>
    <w:rsid w:val="000D2057"/>
    <w:rsid w:val="001063E2"/>
    <w:rsid w:val="00134DB7"/>
    <w:rsid w:val="001532B5"/>
    <w:rsid w:val="00163B6B"/>
    <w:rsid w:val="00192222"/>
    <w:rsid w:val="001A3A2A"/>
    <w:rsid w:val="001A53C7"/>
    <w:rsid w:val="001B7834"/>
    <w:rsid w:val="001D2E0A"/>
    <w:rsid w:val="00215814"/>
    <w:rsid w:val="0021762A"/>
    <w:rsid w:val="00247150"/>
    <w:rsid w:val="00252000"/>
    <w:rsid w:val="00256D30"/>
    <w:rsid w:val="002C1938"/>
    <w:rsid w:val="002D5479"/>
    <w:rsid w:val="002F71DA"/>
    <w:rsid w:val="003B140C"/>
    <w:rsid w:val="003C7F15"/>
    <w:rsid w:val="003F1F5F"/>
    <w:rsid w:val="003F5471"/>
    <w:rsid w:val="00402B0E"/>
    <w:rsid w:val="00403F32"/>
    <w:rsid w:val="004176D7"/>
    <w:rsid w:val="00423EB0"/>
    <w:rsid w:val="004342C6"/>
    <w:rsid w:val="0043519B"/>
    <w:rsid w:val="00444EF7"/>
    <w:rsid w:val="00453EC4"/>
    <w:rsid w:val="0046283A"/>
    <w:rsid w:val="00472200"/>
    <w:rsid w:val="00476A3B"/>
    <w:rsid w:val="0048140D"/>
    <w:rsid w:val="0050430F"/>
    <w:rsid w:val="00511673"/>
    <w:rsid w:val="00512E9D"/>
    <w:rsid w:val="005210D5"/>
    <w:rsid w:val="005858ED"/>
    <w:rsid w:val="0059340D"/>
    <w:rsid w:val="005A0B01"/>
    <w:rsid w:val="005A3CA8"/>
    <w:rsid w:val="005A4C55"/>
    <w:rsid w:val="005C0208"/>
    <w:rsid w:val="005C0AE1"/>
    <w:rsid w:val="005E3D93"/>
    <w:rsid w:val="005E772A"/>
    <w:rsid w:val="005F385E"/>
    <w:rsid w:val="005F4E97"/>
    <w:rsid w:val="00603A22"/>
    <w:rsid w:val="00626F85"/>
    <w:rsid w:val="00665547"/>
    <w:rsid w:val="00673C7B"/>
    <w:rsid w:val="00685EE0"/>
    <w:rsid w:val="006A6807"/>
    <w:rsid w:val="006C72D8"/>
    <w:rsid w:val="006C7DCD"/>
    <w:rsid w:val="006E3A99"/>
    <w:rsid w:val="006E5700"/>
    <w:rsid w:val="006F355F"/>
    <w:rsid w:val="006F54E3"/>
    <w:rsid w:val="0071218F"/>
    <w:rsid w:val="00717B93"/>
    <w:rsid w:val="007328F2"/>
    <w:rsid w:val="00751B2D"/>
    <w:rsid w:val="00767379"/>
    <w:rsid w:val="00772BD1"/>
    <w:rsid w:val="00795374"/>
    <w:rsid w:val="007B3792"/>
    <w:rsid w:val="007B3B1E"/>
    <w:rsid w:val="007B537D"/>
    <w:rsid w:val="007E4E96"/>
    <w:rsid w:val="008028A8"/>
    <w:rsid w:val="00803CD7"/>
    <w:rsid w:val="00877A61"/>
    <w:rsid w:val="0088006D"/>
    <w:rsid w:val="00892121"/>
    <w:rsid w:val="00893B38"/>
    <w:rsid w:val="008A29A0"/>
    <w:rsid w:val="008B1B3B"/>
    <w:rsid w:val="008B3BE4"/>
    <w:rsid w:val="008B7239"/>
    <w:rsid w:val="008B7AFB"/>
    <w:rsid w:val="008C7562"/>
    <w:rsid w:val="008D25EA"/>
    <w:rsid w:val="008F3A91"/>
    <w:rsid w:val="00906506"/>
    <w:rsid w:val="00944D1C"/>
    <w:rsid w:val="00950BD3"/>
    <w:rsid w:val="00956657"/>
    <w:rsid w:val="00956AF5"/>
    <w:rsid w:val="0097253B"/>
    <w:rsid w:val="0097293D"/>
    <w:rsid w:val="00980E21"/>
    <w:rsid w:val="009841D8"/>
    <w:rsid w:val="00992C1E"/>
    <w:rsid w:val="009979F6"/>
    <w:rsid w:val="009A638E"/>
    <w:rsid w:val="009E79A0"/>
    <w:rsid w:val="009F7DDA"/>
    <w:rsid w:val="009F7F9A"/>
    <w:rsid w:val="00A175FC"/>
    <w:rsid w:val="00A21A4B"/>
    <w:rsid w:val="00A32773"/>
    <w:rsid w:val="00A531F1"/>
    <w:rsid w:val="00A657FD"/>
    <w:rsid w:val="00AA0260"/>
    <w:rsid w:val="00AB7B6A"/>
    <w:rsid w:val="00AC24B0"/>
    <w:rsid w:val="00AC4508"/>
    <w:rsid w:val="00AF44F2"/>
    <w:rsid w:val="00B255F6"/>
    <w:rsid w:val="00B32B6E"/>
    <w:rsid w:val="00B40EA7"/>
    <w:rsid w:val="00B636B0"/>
    <w:rsid w:val="00B66278"/>
    <w:rsid w:val="00B72C35"/>
    <w:rsid w:val="00B86546"/>
    <w:rsid w:val="00B9627B"/>
    <w:rsid w:val="00B97536"/>
    <w:rsid w:val="00BB4B86"/>
    <w:rsid w:val="00BD2114"/>
    <w:rsid w:val="00BE0426"/>
    <w:rsid w:val="00C41C08"/>
    <w:rsid w:val="00C630BE"/>
    <w:rsid w:val="00C70F66"/>
    <w:rsid w:val="00CA5C60"/>
    <w:rsid w:val="00CD4074"/>
    <w:rsid w:val="00CE14BB"/>
    <w:rsid w:val="00CE437E"/>
    <w:rsid w:val="00CF5D52"/>
    <w:rsid w:val="00D13233"/>
    <w:rsid w:val="00D20E34"/>
    <w:rsid w:val="00D51BD9"/>
    <w:rsid w:val="00D605A5"/>
    <w:rsid w:val="00D73151"/>
    <w:rsid w:val="00D76FC1"/>
    <w:rsid w:val="00D84A53"/>
    <w:rsid w:val="00E325A4"/>
    <w:rsid w:val="00E352BD"/>
    <w:rsid w:val="00E5061B"/>
    <w:rsid w:val="00E61721"/>
    <w:rsid w:val="00E665FD"/>
    <w:rsid w:val="00E84FE8"/>
    <w:rsid w:val="00E92638"/>
    <w:rsid w:val="00EA014C"/>
    <w:rsid w:val="00EC4E02"/>
    <w:rsid w:val="00EC72D8"/>
    <w:rsid w:val="00EE5C8D"/>
    <w:rsid w:val="00F15F9F"/>
    <w:rsid w:val="00F46B45"/>
    <w:rsid w:val="00F811F9"/>
    <w:rsid w:val="00F852C6"/>
    <w:rsid w:val="00F871DD"/>
    <w:rsid w:val="00F91041"/>
    <w:rsid w:val="00F91737"/>
    <w:rsid w:val="00FC027A"/>
    <w:rsid w:val="00FD600C"/>
    <w:rsid w:val="00FF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D2A3"/>
  <w15:chartTrackingRefBased/>
  <w15:docId w15:val="{447AEFEE-DD4C-814F-826F-15984E90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62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21762A"/>
  </w:style>
  <w:style w:type="table" w:styleId="TableGrid">
    <w:name w:val="Table Grid"/>
    <w:basedOn w:val="TableNormal"/>
    <w:uiPriority w:val="39"/>
    <w:rsid w:val="00D605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2773"/>
    <w:rPr>
      <w:color w:val="0000FF"/>
      <w:u w:val="single"/>
    </w:rPr>
  </w:style>
  <w:style w:type="character" w:styleId="UnresolvedMention">
    <w:name w:val="Unresolved Mention"/>
    <w:basedOn w:val="DefaultParagraphFont"/>
    <w:uiPriority w:val="99"/>
    <w:semiHidden/>
    <w:unhideWhenUsed/>
    <w:rsid w:val="00A32773"/>
    <w:rPr>
      <w:color w:val="605E5C"/>
      <w:shd w:val="clear" w:color="auto" w:fill="E1DFDD"/>
    </w:rPr>
  </w:style>
  <w:style w:type="paragraph" w:styleId="Footer">
    <w:name w:val="footer"/>
    <w:basedOn w:val="Normal"/>
    <w:link w:val="FooterChar"/>
    <w:uiPriority w:val="99"/>
    <w:unhideWhenUsed/>
    <w:rsid w:val="00252000"/>
    <w:pPr>
      <w:tabs>
        <w:tab w:val="center" w:pos="4680"/>
        <w:tab w:val="right" w:pos="9360"/>
      </w:tabs>
    </w:pPr>
  </w:style>
  <w:style w:type="character" w:customStyle="1" w:styleId="FooterChar">
    <w:name w:val="Footer Char"/>
    <w:basedOn w:val="DefaultParagraphFont"/>
    <w:link w:val="Footer"/>
    <w:uiPriority w:val="99"/>
    <w:rsid w:val="00252000"/>
  </w:style>
  <w:style w:type="character" w:styleId="PageNumber">
    <w:name w:val="page number"/>
    <w:basedOn w:val="DefaultParagraphFont"/>
    <w:uiPriority w:val="99"/>
    <w:semiHidden/>
    <w:unhideWhenUsed/>
    <w:rsid w:val="00252000"/>
  </w:style>
  <w:style w:type="paragraph" w:styleId="Header">
    <w:name w:val="header"/>
    <w:basedOn w:val="Normal"/>
    <w:link w:val="HeaderChar"/>
    <w:uiPriority w:val="99"/>
    <w:unhideWhenUsed/>
    <w:rsid w:val="00252000"/>
    <w:pPr>
      <w:tabs>
        <w:tab w:val="center" w:pos="4680"/>
        <w:tab w:val="right" w:pos="9360"/>
      </w:tabs>
    </w:pPr>
  </w:style>
  <w:style w:type="character" w:customStyle="1" w:styleId="HeaderChar">
    <w:name w:val="Header Char"/>
    <w:basedOn w:val="DefaultParagraphFont"/>
    <w:link w:val="Header"/>
    <w:uiPriority w:val="99"/>
    <w:rsid w:val="00252000"/>
  </w:style>
  <w:style w:type="character" w:styleId="FollowedHyperlink">
    <w:name w:val="FollowedHyperlink"/>
    <w:basedOn w:val="DefaultParagraphFont"/>
    <w:uiPriority w:val="99"/>
    <w:semiHidden/>
    <w:unhideWhenUsed/>
    <w:rsid w:val="009A63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374987">
      <w:bodyDiv w:val="1"/>
      <w:marLeft w:val="0"/>
      <w:marRight w:val="0"/>
      <w:marTop w:val="0"/>
      <w:marBottom w:val="0"/>
      <w:divBdr>
        <w:top w:val="none" w:sz="0" w:space="0" w:color="auto"/>
        <w:left w:val="none" w:sz="0" w:space="0" w:color="auto"/>
        <w:bottom w:val="none" w:sz="0" w:space="0" w:color="auto"/>
        <w:right w:val="none" w:sz="0" w:space="0" w:color="auto"/>
      </w:divBdr>
    </w:div>
    <w:div w:id="702511164">
      <w:bodyDiv w:val="1"/>
      <w:marLeft w:val="0"/>
      <w:marRight w:val="0"/>
      <w:marTop w:val="0"/>
      <w:marBottom w:val="0"/>
      <w:divBdr>
        <w:top w:val="none" w:sz="0" w:space="0" w:color="auto"/>
        <w:left w:val="none" w:sz="0" w:space="0" w:color="auto"/>
        <w:bottom w:val="none" w:sz="0" w:space="0" w:color="auto"/>
        <w:right w:val="none" w:sz="0" w:space="0" w:color="auto"/>
      </w:divBdr>
    </w:div>
    <w:div w:id="771822817">
      <w:bodyDiv w:val="1"/>
      <w:marLeft w:val="0"/>
      <w:marRight w:val="0"/>
      <w:marTop w:val="0"/>
      <w:marBottom w:val="0"/>
      <w:divBdr>
        <w:top w:val="none" w:sz="0" w:space="0" w:color="auto"/>
        <w:left w:val="none" w:sz="0" w:space="0" w:color="auto"/>
        <w:bottom w:val="none" w:sz="0" w:space="0" w:color="auto"/>
        <w:right w:val="none" w:sz="0" w:space="0" w:color="auto"/>
      </w:divBdr>
    </w:div>
    <w:div w:id="1050959276">
      <w:bodyDiv w:val="1"/>
      <w:marLeft w:val="0"/>
      <w:marRight w:val="0"/>
      <w:marTop w:val="0"/>
      <w:marBottom w:val="0"/>
      <w:divBdr>
        <w:top w:val="none" w:sz="0" w:space="0" w:color="auto"/>
        <w:left w:val="none" w:sz="0" w:space="0" w:color="auto"/>
        <w:bottom w:val="none" w:sz="0" w:space="0" w:color="auto"/>
        <w:right w:val="none" w:sz="0" w:space="0" w:color="auto"/>
      </w:divBdr>
    </w:div>
    <w:div w:id="1080173861">
      <w:bodyDiv w:val="1"/>
      <w:marLeft w:val="0"/>
      <w:marRight w:val="0"/>
      <w:marTop w:val="0"/>
      <w:marBottom w:val="0"/>
      <w:divBdr>
        <w:top w:val="none" w:sz="0" w:space="0" w:color="auto"/>
        <w:left w:val="none" w:sz="0" w:space="0" w:color="auto"/>
        <w:bottom w:val="none" w:sz="0" w:space="0" w:color="auto"/>
        <w:right w:val="none" w:sz="0" w:space="0" w:color="auto"/>
      </w:divBdr>
    </w:div>
    <w:div w:id="1635259041">
      <w:bodyDiv w:val="1"/>
      <w:marLeft w:val="0"/>
      <w:marRight w:val="0"/>
      <w:marTop w:val="0"/>
      <w:marBottom w:val="0"/>
      <w:divBdr>
        <w:top w:val="none" w:sz="0" w:space="0" w:color="auto"/>
        <w:left w:val="none" w:sz="0" w:space="0" w:color="auto"/>
        <w:bottom w:val="none" w:sz="0" w:space="0" w:color="auto"/>
        <w:right w:val="none" w:sz="0" w:space="0" w:color="auto"/>
      </w:divBdr>
    </w:div>
    <w:div w:id="173115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global.com/spdji/en/documents/education/education-sector-primer-series-materials.pdf" TargetMode="External"/><Relationship Id="rId13" Type="http://schemas.openxmlformats.org/officeDocument/2006/relationships/hyperlink" Target="https://www.fidelity.com/learning-center/trading-investing/2022-outlook-materials" TargetMode="External"/><Relationship Id="rId18" Type="http://schemas.openxmlformats.org/officeDocument/2006/relationships/hyperlink" Target="https://www.bloomberg.com/"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prospectus-express.broadridge.com/summary.asp?clientid=amtd&amp;fundid=81369Y100" TargetMode="External"/><Relationship Id="rId12" Type="http://schemas.openxmlformats.org/officeDocument/2006/relationships/hyperlink" Target="https://www.americanchemistry.com/chemistry-in-america/news-trends/press-release/2021/mid-year-outlook-us-chemical-industry-rebounds-as-global-recovery-continues" TargetMode="External"/><Relationship Id="rId17" Type="http://schemas.openxmlformats.org/officeDocument/2006/relationships/hyperlink" Target="https://www2.deloitte.com/content/dam/Deloitte/us/Documents/energy-resources/us-2022-outlook-chemicals.pdf"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marketwatch.com/press-release/global-green-building-materials-market-2022-size-share-growth-analysis-by-top-countries-data-by-top-players-types-applications-forecast-till-2026-2022-01-18"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powderbulksolids.com/chemical/chemical-industry-outlook-2022-5-early-hot-takes" TargetMode="External"/><Relationship Id="rId24"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hyperlink" Target="https://www.construction21.org/articles/h/sustainable-building-materials-to-look-for-in-2022.html" TargetMode="External"/><Relationship Id="rId23" Type="http://schemas.openxmlformats.org/officeDocument/2006/relationships/header" Target="header3.xml"/><Relationship Id="rId10" Type="http://schemas.openxmlformats.org/officeDocument/2006/relationships/hyperlink" Target="https://www.vci.de/ergaenzende-downloads/business-worldwide-business-situation-global-chemical-industry.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americanchemistry.com/chemistry-in-america/news-trends/press-release/2022/new-survey-finds-persistent-supply-chain-problems-deeply-impacted-chemical-manufacturers" TargetMode="External"/><Relationship Id="rId14" Type="http://schemas.openxmlformats.org/officeDocument/2006/relationships/hyperlink" Target="https://www.surfacesreporter.com/articles/133505/building-materials-industry-is-evolving-expected-to-grow-by-8-10-in-2022"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Linh Phan</dc:creator>
  <cp:keywords/>
  <dc:description/>
  <cp:lastModifiedBy>Tu Linh Phan</cp:lastModifiedBy>
  <cp:revision>110</cp:revision>
  <dcterms:created xsi:type="dcterms:W3CDTF">2022-01-23T10:52:00Z</dcterms:created>
  <dcterms:modified xsi:type="dcterms:W3CDTF">2022-01-26T02:49:00Z</dcterms:modified>
</cp:coreProperties>
</file>