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DRAFT–Family</w:t>
      </w:r>
      <w:r>
        <w:t xml:space="preserve"> </w:t>
      </w:r>
      <w:r>
        <w:t xml:space="preserve">Circumstances</w:t>
      </w:r>
    </w:p>
    <w:p>
      <w:pPr>
        <w:pStyle w:val="Date"/>
      </w:pPr>
      <w:r>
        <w:t xml:space="preserve">December</w:t>
      </w:r>
      <w:r>
        <w:t xml:space="preserve"> </w:t>
      </w:r>
      <w:r>
        <w:t xml:space="preserve">22,</w:t>
      </w:r>
      <w:r>
        <w:t xml:space="preserve"> </w:t>
      </w:r>
      <w:r>
        <w:t xml:space="preserve">2022</w:t>
      </w:r>
    </w:p>
    <w:p>
      <w:pPr>
        <w:pStyle w:val="FirstParagraph"/>
      </w:pPr>
      <w:r>
        <w:rPr>
          <w:bCs/>
          <w:b/>
        </w:rPr>
        <w:t xml:space="preserve">Final Fall 2022 Version</w:t>
      </w:r>
    </w:p>
    <w:p>
      <w:pPr>
        <w:pStyle w:val="BodyText"/>
      </w:pPr>
      <w:r>
        <w:rPr>
          <w:bCs/>
          <w:b/>
        </w:rPr>
        <w:t xml:space="preserve">Note that the following tables only include data from fiscal years 2005 through 2008.</w:t>
      </w:r>
      <w:r>
        <w:t xml:space="preserve"> </w:t>
      </w:r>
    </w:p>
    <w:p>
      <w:pPr>
        <w:pStyle w:val="BodyText"/>
      </w:pPr>
      <w:r>
        <w:t xml:space="preserve">This is a draft document presenting preliminary analysis of the available data on (5H1.6) Family ties and responsibilities departures. A very small percentage of people being sentenced receive these departures (around 1.5% for the years analyzed here).</w:t>
      </w:r>
    </w:p>
    <w:p>
      <w:pPr>
        <w:pStyle w:val="BodyText"/>
      </w:pPr>
      <w:r>
        <w:t xml:space="preserve">Very few of these departures are granted for pornography or sexual crimes; a larger portion are granted for drug trafficking, immigration, and white collar crimes. Women receive these departures at a far higher rate than men across racial groups. Hispanic females in particular tend to receive these departures at a higher rate than other groups for most crime types.</w:t>
      </w:r>
    </w:p>
    <w:p>
      <w:pPr>
        <w:pStyle w:val="BodyText"/>
      </w:pPr>
      <w:r>
        <w:t xml:space="preserve">Incorporating family ties departures into the Commission’s refined model shows that a small part of the gender disparity between men and women is attributable to family ties departures. Adding that variable into the model, the coefficient on female demographic groups shrinks slightly (as part of the effect being attributed to gender is shifted to family circumstances).</w:t>
      </w:r>
    </w:p>
    <w:p>
      <w:pPr>
        <w:pStyle w:val="BodyText"/>
      </w:pPr>
      <w:r>
        <w:t xml:space="preserve">Future work in this area should 1) extrapolate this work to the rest of the available years of data and 2) review existing literature on family ties departures before going further.</w:t>
      </w:r>
    </w:p>
    <w:p>
      <w:pPr>
        <w:pStyle w:val="BodyText"/>
      </w:pPr>
      <w:r>
        <w:t xml:space="preserve">Note that we have also contacted the sentencing commission to inquire whether they collect data on family ties variances through 3553(a)(1).</w:t>
      </w:r>
    </w:p>
    <w:bookmarkStart w:id="26" w:name="Xc1003ea3b6792c6b90692815f615bebba4817a3"/>
    <w:p>
      <w:pPr>
        <w:pStyle w:val="Heading3"/>
      </w:pPr>
      <w:r>
        <w:t xml:space="preserve">Who receives family ties departures, and for what type of crimes?</w:t>
      </w:r>
    </w:p>
    <w:p>
      <w:pPr>
        <w:pStyle w:val="FirstParagraph"/>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Total Number of Family Ties Departures, by Crime Type and Demographic Group, FY05-FY08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tblGrid>
      <w:tr>
        <w:trPr>
          <w:cantSplit/>
          <w:trHeight w:val="360" w:hRule="auto"/>
          <w:tblHeader/>
        </w:trPr>
        header1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 Traff.</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Types</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Violent</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Collar</w:t>
            </w:r>
          </w:p>
        </w:tc>
      </w:tr>
      <w:tr>
        <w:trPr>
          <w:cantSplit/>
          <w:trHeight w:val="360" w:hRule="auto"/>
        </w:trPr>
        body1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Female</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190</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117</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71</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76</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209</w:t>
            </w:r>
          </w:p>
        </w:tc>
      </w:tr>
      <w:tr>
        <w:trPr>
          <w:cantSplit/>
          <w:trHeight w:val="360" w:hRule="auto"/>
        </w:trPr>
        body8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Male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290</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46</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90</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101</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414</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Portion of Family Ties Departures, by Crime Type and Demographic Group, FY05-FY08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tblGrid>
      <w:tr>
        <w:trPr>
          <w:cantSplit/>
          <w:trHeight w:val="360" w:hRule="auto"/>
          <w:tblHeader/>
        </w:trPr>
        header1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 Traff.</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Types</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Violent</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Collar</w:t>
            </w:r>
          </w:p>
        </w:tc>
      </w:tr>
      <w:tr>
        <w:trPr>
          <w:cantSplit/>
          <w:trHeight w:val="360" w:hRule="auto"/>
        </w:trPr>
        body1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Female</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0.029</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0.039</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0.014</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0.032</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0.035</w:t>
            </w:r>
          </w:p>
        </w:tc>
      </w:tr>
      <w:tr>
        <w:trPr>
          <w:cantSplit/>
          <w:trHeight w:val="360" w:hRule="auto"/>
        </w:trPr>
        body8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Male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0.014</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0.019</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0.023</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0.011</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0.015</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0.025</w:t>
            </w:r>
          </w:p>
        </w:tc>
      </w:tr>
    </w:tbl>
    <w:p>
      <w:pPr>
        <w:pStyle w:val="BodyText"/>
      </w:pPr>
      <w:r>
        <w:t xml:space="preserve"> </w:t>
      </w:r>
    </w:p>
    <w:p>
      <w:pPr>
        <w:pStyle w:val="BodyText"/>
      </w:pPr>
      <w:r>
        <w:drawing>
          <wp:inline>
            <wp:extent cx="5943600" cy="3396342"/>
            <wp:effectExtent b="0" l="0" r="0" t="0"/>
            <wp:docPr descr="" title="" id="21" name="Picture"/>
            <a:graphic>
              <a:graphicData uri="http://schemas.openxmlformats.org/drawingml/2006/picture">
                <pic:pic>
                  <pic:nvPicPr>
                    <pic:cNvPr descr="Familly-Ties-Departures_files/figure-docx/unnamed-chunk-3-1.png" id="22" name="Picture"/>
                    <pic:cNvPicPr>
                      <a:picLocks noChangeArrowheads="1" noChangeAspect="1"/>
                    </pic:cNvPicPr>
                  </pic:nvPicPr>
                  <pic:blipFill>
                    <a:blip r:embed="rId20"/>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p>
    <w:p>
      <w:pPr>
        <w:pStyle w:val="BodyText"/>
      </w:pPr>
      <w:r>
        <w:drawing>
          <wp:inline>
            <wp:extent cx="5943600" cy="3396342"/>
            <wp:effectExtent b="0" l="0" r="0" t="0"/>
            <wp:docPr descr="" title="" id="24" name="Picture"/>
            <a:graphic>
              <a:graphicData uri="http://schemas.openxmlformats.org/drawingml/2006/picture">
                <pic:pic>
                  <pic:nvPicPr>
                    <pic:cNvPr descr="Familly-Ties-Departures_files/figure-docx/unnamed-chunk-4-1.png" id="25" name="Picture"/>
                    <pic:cNvPicPr>
                      <a:picLocks noChangeArrowheads="1" noChangeAspect="1"/>
                    </pic:cNvPicPr>
                  </pic:nvPicPr>
                  <pic:blipFill>
                    <a:blip r:embed="rId23"/>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r>
        <w:t xml:space="preserve"> </w:t>
      </w:r>
    </w:p>
    <w:bookmarkEnd w:id="26"/>
    <w:bookmarkStart w:id="27" w:name="X845d2e12022089ad8751eee6ee17909df49433e"/>
    <w:p>
      <w:pPr>
        <w:pStyle w:val="Heading3"/>
      </w:pPr>
      <w:r>
        <w:t xml:space="preserve">How long are the sentences of people who receive family ties departures compared to those who don’t, roughly controlling for 1) demographic and 2) trumped guideline minimum?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gridCol w:w="1008"/>
        <w:gridCol w:w="1008"/>
      </w:tblGrid>
      <w:tr>
        <w:trPr>
          <w:cantSplit/>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Gdln Min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Fam Ties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Black Female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White Male</w:t>
            </w:r>
          </w:p>
        </w:tc>
      </w:tr>
      <w:tr>
        <w:trPr>
          <w:cantSplit/>
          <w:trHeight w:val="360" w:hRule="auto"/>
        </w:trPr>
        body 1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16.86</w:t>
            </w:r>
          </w:p>
        </w:tc>
      </w:tr>
      <w:tr>
        <w:trPr>
          <w:cantSplit/>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10.60</w:t>
            </w:r>
          </w:p>
        </w:tc>
      </w:tr>
      <w:tr>
        <w:trPr>
          <w:cantSplit/>
          <w:trHeight w:val="360" w:hRule="auto"/>
        </w:trPr>
        body 3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65.17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53.08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50.24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49.95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59.47</w:t>
            </w:r>
          </w:p>
        </w:tc>
      </w:tr>
      <w:tr>
        <w:trPr>
          <w:cantSplit/>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37.86</w:t>
            </w:r>
          </w:p>
        </w:tc>
      </w:tr>
      <w:tr>
        <w:trPr>
          <w:cantSplit/>
          <w:trHeight w:val="360" w:hRule="auto"/>
        </w:trPr>
        body 5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(94,141]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90.80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105.70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90.06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103.63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90.40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85.95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99.81</w:t>
            </w:r>
          </w:p>
        </w:tc>
      </w:tr>
      <w:tr>
        <w:trPr>
          <w:cantSplit/>
          <w:trHeight w:val="36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68.75</w:t>
            </w:r>
          </w:p>
        </w:tc>
      </w:tr>
      <w:tr>
        <w:trPr>
          <w:cantSplit/>
          <w:trHeight w:val="360" w:hRule="auto"/>
        </w:trPr>
        body 7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(141,188]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125.20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150.90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121.95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142.13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146.24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124.61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148.53</w:t>
            </w:r>
          </w:p>
        </w:tc>
      </w:tr>
      <w:tr>
        <w:trPr>
          <w:cantSplit/>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93.15</w:t>
            </w:r>
          </w:p>
        </w:tc>
      </w:tr>
      <w:tr>
        <w:trPr>
          <w:cantSplit/>
          <w:trHeight w:val="360" w:hRule="auto"/>
        </w:trPr>
        body 9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(188,235]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154.05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161.87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179.33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172.38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191.47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148.26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182.30</w:t>
            </w:r>
          </w:p>
        </w:tc>
      </w:tr>
      <w:tr>
        <w:trPr>
          <w:cantSplit/>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128.57</w:t>
            </w:r>
          </w:p>
        </w:tc>
      </w:tr>
      <w:tr>
        <w:trPr>
          <w:cantSplit/>
          <w:trHeight w:val="360" w:hRule="auto"/>
        </w:trPr>
        body11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(235,282]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171.39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203.85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146.89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191.23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187.12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209.18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155.38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205.37</w:t>
            </w:r>
          </w:p>
        </w:tc>
      </w:tr>
      <w:tr>
        <w:trPr>
          <w:cantSplit/>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87.56</w:t>
            </w:r>
          </w:p>
        </w:tc>
      </w:tr>
      <w:tr>
        <w:trPr>
          <w:cantSplit/>
          <w:trHeight w:val="360" w:hRule="auto"/>
        </w:trPr>
        body13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(282,329]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204.29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244.71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175.46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236.64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259.11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189.71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250.83</w:t>
            </w:r>
          </w:p>
        </w:tc>
      </w:tr>
      <w:tr>
        <w:trPr>
          <w:cantSplit/>
          <w:trHeight w:val="36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182.67</w:t>
            </w:r>
          </w:p>
        </w:tc>
      </w:tr>
      <w:tr>
        <w:trPr>
          <w:cantSplit/>
          <w:trHeight w:val="360" w:hRule="auto"/>
        </w:trPr>
        body15
        <w:tc>
          <w:tcPr>
            <w:vMerge w:val="restart"/>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(329,376]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263.04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305.49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231.98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296.33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335.41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209.15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311.75</w:t>
            </w:r>
          </w:p>
        </w:tc>
      </w:tr>
      <w:tr>
        <w:trPr>
          <w:cantSplit/>
          <w:trHeight w:val="360"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240.00</w:t>
            </w:r>
          </w:p>
        </w:tc>
      </w:tr>
      <w:tr>
        <w:trPr>
          <w:cantSplit/>
          <w:trHeight w:val="360" w:hRule="auto"/>
        </w:trPr>
        body17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(376,423]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331.69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334.28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298.43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227.50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356.41</w:t>
            </w:r>
          </w:p>
        </w:tc>
      </w:tr>
      <w:tr>
        <w:trPr>
          <w:cantSplit/>
          <w:trHeight w:val="360" w:hRule="auto"/>
        </w:trPr>
        body18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(423,470]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334.39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392.65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330.12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469.19</w:t>
            </w:r>
          </w:p>
        </w:tc>
      </w:tr>
      <w:tr>
        <w:trPr>
          <w:cantSplit/>
          <w:trHeight w:val="360" w:hRule="auto"/>
        </w:trPr>
        body19
        <w:tc>
          <w:tcPr>
            <w:vMerge/>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327.50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234.00</w:t>
            </w:r>
          </w:p>
        </w:tc>
      </w:tr>
    </w:tbl>
    <w:p>
      <w:pPr>
        <w:pStyle w:val="FirstParagraph"/>
      </w:pPr>
      <w:r>
        <w:t xml:space="preserve"> </w:t>
      </w:r>
    </w:p>
    <w:bookmarkEnd w:id="27"/>
    <w:bookmarkStart w:id="28" w:name="X8812866f2821b57b5fed1ad7077ddbdfbd913fc"/>
    <w:p>
      <w:pPr>
        <w:pStyle w:val="Heading3"/>
      </w:pPr>
      <w:r>
        <w:t xml:space="preserve">How does adding family ties as an indicator to our model affect the coefficients on gender? How much of the effect of gender could be attributable to family ties?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tblGrid>
      <w:tr>
        <w:trPr>
          <w:cantSplit/>
          <w:trHeight w:val="360" w:hRule="auto"/>
          <w:tblHeader/>
        </w:trPr>
        header 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Original Model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With Family Ties</w:t>
            </w:r>
          </w:p>
        </w:tc>
      </w:tr>
      <w:tr>
        <w:trPr>
          <w:cantSplit/>
          <w:trHeight w:val="360" w:hRule="auto"/>
        </w:trPr>
        body 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(Intercept)</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66.75</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67.22</w:t>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logmin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0.69</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drugtraff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22.03</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14.09</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55.68</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16.03</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-37.33</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whitecoll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-28.97</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upward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166.34</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downdep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-59.73</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subasst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-66.00</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mandmin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23.47</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NEWCNVTN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37.06</w:t>
            </w:r>
          </w:p>
        </w:tc>
      </w:tr>
      <w:tr>
        <w:trPr>
          <w:cantSplit/>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custody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116.03</w:t>
            </w:r>
          </w:p>
        </w:tc>
      </w:tr>
      <w:tr>
        <w:trPr>
          <w:cantSplit/>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-26.03</w:t>
            </w:r>
          </w:p>
        </w:tc>
      </w:tr>
      <w:tr>
        <w:trPr>
          <w:cantSplit/>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17.92</w:t>
            </w:r>
          </w:p>
        </w:tc>
      </w:tr>
      <w:tr>
        <w:trPr>
          <w:cantSplit/>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-21.56</w:t>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-23.83</w:t>
            </w:r>
          </w:p>
        </w:tc>
      </w:tr>
      <w:tr>
        <w:trPr>
          <w:cantSplit/>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4.45</w:t>
            </w:r>
          </w:p>
        </w:tc>
      </w:tr>
      <w:tr>
        <w:trPr>
          <w:cantSplit/>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-20.24</w:t>
            </w:r>
          </w:p>
        </w:tc>
      </w:tr>
      <w:tr>
        <w:trPr>
          <w:cantSplit/>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agedummy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4.38</w:t>
            </w:r>
          </w:p>
        </w:tc>
      </w:tr>
      <w:tr>
        <w:trPr>
          <w:cantSplit/>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educ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-5.41</w:t>
            </w:r>
          </w:p>
        </w:tc>
      </w:tr>
      <w:tr>
        <w:trPr>
          <w:cantSplit/>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citizen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-7.10</w:t>
            </w:r>
          </w:p>
        </w:tc>
      </w:tr>
      <w:tr>
        <w:trPr>
          <w:cantSplit/>
          <w:trHeight w:val="360" w:hRule="auto"/>
        </w:trPr>
        body25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familyties</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-25.83</w:t>
            </w:r>
          </w:p>
        </w:tc>
      </w:tr>
    </w:tbl>
    <w:bookmarkEnd w:id="28"/>
    <w:sectPr w:rsidR="000F698E">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1774"/>
      <w:docPartObj>
        <w:docPartGallery w:val="Page Numbers (Bottom of Page)"/>
        <w:docPartUnique/>
      </w:docPartObj>
    </w:sdtPr>
    <w:sdtContent>
      <w:p w14:paraId="595C4316" w14:textId="1983E826" w:rsidR="00451F43" w:rsidRDefault="00451F43"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3B4895" w14:textId="77777777" w:rsidR="00451F43" w:rsidRDefault="00451F43"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2419"/>
      <w:docPartObj>
        <w:docPartGallery w:val="Page Numbers (Bottom of Page)"/>
        <w:docPartUnique/>
      </w:docPartObj>
    </w:sdtPr>
    <w:sdtContent>
      <w:p w14:paraId="6BE2F404" w14:textId="36C8FD1D" w:rsidR="00451F43" w:rsidRDefault="00451F43"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1EA66A" w14:textId="77777777" w:rsidR="00451F43" w:rsidRDefault="00451F43" w:rsidP="00451F43">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25D0ECB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1134802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unhideWhenUsed/>
    <w:rsid w:val="00451F43"/>
    <w:pPr>
      <w:tabs>
        <w:tab w:pos="4680" w:val="center"/>
        <w:tab w:pos="9360" w:val="right"/>
      </w:tabs>
      <w:spacing w:after="0"/>
    </w:pPr>
  </w:style>
  <w:style w:customStyle="1" w:styleId="FooterChar" w:type="character">
    <w:name w:val="Footer Char"/>
    <w:basedOn w:val="DefaultParagraphFont"/>
    <w:link w:val="Footer"/>
    <w:rsid w:val="00451F43"/>
  </w:style>
  <w:style w:styleId="PageNumber" w:type="charact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DRAFT–Family Circumstances</dc:title>
  <dc:creator/>
  <cp:keywords/>
  <dcterms:created xsi:type="dcterms:W3CDTF">2022-12-23T04:22:00Z</dcterms:created>
  <dcterms:modified xsi:type="dcterms:W3CDTF">2022-12-23T04:22:00Z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22, 2022</vt:lpwstr>
  </property>
  <property fmtid="{D5CDD505-2E9C-101B-9397-08002B2CF9AE}" pid="3" name="output">
    <vt:lpwstr/>
  </property>
</Properties>
</file>