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仿宋_GB2312" w:cs="仿宋_GB2312"/>
        </w:rPr>
        <w:t>关于商请协助开展调研的函</w:t>
      </w:r>
    </w:p>
    <w:p>
      <w:r>
        <w:rPr>
          <w:rFonts w:ascii="Times New Roman" w:hAnsi="Times New Roman" w:eastAsia="仿宋_GB2312" w:cs="仿宋_GB2312"/>
        </w:rPr>
        <w:t>各县（市、区）人民政府：</w:t>
      </w:r>
    </w:p>
    <w:p>
      <w:r>
        <w:rPr>
          <w:rFonts w:ascii="Times New Roman" w:hAnsi="Times New Roman" w:eastAsia="仿宋_GB2312" w:cs="仿宋_GB2312"/>
        </w:rPr>
        <w:t>现将有关事项通知如下，请结合实际认真贯彻执行。</w:t>
      </w:r>
    </w:p>
    <w:p>
      <w:r>
        <w:rPr>
          <w:rFonts w:ascii="Times New Roman" w:hAnsi="Times New Roman" w:eastAsia="仿宋_GB2312" w:cs="仿宋_GB2312"/>
        </w:rPr>
        <w:t>重点工作包括：一是加强组织领导；二是细化任务分工；三是强化督导落实。</w:t>
      </w:r>
    </w:p>
    <w:p>
      <w:r>
        <w:rPr>
          <w:rFonts w:ascii="Times New Roman" w:hAnsi="Times New Roman" w:eastAsia="仿宋_GB2312" w:cs="仿宋_GB2312"/>
        </w:rPr>
        <w:t>示例单位</w:t>
      </w:r>
    </w:p>
    <w:p>
      <w:r>
        <w:rPr>
          <w:rFonts w:ascii="Times New Roman" w:hAnsi="Times New Roman" w:eastAsia="仿宋_GB2312" w:cs="仿宋_GB2312"/>
        </w:rPr>
        <w:t>2026年9月11日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14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eastAsia="仿宋_GB2312" w:cs="仿宋_GB231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关于商请协助开展调研的函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