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2.1.2 -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03</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03</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giới hạn và giao diện vận hành cho phần mềm KBOT 2.1.2</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QUY TẮC ĐIỀU CHỈNH: Giá trị H càng lớn thì robot hạ đầu hút xuống càng sâu; giá trị H càng nhỏ thì robot hạ ít hơn. Chỉ cài đặt trong giới hạn từ −10 đến 40 mm. Phần mềm từ chối giá trị nằm ngoài dải này.</w:t>
      </w:r>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p>
      <w:pPr>
        <w:spacing w:after="20"/>
      </w:pPr>
    </w:p>
    <w:p>
      <w:pPr>
        <w:spacing w:after="160"/>
      </w:pPr>
      <w:r>
        <w:rPr>
          <w:b/>
          <w:color w:val="B07A00"/>
        </w:rPr>
        <w:t xml:space="preserve">GIỚI HẠN STEP MODE V2.1.2: </w:t>
      </w:r>
      <w:r>
        <w:t>Bước dịch chuyển tuyến tính được giới hạn từ 0 đến 20 mm; bước xoay được giới hạn từ 0 đến 2°. Giá trị vượt giới hạn sẽ tự được đưa về giới hạn gần nhất.</w:t>
      </w:r>
    </w:p>
    <w:p>
      <w:pPr>
        <w:pStyle w:val="Heading2"/>
      </w:pPr>
      <w:r>
        <w:t>6.3 Các nút điều khiển và trạng thái Robot</w:t>
      </w:r>
    </w:p>
    <w:p>
      <w:pPr>
        <w:spacing w:after="100"/>
      </w:pPr>
      <w:r>
        <w:rPr>
          <w:b/>
          <w:color w:val="164A8A"/>
        </w:rPr>
        <w:t xml:space="preserve">TRÌNH TỰ TRẠNG THÁI: </w:t>
      </w:r>
      <w:r>
        <w:t>Powered on → Controller initialized → Disable → Standby.</w:t>
      </w:r>
    </w:p>
    <w:p>
      <w:pPr>
        <w:pStyle w:val="ListBullet"/>
        <w:spacing w:after="60"/>
        <w:ind w:left="648" w:hanging="288"/>
      </w:pPr>
      <w:r>
        <w:rPr>
          <w:b/>
        </w:rPr>
        <w:t xml:space="preserve">Powered on: </w:t>
      </w:r>
      <w:r>
        <w:t>Nguồn điều khiển robot đã được cấp.</w:t>
      </w:r>
    </w:p>
    <w:p>
      <w:pPr>
        <w:pStyle w:val="ListBullet"/>
        <w:spacing w:after="60"/>
        <w:ind w:left="648" w:hanging="288"/>
      </w:pPr>
      <w:r>
        <w:rPr>
          <w:b/>
        </w:rPr>
        <w:t xml:space="preserve">Controller initialized: </w:t>
      </w:r>
      <w:r>
        <w:t>Bộ điều khiển đã khởi tạo và sẵn sàng quản lý robot.</w:t>
      </w:r>
    </w:p>
    <w:p>
      <w:pPr>
        <w:pStyle w:val="ListBullet"/>
        <w:spacing w:after="60"/>
        <w:ind w:left="648" w:hanging="288"/>
      </w:pPr>
      <w:r>
        <w:rPr>
          <w:b/>
        </w:rPr>
        <w:t xml:space="preserve">Disable: </w:t>
      </w:r>
      <w:r>
        <w:t>Servo đang tắt; robot chưa được phép chuyển động theo lệnh.</w:t>
      </w:r>
    </w:p>
    <w:p>
      <w:pPr>
        <w:pStyle w:val="ListBullet"/>
        <w:spacing w:after="60"/>
        <w:ind w:left="648" w:hanging="288"/>
      </w:pPr>
      <w:r>
        <w:rPr>
          <w:b/>
        </w:rPr>
        <w:t xml:space="preserve">Standby: </w:t>
      </w:r>
      <w:r>
        <w:t>Servo đã Enable; robot sẵn sàng nhận lệnh chuyển động khi các điều kiện an toàn hợp lệ.</w:t>
      </w:r>
    </w:p>
    <w:p>
      <w:pPr>
        <w:spacing w:after="100"/>
      </w:pPr>
      <w:r>
        <w:rPr>
          <w:b/>
          <w:color w:val="17324D"/>
        </w:rPr>
        <w:t xml:space="preserve">POWER ON / INITIALIZE / ENABLE / DISABLE: </w:t>
      </w:r>
      <w:r>
        <w:t>Nút bên trái tự đổi tên theo trạng thái. Nhấn lần lượt POWER ON để cấp nguồn, INITIALIZE để khởi tạo Controller, ENABLE để bật Servo. Khi robot đã Standby, nút đổi thành DISABLE để tắt Servo có kiểm soát.</w:t>
      </w:r>
    </w:p>
    <w:p>
      <w:pPr>
        <w:spacing w:after="100"/>
      </w:pPr>
      <w:r>
        <w:rPr>
          <w:b/>
          <w:color w:val="17324D"/>
        </w:rPr>
        <w:t xml:space="preserve">POWER OFF: </w:t>
      </w:r>
      <w:r>
        <w:t>Thực hiện quy trình tắt robot an toàn: tắt Servo, đóng Controller và ngắt nguồn điều khiển 48 V. Chỉ nhấn khi robot đã dừng và không mang sản phẩm nguy hiểm.</w:t>
      </w:r>
    </w:p>
    <w:p>
      <w:pPr>
        <w:spacing w:after="100"/>
      </w:pPr>
      <w:r>
        <w:rPr>
          <w:b/>
          <w:color w:val="17324D"/>
        </w:rPr>
        <w:t xml:space="preserve">Reset Robot: </w:t>
      </w:r>
      <w:r>
        <w:t>Tắt các ngõ ra điều khiển và gửi lệnh xóa lỗi robot. Chỉ Reset sau khi đã xác định và xử lý nguyên nhân lỗi/Emergency.</w:t>
      </w:r>
    </w:p>
    <w:p>
      <w:pPr>
        <w:spacing w:after="100"/>
      </w:pPr>
      <w:r>
        <w:rPr>
          <w:b/>
          <w:color w:val="17324D"/>
        </w:rPr>
        <w:t xml:space="preserve">Status Robot: </w:t>
      </w:r>
      <w:r>
        <w:t>Đọc trạng thái chi tiết của robot và ghi kết quả vào Machine Log để kiểm tra nguồn, Servo, chuyển động và lỗi.</w:t>
      </w:r>
    </w:p>
    <w:p>
      <w:pPr>
        <w:spacing w:after="160"/>
      </w:pPr>
      <w:r>
        <w:rPr>
          <w:b/>
          <w:color w:val="A61B1B"/>
        </w:rPr>
        <w:t xml:space="preserve">CẢNH BÁO: </w:t>
      </w:r>
      <w:r>
        <w:t>Không ENABLE robot khi có người hoặc vật lạ trong vùng chuyển động. Không dùng Reset Robot để bỏ qua lỗi chưa rõ nguyên nhân. Luôn kiểm tra Machine Log sau mỗi thao tác không thành công.</w:t>
      </w: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spacing w:after="160"/>
      </w:pPr>
      <w:r>
        <w:rPr>
          <w:b/>
          <w:color w:val="B07A00"/>
        </w:rPr>
        <w:t xml:space="preserve">PHÂN QUYỀN V2.1.2: </w:t>
      </w:r>
      <w:r>
        <w:t>Settings mở mặc định tại SETTING ROBOT SENSOR. Hai trang ROBOT POSITION MANAGEMENT và SETTING ROBOT TRAJECTORY yêu cầu mật khẩu kỹ thuật; người vận hành không tự ý truy cập hoặc thay đổi.</w:t>
      </w: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7.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8.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2"/>
      </w:pPr>
      <w:r>
        <w:t>7.7 Hiệu chỉnh lệch hút bằng Offset</w:t>
      </w:r>
    </w:p>
    <w:p>
      <w:r>
        <w:t>Khi đầu hút tiếp cận lệch tâm sản phẩm, có thể dùng Delta X và Delta Y để hiệu chỉnh riêng cho từng Basket, từng Tool và từng vùng tọa độ X của sản phẩm.</w:t>
      </w:r>
    </w:p>
    <w:p>
      <w:pPr>
        <w:spacing w:after="60"/>
        <w:jc w:val="center"/>
      </w:pPr>
      <w:r>
        <w:drawing>
          <wp:inline xmlns:a="http://schemas.openxmlformats.org/drawingml/2006/main" xmlns:pic="http://schemas.openxmlformats.org/drawingml/2006/picture">
            <wp:extent cx="5760720" cy="1158653"/>
            <wp:docPr id="10" name="Picture 10"/>
            <wp:cNvGraphicFramePr>
              <a:graphicFrameLocks noChangeAspect="1"/>
            </wp:cNvGraphicFramePr>
            <a:graphic>
              <a:graphicData uri="http://schemas.openxmlformats.org/drawingml/2006/picture">
                <pic:pic>
                  <pic:nvPicPr>
                    <pic:cNvPr id="0" name="codex-clipboard-90331323-276e-441e-bd2a-9e10c23a9097.png"/>
                    <pic:cNvPicPr/>
                  </pic:nvPicPr>
                  <pic:blipFill>
                    <a:blip r:embed="rId20"/>
                    <a:stretch>
                      <a:fillRect/>
                    </a:stretch>
                  </pic:blipFill>
                  <pic:spPr>
                    <a:xfrm>
                      <a:off x="0" y="0"/>
                      <a:ext cx="5760720" cy="1158653"/>
                    </a:xfrm>
                    <a:prstGeom prst="rect"/>
                  </pic:spPr>
                </pic:pic>
              </a:graphicData>
            </a:graphic>
          </wp:inline>
        </w:drawing>
      </w:r>
    </w:p>
    <w:p>
      <w:pPr>
        <w:spacing w:after="140"/>
        <w:jc w:val="center"/>
      </w:pPr>
      <w:r>
        <w:rPr>
          <w:i/>
          <w:color w:val="5B6570"/>
          <w:sz w:val="18"/>
        </w:rPr>
        <w:t>Hình 9. Bảng Offset điểm hút cho Basket 1, Basket 2 và Tool 1–3</w:t>
      </w:r>
    </w:p>
    <w:p>
      <w:pPr>
        <w:pStyle w:val="ListBullet"/>
        <w:spacing w:after="60"/>
        <w:ind w:left="648" w:hanging="288"/>
      </w:pPr>
      <w:r>
        <w:rPr>
          <w:b/>
        </w:rPr>
        <w:t>Delta X: Được cộng trực tiếp vào tọa độ X của điểm hút. Số dương dịch theo chiều +X; số âm dịch theo chiều −X. Giới hạn nhập: −10 đến 10.</w:t>
      </w:r>
      <w:r/>
    </w:p>
    <w:p>
      <w:pPr>
        <w:pStyle w:val="ListBullet"/>
        <w:spacing w:after="60"/>
        <w:ind w:left="648" w:hanging="288"/>
      </w:pPr>
      <w:r>
        <w:rPr>
          <w:b/>
        </w:rPr>
        <w:t>Delta Y: Được cộng trực tiếp vào tọa độ Y của điểm hút. Số dương dịch theo chiều +Y; số âm dịch theo chiều −Y. Giới hạn nhập: −10 đến 10.</w:t>
      </w:r>
      <w:r/>
    </w:p>
    <w:p>
      <w:pPr>
        <w:pStyle w:val="ListBullet"/>
        <w:spacing w:after="60"/>
        <w:ind w:left="648" w:hanging="288"/>
      </w:pPr>
      <w:r>
        <w:rPr>
          <w:b/>
        </w:rPr>
        <w:t xml:space="preserve">X &lt; PickProductPose.X: </w:t>
      </w:r>
      <w:r>
        <w:t>Dùng Offset của dòng này khi tọa độ X sản phẩm nhỏ hơn X của PickProductPose.</w:t>
      </w:r>
    </w:p>
    <w:p>
      <w:pPr>
        <w:pStyle w:val="ListBullet"/>
        <w:spacing w:after="60"/>
        <w:ind w:left="648" w:hanging="288"/>
      </w:pPr>
      <w:r>
        <w:rPr>
          <w:b/>
        </w:rPr>
        <w:t xml:space="preserve">X ≥ PickProductPose.X: </w:t>
      </w:r>
      <w:r>
        <w:t>Dùng Offset của dòng này khi tọa độ X sản phẩm lớn hơn hoặc bằng X của PickProductPose.</w:t>
      </w:r>
    </w:p>
    <w:p>
      <w:pPr>
        <w:spacing w:after="80"/>
        <w:ind w:left="547" w:hanging="547"/>
      </w:pPr>
      <w:r>
        <w:rPr>
          <w:b/>
          <w:color w:val="17324D"/>
        </w:rPr>
        <w:t xml:space="preserve">1. Xác định trường hợp lệch: </w:t>
      </w:r>
      <w:r>
        <w:t>Ghi nhận Basket đang chạy, Tool đang hút, vùng X của sản phẩm và hướng lệch thực tế.</w:t>
      </w:r>
    </w:p>
    <w:p>
      <w:pPr>
        <w:spacing w:after="80"/>
        <w:ind w:left="547" w:hanging="547"/>
      </w:pPr>
      <w:r>
        <w:rPr>
          <w:b/>
          <w:color w:val="17324D"/>
        </w:rPr>
        <w:t xml:space="preserve">2. Chọn đúng dòng: </w:t>
      </w:r>
      <w:r>
        <w:t>Tìm đúng Basket 1/2, Tool 1/2/3 và điều kiện X &lt; hoặc X ≥ PickProductPose.X.</w:t>
      </w:r>
    </w:p>
    <w:p>
      <w:pPr>
        <w:spacing w:after="80"/>
        <w:ind w:left="547" w:hanging="547"/>
      </w:pPr>
      <w:r>
        <w:rPr>
          <w:b/>
          <w:color w:val="17324D"/>
        </w:rPr>
        <w:t xml:space="preserve">3. Nhập Offset nhỏ: </w:t>
      </w:r>
      <w:r>
        <w:t>Điều chỉnh Delta X/Delta Y từng bước nhỏ; nhấp ra ngoài ô để phần mềm nhận giá trị.</w:t>
      </w:r>
    </w:p>
    <w:p>
      <w:pPr>
        <w:spacing w:after="80"/>
        <w:ind w:left="547" w:hanging="547"/>
      </w:pPr>
      <w:r>
        <w:rPr>
          <w:b/>
          <w:color w:val="17324D"/>
        </w:rPr>
        <w:t xml:space="preserve">4. Lưu dữ liệu: </w:t>
      </w:r>
      <w:r>
        <w:t>Nhấn Save Offset và kiểm tra thông báo lưu thành công.</w:t>
      </w:r>
    </w:p>
    <w:p>
      <w:pPr>
        <w:spacing w:after="80"/>
        <w:ind w:left="547" w:hanging="547"/>
      </w:pPr>
      <w:r>
        <w:rPr>
          <w:b/>
          <w:color w:val="17324D"/>
        </w:rPr>
        <w:t xml:space="preserve">5. Chạy xác nhận: </w:t>
      </w:r>
      <w:r>
        <w:t>Chạy thử Manual ở tốc độ thấp, quan sát điểm hút rồi tiếp tục hiệu chỉnh nếu cần.</w:t>
      </w:r>
    </w:p>
    <w:p>
      <w:pPr>
        <w:spacing w:after="160"/>
      </w:pPr>
      <w:r>
        <w:rPr>
          <w:b/>
          <w:color w:val="A61B1B"/>
        </w:rPr>
        <w:t xml:space="preserve">CẢNH BÁO: </w:t>
      </w:r>
      <w:r>
        <w:t>Không nhập Offset lớn ngay từ đầu. Nếu chỉnh sai dấu làm độ lệch tăng, đưa giá trị về trước đó và đổi chiều hiệu chỉnh. Nếu phải dùng Offset lớn hoặc nhiều vị trí đều lệch, kiểm tra lại camera, calibration, đầu hút và cơ khí thay vì tiếp tục bù Offset.</w:t>
      </w:r>
    </w:p>
    <w:p>
      <w:pPr>
        <w:pStyle w:val="Heading2"/>
      </w:pPr>
      <w:r>
        <w:t>7.8 Chế độ tạm thời SetSensor</w:t>
      </w:r>
    </w:p>
    <w:p>
      <w:r>
        <w:t>SetSensor là chế độ dự phòng tạm thời khi cảm biến xác nhận hút của đầu Tool bị hỏng và kỹ thuật chưa thể sửa chữa ngay.</w:t>
      </w:r>
    </w:p>
    <w:p>
      <w:pPr>
        <w:spacing w:after="60"/>
        <w:jc w:val="center"/>
      </w:pPr>
      <w:r>
        <w:drawing>
          <wp:inline xmlns:a="http://schemas.openxmlformats.org/drawingml/2006/main" xmlns:pic="http://schemas.openxmlformats.org/drawingml/2006/picture">
            <wp:extent cx="2743200" cy="1294269"/>
            <wp:docPr id="11" name="Picture 11"/>
            <wp:cNvGraphicFramePr>
              <a:graphicFrameLocks noChangeAspect="1"/>
            </wp:cNvGraphicFramePr>
            <a:graphic>
              <a:graphicData uri="http://schemas.openxmlformats.org/drawingml/2006/picture">
                <pic:pic>
                  <pic:nvPicPr>
                    <pic:cNvPr id="0" name="codex-clipboard-4a594898-8c7c-4150-a7fc-758b3b9f97c6.png"/>
                    <pic:cNvPicPr/>
                  </pic:nvPicPr>
                  <pic:blipFill>
                    <a:blip r:embed="rId21"/>
                    <a:stretch>
                      <a:fillRect/>
                    </a:stretch>
                  </pic:blipFill>
                  <pic:spPr>
                    <a:xfrm>
                      <a:off x="0" y="0"/>
                      <a:ext cx="2743200" cy="1294269"/>
                    </a:xfrm>
                    <a:prstGeom prst="rect"/>
                  </pic:spPr>
                </pic:pic>
              </a:graphicData>
            </a:graphic>
          </wp:inline>
        </w:drawing>
      </w:r>
    </w:p>
    <w:p>
      <w:pPr>
        <w:spacing w:after="140"/>
        <w:jc w:val="center"/>
      </w:pPr>
      <w:r>
        <w:rPr>
          <w:i/>
          <w:color w:val="5B6570"/>
          <w:sz w:val="18"/>
        </w:rPr>
        <w:t>Hình 10. Tùy chọn SetSensor trong nhóm System</w:t>
      </w:r>
    </w:p>
    <w:p>
      <w:pPr>
        <w:spacing w:after="120"/>
      </w:pPr>
      <w:r>
        <w:rPr>
          <w:b/>
          <w:color w:val="A61B1B"/>
        </w:rPr>
        <w:t xml:space="preserve">KHI BẬT SETSENSOR: </w:t>
      </w:r>
      <w:r>
        <w:t>Phần mềm bỏ qua việc xác nhận cảm biến hút của Tool, chờ theo thời gian cài đặt và coi thao tác hút là thành công. Chế độ này không xác nhận được sản phẩm có thực sự được giữ trên đầu hút hay không.</w:t>
      </w:r>
    </w:p>
    <w:p>
      <w:pPr>
        <w:spacing w:after="120"/>
      </w:pPr>
      <w:r>
        <w:rPr>
          <w:b/>
          <w:color w:val="164A8A"/>
        </w:rPr>
        <w:t xml:space="preserve">PHẠM VI: </w:t>
      </w:r>
      <w:r>
        <w:t>SetSensor chỉ bỏ qua cảm biến xác nhận hút của Tool; không thay thế hoặc vô hiệu hóa kiểm tra cửa an toàn, áp suất khí tổng, cảm biến Basket hay cảm biến Full Work.</w:t>
      </w:r>
    </w:p>
    <w:p>
      <w:pPr>
        <w:spacing w:after="80"/>
        <w:ind w:left="547" w:hanging="547"/>
      </w:pPr>
      <w:r>
        <w:rPr>
          <w:b/>
          <w:color w:val="17324D"/>
        </w:rPr>
        <w:t xml:space="preserve">1. Xác nhận lỗi: </w:t>
      </w:r>
      <w:r>
        <w:t>Kỹ thuật/người được phân quyền xác nhận cảm biến hút hỏng nhưng cơ cấu hút, ống khí và đầu Tool vẫn hoạt động.</w:t>
      </w:r>
    </w:p>
    <w:p>
      <w:pPr>
        <w:spacing w:after="80"/>
        <w:ind w:left="547" w:hanging="547"/>
      </w:pPr>
      <w:r>
        <w:rPr>
          <w:b/>
          <w:color w:val="17324D"/>
        </w:rPr>
        <w:t xml:space="preserve">2. Đánh giá rủi ro: </w:t>
      </w:r>
      <w:r>
        <w:t>Dọn vùng máy, giảm tốc độ và bố trí người giám sát liên tục.</w:t>
      </w:r>
    </w:p>
    <w:p>
      <w:pPr>
        <w:spacing w:after="80"/>
        <w:ind w:left="547" w:hanging="547"/>
      </w:pPr>
      <w:r>
        <w:rPr>
          <w:b/>
          <w:color w:val="17324D"/>
        </w:rPr>
        <w:t xml:space="preserve">3. Bật tạm thời: </w:t>
      </w:r>
      <w:r>
        <w:t>Trong Settings &gt; System, đánh dấu SetSensor và ghi nhận thời gian, Job, Tool cùng lý do sử dụng.</w:t>
      </w:r>
    </w:p>
    <w:p>
      <w:pPr>
        <w:spacing w:after="80"/>
        <w:ind w:left="547" w:hanging="547"/>
      </w:pPr>
      <w:r>
        <w:rPr>
          <w:b/>
          <w:color w:val="17324D"/>
        </w:rPr>
        <w:t xml:space="preserve">4. Theo dõi sản phẩm: </w:t>
      </w:r>
      <w:r>
        <w:t>Quan sát từng lần hút/thả; dừng ngay nếu đầu hút không có sản phẩm, sản phẩm rơi hoặc vị trí bất thường.</w:t>
      </w:r>
    </w:p>
    <w:p>
      <w:pPr>
        <w:spacing w:after="80"/>
        <w:ind w:left="547" w:hanging="547"/>
      </w:pPr>
      <w:r>
        <w:rPr>
          <w:b/>
          <w:color w:val="17324D"/>
        </w:rPr>
        <w:t xml:space="preserve">5. Khôi phục: </w:t>
      </w:r>
      <w:r>
        <w:t>Sau khi sửa cảm biến, bỏ dấu SetSensor, kiểm tra tín hiệu thật và chạy thử tốc độ thấp trước khi Auto.</w:t>
      </w:r>
    </w:p>
    <w:p>
      <w:pPr>
        <w:spacing w:after="160"/>
      </w:pPr>
      <w:r>
        <w:rPr>
          <w:b/>
          <w:color w:val="A61B1B"/>
        </w:rPr>
        <w:t xml:space="preserve">CẢNH BÁO NGHIÊM TRỌNG: </w:t>
      </w:r>
      <w:r>
        <w:t>Không dùng SetSensor như chế độ vận hành bình thường. Không rời máy khi đang bật. Nếu không thể giám sát trực tiếp hoặc có nguy cơ rơi sản phẩm, phải dừng máy chờ sửa chữa.</w:t>
      </w:r>
    </w:p>
    <w:p>
      <w:pPr>
        <w:pStyle w:val="Heading2"/>
      </w:pPr>
      <w:r>
        <w:t>7.9 Bảng giới hạn vận hành phiên bản 2.1.2</w:t>
      </w:r>
    </w:p>
    <w:tbl>
      <w:tblPr>
        <w:tblStyle w:val="TableGrid"/>
        <w:tblW w:type="auto" w:w="0"/>
        <w:tblLook w:firstColumn="1" w:firstRow="1" w:lastColumn="0" w:lastRow="0" w:noHBand="0" w:noVBand="1" w:val="04A0"/>
      </w:tblPr>
      <w:tblGrid>
        <w:gridCol w:w="3293"/>
        <w:gridCol w:w="3293"/>
        <w:gridCol w:w="3293"/>
      </w:tblGrid>
      <w:tr>
        <w:tc>
          <w:tcPr>
            <w:tcW w:type="dxa" w:w="3293"/>
          </w:tcPr>
          <w:p>
            <w:r>
              <w:t>Thông số</w:t>
            </w:r>
          </w:p>
        </w:tc>
        <w:tc>
          <w:tcPr>
            <w:tcW w:type="dxa" w:w="3293"/>
          </w:tcPr>
          <w:p>
            <w:r>
              <w:t>Giới hạn</w:t>
            </w:r>
          </w:p>
        </w:tc>
        <w:tc>
          <w:tcPr>
            <w:tcW w:type="dxa" w:w="3293"/>
          </w:tcPr>
          <w:p>
            <w:r>
              <w:t>Phản ứng của phần mềm</w:t>
            </w:r>
          </w:p>
        </w:tc>
      </w:tr>
      <w:tr>
        <w:tc>
          <w:tcPr>
            <w:tcW w:type="dxa" w:w="3293"/>
          </w:tcPr>
          <w:p>
            <w:r>
              <w:t>H1, H2, H3</w:t>
            </w:r>
          </w:p>
        </w:tc>
        <w:tc>
          <w:tcPr>
            <w:tcW w:type="dxa" w:w="3293"/>
          </w:tcPr>
          <w:p>
            <w:r>
              <w:t>−10 đến 40 mm</w:t>
            </w:r>
          </w:p>
        </w:tc>
        <w:tc>
          <w:tcPr>
            <w:tcW w:type="dxa" w:w="3293"/>
          </w:tcPr>
          <w:p>
            <w:r>
              <w:t>Từ chối giá trị ngoài dải.</w:t>
            </w:r>
          </w:p>
        </w:tc>
      </w:tr>
      <w:tr>
        <w:tc>
          <w:tcPr>
            <w:tcW w:type="dxa" w:w="3293"/>
          </w:tcPr>
          <w:p>
            <w:r>
              <w:t>Delta X, Delta Y</w:t>
            </w:r>
          </w:p>
        </w:tc>
        <w:tc>
          <w:tcPr>
            <w:tcW w:type="dxa" w:w="3293"/>
          </w:tcPr>
          <w:p>
            <w:r>
              <w:t>−10 đến 10</w:t>
            </w:r>
          </w:p>
        </w:tc>
        <w:tc>
          <w:tcPr>
            <w:tcW w:type="dxa" w:w="3293"/>
          </w:tcPr>
          <w:p>
            <w:r>
              <w:t>Giữ giá trị trong dải cho phép.</w:t>
            </w:r>
          </w:p>
        </w:tc>
      </w:tr>
      <w:tr>
        <w:tc>
          <w:tcPr>
            <w:tcW w:type="dxa" w:w="3293"/>
          </w:tcPr>
          <w:p>
            <w:r>
              <w:t>Step tuyến tính</w:t>
            </w:r>
          </w:p>
        </w:tc>
        <w:tc>
          <w:tcPr>
            <w:tcW w:type="dxa" w:w="3293"/>
          </w:tcPr>
          <w:p>
            <w:r>
              <w:t>0 đến 20 mm</w:t>
            </w:r>
          </w:p>
        </w:tc>
        <w:tc>
          <w:tcPr>
            <w:tcW w:type="dxa" w:w="3293"/>
          </w:tcPr>
          <w:p>
            <w:r>
              <w:t>Tự giới hạn về 0 hoặc 20.</w:t>
            </w:r>
          </w:p>
        </w:tc>
      </w:tr>
      <w:tr>
        <w:tc>
          <w:tcPr>
            <w:tcW w:type="dxa" w:w="3293"/>
          </w:tcPr>
          <w:p>
            <w:r>
              <w:t>Step xoay</w:t>
            </w:r>
          </w:p>
        </w:tc>
        <w:tc>
          <w:tcPr>
            <w:tcW w:type="dxa" w:w="3293"/>
          </w:tcPr>
          <w:p>
            <w:r>
              <w:t>0 đến 2°</w:t>
            </w:r>
          </w:p>
        </w:tc>
        <w:tc>
          <w:tcPr>
            <w:tcW w:type="dxa" w:w="3293"/>
          </w:tcPr>
          <w:p>
            <w:r>
              <w:t>Tự giới hạn về 0 hoặc 2°.</w:t>
            </w:r>
          </w:p>
        </w:tc>
      </w:tr>
      <w:tr>
        <w:tc>
          <w:tcPr>
            <w:tcW w:type="dxa" w:w="3293"/>
          </w:tcPr>
          <w:p>
            <w:r>
              <w:t>Tốc độ robot</w:t>
            </w:r>
          </w:p>
        </w:tc>
        <w:tc>
          <w:tcPr>
            <w:tcW w:type="dxa" w:w="3293"/>
          </w:tcPr>
          <w:p>
            <w:r>
              <w:t>0,05 đến 1,00</w:t>
            </w:r>
          </w:p>
        </w:tc>
        <w:tc>
          <w:tcPr>
            <w:tcW w:type="dxa" w:w="3293"/>
          </w:tcPr>
          <w:p>
            <w:r>
              <w:t>Chọn theo bước 0,05.</w:t>
            </w:r>
          </w:p>
        </w:tc>
      </w:tr>
      <w:tr>
        <w:tc>
          <w:tcPr>
            <w:tcW w:type="dxa" w:w="3293"/>
          </w:tcPr>
          <w:p>
            <w:r>
              <w:t>Áp suất khí vận hành</w:t>
            </w:r>
          </w:p>
        </w:tc>
        <w:tc>
          <w:tcPr>
            <w:tcW w:type="dxa" w:w="3293"/>
          </w:tcPr>
          <w:p>
            <w:r>
              <w:t>0,38 đến 0,60 MPa</w:t>
            </w:r>
          </w:p>
        </w:tc>
        <w:tc>
          <w:tcPr>
            <w:tcW w:type="dxa" w:w="3293"/>
          </w:tcPr>
          <w:p>
            <w:r>
              <w:t>Không vận hành ngoài dải.</w:t>
            </w:r>
          </w:p>
        </w:tc>
      </w:tr>
    </w:tbl>
    <w:p>
      <w:pPr>
        <w:spacing w:after="160"/>
      </w:pPr>
      <w:r>
        <w:t>Sau khi thay đổi H, Offset, Step hoặc tốc độ, luôn chạy thử Manual ở tốc độ thấp và xác nhận khoảng hở trước khi Auto.</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 2.1.2</dc:title>
  <dc:subject>Tài liệu vận hành cập nhật giới hạn chương trình 2.1.2</dc:subject>
  <dc:creator>Nittan Vietnam</dc:creator>
  <cp:keywords>KBOT, vận hành, robot, Nittan Vietnam</cp:keywords>
  <dc:description>Cập nhật giới hạn chương trình ngày 11/08/2026</dc:description>
  <cp:lastModifiedBy/>
  <cp:revision>1</cp:revision>
  <dcterms:created xsi:type="dcterms:W3CDTF">2013-12-23T23:15:00Z</dcterms:created>
  <dcterms:modified xsi:type="dcterms:W3CDTF">2013-12-23T23:15:00Z</dcterms:modified>
  <cp:category/>
</cp:coreProperties>
</file>