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/>
        </w:rPr>
      </w:pPr>
      <w:bookmarkStart w:id="0" w:name="_Toc470769316"/>
      <w:r>
        <w:rPr>
          <w:rFonts w:hint="eastAsia"/>
          <w:color w:val="000000"/>
        </w:rPr>
        <w:t>实验五　差动放大器</w:t>
      </w:r>
      <w:bookmarkEnd w:id="0"/>
    </w:p>
    <w:p/>
    <w:p>
      <w:pPr>
        <w:spacing w:line="50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一、实验目的</w:t>
      </w:r>
    </w:p>
    <w:p>
      <w:pPr>
        <w:spacing w:line="50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ascii="宋体" w:hAnsi="宋体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、加深对差动放大器性能及特点的理解</w:t>
      </w:r>
    </w:p>
    <w:p>
      <w:pPr>
        <w:spacing w:line="50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2、学习差动放大器主要性能指标的测试方法</w:t>
      </w:r>
    </w:p>
    <w:p>
      <w:pPr>
        <w:spacing w:line="50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二、实验原理</w:t>
      </w:r>
    </w:p>
    <w:p>
      <w:pPr>
        <w:spacing w:line="50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图5－1是差动放大器的基本结构。 它由两个元件参数相同的基本共射放大电路组成。当开关K拨向左边时，构成典型的差动放大器。调零电位器R</w:t>
      </w:r>
      <w:r>
        <w:rPr>
          <w:rFonts w:hint="eastAsia" w:ascii="宋体" w:hAnsi="宋体"/>
          <w:color w:val="000000"/>
          <w:sz w:val="24"/>
          <w:vertAlign w:val="subscript"/>
        </w:rPr>
        <w:t>P</w:t>
      </w:r>
      <w:r>
        <w:rPr>
          <w:rFonts w:hint="eastAsia" w:ascii="宋体" w:hAnsi="宋体"/>
          <w:color w:val="000000"/>
          <w:sz w:val="24"/>
        </w:rPr>
        <w:t>用来调节T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管的静态工作点，使得输入信号U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＝0时，双端输出电压U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＝0。R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为两管共用的发射极电阻， 它对差模信号无负反馈作用，因而不影响差模电压放大倍数，但对共模信号有较强的负反馈作用，故可以有效地抑制零漂，稳定静态工作点。</w:t>
      </w:r>
    </w:p>
    <w:p>
      <w:pPr>
        <w:spacing w:line="500" w:lineRule="atLeast"/>
        <w:ind w:firstLine="480"/>
        <w:rPr>
          <w:rFonts w:ascii="宋体" w:hAnsi="宋体"/>
          <w:color w:val="000000"/>
          <w:sz w:val="24"/>
        </w:rPr>
      </w:pPr>
    </w:p>
    <w:p>
      <w:pPr>
        <w:spacing w:line="500" w:lineRule="atLeast"/>
        <w:ind w:firstLine="480"/>
        <w:rPr>
          <w:rFonts w:ascii="宋体" w:hAnsi="宋体"/>
          <w:color w:val="000000"/>
          <w:sz w:val="24"/>
        </w:rPr>
      </w:pPr>
    </w:p>
    <w:p>
      <w:pPr>
        <w:spacing w:line="460" w:lineRule="atLeast"/>
        <w:jc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696970" cy="2684780"/>
            <wp:effectExtent l="0" t="0" r="17780" b="1270"/>
            <wp:docPr id="1" name="图片 1" descr="C:\My Documents\bmp\6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My Documents\bmp\6-1.b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图5－1  差动放大器实验电路</w:t>
      </w: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481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当开关K拨向右边时，构成具有恒流源的差动放大器。 它用晶体管恒流源代替发射极电阻R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，可以进一步提高差动放大器抑制共模信号的能力。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1、静态工作点的估算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典型电路</w:t>
      </w:r>
    </w:p>
    <w:p>
      <w:pPr>
        <w:spacing w:line="460" w:lineRule="atLeast"/>
        <w:ind w:firstLine="1200" w:firstLineChars="5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26" o:spt="75" type="#_x0000_t75" style="height:36pt;width:72.8pt;" o:ole="t" filled="f" o:preferrelative="t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 xml:space="preserve"> （认为U</w:t>
      </w:r>
      <w:r>
        <w:rPr>
          <w:rFonts w:hint="eastAsia" w:ascii="宋体" w:hAnsi="宋体"/>
          <w:color w:val="000000"/>
          <w:sz w:val="24"/>
          <w:vertAlign w:val="subscript"/>
        </w:rPr>
        <w:t>B1</w:t>
      </w:r>
      <w:r>
        <w:rPr>
          <w:rFonts w:hint="eastAsia" w:ascii="宋体" w:hAnsi="宋体"/>
          <w:color w:val="000000"/>
          <w:sz w:val="24"/>
        </w:rPr>
        <w:t>＝U</w:t>
      </w:r>
      <w:r>
        <w:rPr>
          <w:rFonts w:hint="eastAsia" w:ascii="宋体" w:hAnsi="宋体"/>
          <w:color w:val="000000"/>
          <w:sz w:val="24"/>
          <w:vertAlign w:val="subscript"/>
        </w:rPr>
        <w:t>B2</w:t>
      </w:r>
      <w:r>
        <w:rPr>
          <w:rFonts w:hint="eastAsia" w:ascii="宋体" w:hAnsi="宋体"/>
          <w:color w:val="000000"/>
          <w:sz w:val="24"/>
        </w:rPr>
        <w:t>≈0）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</w:t>
      </w:r>
      <w:r>
        <w:rPr>
          <w:rFonts w:ascii="宋体" w:hAnsi="宋体"/>
          <w:color w:val="000000"/>
          <w:position w:val="-24"/>
          <w:sz w:val="24"/>
        </w:rPr>
        <w:object>
          <v:shape id="_x0000_i1027" o:spt="75" type="#_x0000_t75" style="height:30.75pt;width:72pt;" o:ole="t" filled="f" o:preferrelative="t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恒流源电路 </w:t>
      </w:r>
    </w:p>
    <w:p>
      <w:pPr>
        <w:spacing w:line="460" w:lineRule="atLeast"/>
        <w:ind w:firstLine="1200" w:firstLineChars="5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28" o:spt="75" type="#_x0000_t75" style="height:51pt;width:171.85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</w:p>
    <w:p>
      <w:pPr>
        <w:spacing w:line="460" w:lineRule="atLeast"/>
        <w:ind w:firstLine="1200" w:firstLineChars="5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24"/>
          <w:sz w:val="24"/>
        </w:rPr>
        <w:object>
          <v:shape id="_x0000_i1029" o:spt="75" type="#_x0000_t75" style="height:30.75pt;width:74.2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8" r:id="rId11">
            <o:LockedField>false</o:LockedField>
          </o:OLEObject>
        </w:objec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2、差模电压放大倍数和共模电压放大倍数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当差动放大器的射极电阻R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足够大，或采用恒流源电路时，差模电压放大倍数A</w:t>
      </w:r>
      <w:r>
        <w:rPr>
          <w:rFonts w:hint="eastAsia" w:ascii="宋体" w:hAnsi="宋体"/>
          <w:color w:val="000000"/>
          <w:sz w:val="24"/>
          <w:vertAlign w:val="subscript"/>
        </w:rPr>
        <w:t>d</w:t>
      </w:r>
      <w:r>
        <w:rPr>
          <w:rFonts w:hint="eastAsia" w:ascii="宋体" w:hAnsi="宋体"/>
          <w:color w:val="000000"/>
          <w:sz w:val="24"/>
        </w:rPr>
        <w:t>由输出端方式决定，而与输入方式无关。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双端输出</w:t>
      </w:r>
      <w:r>
        <w:rPr>
          <w:rFonts w:ascii="宋体" w:hAnsi="宋体"/>
          <w:color w:val="000000"/>
          <w:sz w:val="24"/>
        </w:rPr>
        <w:t>:</w:t>
      </w:r>
      <w:r>
        <w:rPr>
          <w:rFonts w:hint="eastAsia" w:ascii="宋体" w:hAnsi="宋体"/>
          <w:color w:val="000000"/>
          <w:sz w:val="24"/>
        </w:rPr>
        <w:t>　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＝∞，R</w:t>
      </w:r>
      <w:r>
        <w:rPr>
          <w:rFonts w:hint="eastAsia" w:ascii="宋体" w:hAnsi="宋体"/>
          <w:color w:val="000000"/>
          <w:sz w:val="24"/>
          <w:vertAlign w:val="subscript"/>
        </w:rPr>
        <w:t>P</w:t>
      </w:r>
      <w:r>
        <w:rPr>
          <w:rFonts w:hint="eastAsia" w:ascii="宋体" w:hAnsi="宋体"/>
          <w:color w:val="000000"/>
          <w:sz w:val="24"/>
        </w:rPr>
        <w:t>在中心位置时，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1200" w:firstLineChars="5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54"/>
          <w:sz w:val="24"/>
        </w:rPr>
        <w:object>
          <v:shape id="_x0000_i1030" o:spt="75" type="#_x0000_t75" style="height:45.75pt;width:177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29" r:id="rId13">
            <o:LockedField>false</o:LockedField>
          </o:OLEObject>
        </w:object>
      </w:r>
    </w:p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单端输出</w:t>
      </w:r>
    </w:p>
    <w:p>
      <w:pPr>
        <w:spacing w:line="460" w:lineRule="atLeast"/>
        <w:ind w:firstLine="960" w:firstLineChars="4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</w:t>
      </w:r>
      <w:r>
        <w:rPr>
          <w:rFonts w:ascii="宋体" w:hAnsi="宋体"/>
          <w:color w:val="000000"/>
          <w:position w:val="-30"/>
          <w:sz w:val="24"/>
        </w:rPr>
        <w:object>
          <v:shape id="_x0000_i1031" o:spt="75" type="#_x0000_t75" style="height:33.75pt;width:92.3pt;" o:ole="t" filled="f" o:preferrelative="t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</w:t>
      </w:r>
      <w:r>
        <w:rPr>
          <w:rFonts w:ascii="宋体" w:hAnsi="宋体"/>
          <w:color w:val="000000"/>
          <w:position w:val="-30"/>
          <w:sz w:val="24"/>
        </w:rPr>
        <w:object>
          <v:shape id="_x0000_i1032" o:spt="75" type="#_x0000_t75" style="height:33.75pt;width:101.2pt;" o:ole="t" filled="f" o:preferrelative="t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1" r:id="rId1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　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</w:rPr>
        <w:t>当输入共模信号时，若为单端输出，则有</w:t>
      </w:r>
    </w:p>
    <w:p>
      <w:pPr>
        <w:spacing w:line="460" w:lineRule="atLeast"/>
        <w:ind w:firstLine="1000" w:firstLineChars="5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0"/>
        </w:rPr>
        <w:pict>
          <v:shape id="Picture 10" o:spid="_x0000_s1026" o:spt="75" type="#_x0000_t75" style="position:absolute;left:0pt;margin-left:52.5pt;margin-top:11.8pt;height:45.75pt;width:288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</v:shape>
          <o:OLEObject Type="Embed" ProgID="" ShapeID="Picture 10" DrawAspect="Content" ObjectID="_1468075732" r:id="rId19">
            <o:LockedField>false</o:LockedField>
          </o:OLEObject>
        </w:pict>
      </w:r>
    </w:p>
    <w:p>
      <w:pPr>
        <w:spacing w:line="240" w:lineRule="exact"/>
        <w:ind w:firstLine="482"/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若为双端输出，在理想情况下</w:t>
      </w:r>
    </w:p>
    <w:p>
      <w:pPr>
        <w:spacing w:line="460" w:lineRule="atLeast"/>
        <w:ind w:firstLine="1440" w:firstLineChars="6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33" o:spt="75" type="#_x0000_t75" style="height:33.75pt;width:71.3pt;" o:ole="t" filled="f" o:preferrelative="t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实际上由于元件不可能完全对称，因此A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也不会绝对等于零。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</w:t>
      </w:r>
      <w:r>
        <w:rPr>
          <w:rFonts w:hint="eastAsia" w:ascii="宋体" w:hAnsi="宋体"/>
          <w:color w:val="000000"/>
          <w:sz w:val="24"/>
        </w:rPr>
        <w:t>、  共模抑制比CMRR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为了表征差动放大器对有用信号（差模信号）的放大作用和对共模信号的抑制能力，通常用一个综合指标来衡量，即共模抑制比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　</w:t>
      </w:r>
      <w:r>
        <w:rPr>
          <w:rFonts w:ascii="宋体" w:hAnsi="宋体"/>
          <w:color w:val="000000"/>
          <w:sz w:val="24"/>
          <w:lang w:val="en-GB"/>
        </w:rPr>
        <w:t xml:space="preserve">    </w:t>
      </w:r>
      <w:r>
        <w:rPr>
          <w:rFonts w:hint="eastAsia" w:ascii="宋体" w:hAnsi="宋体"/>
          <w:color w:val="000000"/>
          <w:sz w:val="24"/>
        </w:rPr>
        <w:t>　</w:t>
      </w:r>
      <w:r>
        <w:rPr>
          <w:rFonts w:ascii="宋体" w:hAnsi="宋体"/>
          <w:color w:val="000000"/>
          <w:position w:val="-32"/>
          <w:sz w:val="24"/>
        </w:rPr>
        <w:object>
          <v:shape id="_x0000_i1034" o:spt="75" type="#_x0000_t75" style="height:38.25pt;width:57pt;" o:ole="t" filled="f" o:preferrelative="t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　　或</w:t>
      </w:r>
      <w:r>
        <w:rPr>
          <w:rFonts w:ascii="宋体" w:hAnsi="宋体"/>
          <w:color w:val="000000"/>
          <w:position w:val="-32"/>
          <w:sz w:val="24"/>
        </w:rPr>
        <w:object>
          <v:shape id="_x0000_i1035" o:spt="75" type="#_x0000_t75" style="height:38.25pt;width:107.2pt;" o:ole="t" filled="f" o:preferrelative="t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差动放大器的输入信号可采用直流信号也可采用交流信号。本实验由函数信号发生器提供频率f＝1KHZ的正弦信号作为输入信号。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三、实验设备与器件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ascii="宋体" w:hAnsi="宋体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、±12V直流电源　　　　　　2、函数信号发生器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3、双踪示波器　　　　　　　 4、交流毫伏表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5、直流电压表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6、晶体三极管3DG6×3，要求T</w:t>
      </w:r>
      <w:r>
        <w:rPr>
          <w:rFonts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管特性参数一致。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电阻器、电容器若干。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四、实验内容</w:t>
      </w:r>
    </w:p>
    <w:p>
      <w:pPr>
        <w:numPr>
          <w:ilvl w:val="0"/>
          <w:numId w:val="1"/>
        </w:num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典型差动放大器性能测试</w:t>
      </w:r>
    </w:p>
    <w:p>
      <w:pPr>
        <w:spacing w:line="460" w:lineRule="atLeast"/>
        <w:ind w:left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按图5-1连接实验电路，开关K拨向左边构成典型差动放大器。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1) 测量静态工作点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①调节放大器零点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信号源不接入。将放大器输入端A、B与地短接，接通±12V直流电源，用直流电压表测量输出电压U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，调节调零电位器R</w:t>
      </w:r>
      <w:r>
        <w:rPr>
          <w:rFonts w:hint="eastAsia" w:ascii="宋体" w:hAnsi="宋体"/>
          <w:color w:val="000000"/>
          <w:sz w:val="24"/>
          <w:vertAlign w:val="subscript"/>
        </w:rPr>
        <w:t>P</w:t>
      </w:r>
      <w:r>
        <w:rPr>
          <w:rFonts w:hint="eastAsia" w:ascii="宋体" w:hAnsi="宋体"/>
          <w:color w:val="000000"/>
          <w:sz w:val="24"/>
        </w:rPr>
        <w:t>，使U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＝0。 调节要仔细，力求准确。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②测量静态工作点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零点调好以后，用直流电压表测量T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管各电极电位及射极电阻R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两端电压U</w:t>
      </w:r>
      <w:r>
        <w:rPr>
          <w:rFonts w:hint="eastAsia" w:ascii="宋体" w:hAnsi="宋体"/>
          <w:color w:val="000000"/>
          <w:sz w:val="24"/>
          <w:vertAlign w:val="subscript"/>
        </w:rPr>
        <w:t>RE</w:t>
      </w:r>
      <w:r>
        <w:rPr>
          <w:rFonts w:hint="eastAsia" w:ascii="宋体" w:hAnsi="宋体"/>
          <w:color w:val="000000"/>
          <w:sz w:val="24"/>
        </w:rPr>
        <w:t>，记入表5－1。</w:t>
      </w:r>
    </w:p>
    <w:p>
      <w:pPr>
        <w:spacing w:after="156" w:afterLines="50"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表5-1</w:t>
      </w:r>
    </w:p>
    <w:tbl>
      <w:tblPr>
        <w:tblStyle w:val="4"/>
        <w:tblW w:w="766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869"/>
        <w:gridCol w:w="987"/>
        <w:gridCol w:w="381"/>
        <w:gridCol w:w="608"/>
        <w:gridCol w:w="993"/>
        <w:gridCol w:w="636"/>
        <w:gridCol w:w="357"/>
        <w:gridCol w:w="993"/>
        <w:gridCol w:w="8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2" w:type="dxa"/>
            <w:vMerge w:val="restart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测量值</w:t>
            </w:r>
          </w:p>
        </w:tc>
        <w:tc>
          <w:tcPr>
            <w:tcW w:w="86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C1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98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B1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E1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993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C2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B2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993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E2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88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RE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2" w:type="dxa"/>
            <w:vMerge w:val="continue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6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8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2" w:type="dxa"/>
            <w:vMerge w:val="restart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计算值</w:t>
            </w:r>
          </w:p>
        </w:tc>
        <w:tc>
          <w:tcPr>
            <w:tcW w:w="223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I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</w:rPr>
              <w:t>(mA)</w:t>
            </w:r>
          </w:p>
        </w:tc>
        <w:tc>
          <w:tcPr>
            <w:tcW w:w="223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I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</w:t>
            </w:r>
            <w:r>
              <w:rPr>
                <w:rFonts w:hint="eastAsia" w:ascii="宋体" w:hAnsi="宋体"/>
                <w:color w:val="000000"/>
                <w:sz w:val="24"/>
              </w:rPr>
              <w:t>(mA)</w:t>
            </w:r>
          </w:p>
        </w:tc>
        <w:tc>
          <w:tcPr>
            <w:tcW w:w="223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CE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2" w:type="dxa"/>
            <w:vMerge w:val="continue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23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23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23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2) 测量差模电压放大倍数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　断开直流电源，将函数信号发生器的输出端接放大器输入A端，地端接放大器输入B端构成单端输入方式，调节输入信号为频率f＝1KHz的正弦信号，并使输出旋钮旋至零，用示波器监视输出端（集电极C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或C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与地之间）。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接通±12V直流电源，逐渐增大输入电压U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（约100mV），在输出波形无失真的情况下，用交流毫伏表测 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，U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>，U</w:t>
      </w:r>
      <w:r>
        <w:rPr>
          <w:rFonts w:hint="eastAsia" w:ascii="宋体" w:hAnsi="宋体"/>
          <w:color w:val="000000"/>
          <w:sz w:val="24"/>
          <w:vertAlign w:val="subscript"/>
        </w:rPr>
        <w:t>C2</w:t>
      </w:r>
      <w:r>
        <w:rPr>
          <w:rFonts w:hint="eastAsia" w:ascii="宋体" w:hAnsi="宋体"/>
          <w:color w:val="000000"/>
          <w:sz w:val="24"/>
        </w:rPr>
        <w:t>，记入表5－2中，并观察u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，u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>，u</w:t>
      </w:r>
      <w:r>
        <w:rPr>
          <w:rFonts w:hint="eastAsia" w:ascii="宋体" w:hAnsi="宋体"/>
          <w:color w:val="000000"/>
          <w:sz w:val="24"/>
          <w:vertAlign w:val="subscript"/>
        </w:rPr>
        <w:t>C2</w:t>
      </w:r>
      <w:r>
        <w:rPr>
          <w:rFonts w:hint="eastAsia" w:ascii="宋体" w:hAnsi="宋体"/>
          <w:color w:val="000000"/>
          <w:sz w:val="24"/>
        </w:rPr>
        <w:t>之间的相位关系及U</w:t>
      </w:r>
      <w:r>
        <w:rPr>
          <w:rFonts w:hint="eastAsia" w:ascii="宋体" w:hAnsi="宋体"/>
          <w:color w:val="000000"/>
          <w:sz w:val="24"/>
          <w:vertAlign w:val="subscript"/>
        </w:rPr>
        <w:t>RE</w:t>
      </w:r>
      <w:r>
        <w:rPr>
          <w:rFonts w:hint="eastAsia" w:ascii="宋体" w:hAnsi="宋体"/>
          <w:color w:val="000000"/>
          <w:sz w:val="24"/>
        </w:rPr>
        <w:t>随U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改变而变化的情况。</w:t>
      </w:r>
    </w:p>
    <w:p>
      <w:pPr>
        <w:spacing w:line="460" w:lineRule="atLeast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3)　测量共模电压放大倍数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将放大器A、B短接，信号源接A端与地之间，构成共模输入方式， 调节输入信号f=1kHz，U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=1V，在输出电压无失真的情况下，测量U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>， U</w:t>
      </w:r>
      <w:r>
        <w:rPr>
          <w:rFonts w:hint="eastAsia" w:ascii="宋体" w:hAnsi="宋体"/>
          <w:color w:val="000000"/>
          <w:sz w:val="24"/>
          <w:vertAlign w:val="subscript"/>
        </w:rPr>
        <w:t>C2</w:t>
      </w:r>
      <w:r>
        <w:rPr>
          <w:rFonts w:hint="eastAsia" w:ascii="宋体" w:hAnsi="宋体"/>
          <w:color w:val="000000"/>
          <w:sz w:val="24"/>
        </w:rPr>
        <w:t>之值记入表5－2，并观察u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 u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>， u</w:t>
      </w:r>
      <w:r>
        <w:rPr>
          <w:rFonts w:hint="eastAsia" w:ascii="宋体" w:hAnsi="宋体"/>
          <w:color w:val="000000"/>
          <w:sz w:val="24"/>
          <w:vertAlign w:val="subscript"/>
        </w:rPr>
        <w:t>C2</w:t>
      </w:r>
      <w:r>
        <w:rPr>
          <w:rFonts w:hint="eastAsia" w:ascii="宋体" w:hAnsi="宋体"/>
          <w:color w:val="000000"/>
          <w:sz w:val="24"/>
        </w:rPr>
        <w:t>之间的相位关系及U</w:t>
      </w:r>
      <w:r>
        <w:rPr>
          <w:rFonts w:hint="eastAsia" w:ascii="宋体" w:hAnsi="宋体"/>
          <w:color w:val="000000"/>
          <w:sz w:val="24"/>
          <w:vertAlign w:val="subscript"/>
        </w:rPr>
        <w:t>RE</w:t>
      </w:r>
      <w:r>
        <w:rPr>
          <w:rFonts w:hint="eastAsia" w:ascii="宋体" w:hAnsi="宋体"/>
          <w:color w:val="000000"/>
          <w:sz w:val="24"/>
        </w:rPr>
        <w:t>随U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改变而变化的情况。</w:t>
      </w:r>
    </w:p>
    <w:p>
      <w:pPr>
        <w:spacing w:after="156" w:afterLines="50"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表5-2    </w:t>
      </w:r>
    </w:p>
    <w:tbl>
      <w:tblPr>
        <w:tblStyle w:val="4"/>
        <w:tblW w:w="728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317"/>
        <w:gridCol w:w="1361"/>
        <w:gridCol w:w="1547"/>
        <w:gridCol w:w="13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76" w:type="dxa"/>
            <w:vMerge w:val="restart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678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典型差动放大电路</w:t>
            </w:r>
          </w:p>
        </w:tc>
        <w:tc>
          <w:tcPr>
            <w:tcW w:w="2926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具有恒流源差动放大电路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76" w:type="dxa"/>
            <w:vMerge w:val="continue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单端输入</w:t>
            </w:r>
          </w:p>
        </w:tc>
        <w:tc>
          <w:tcPr>
            <w:tcW w:w="136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共模输入</w:t>
            </w:r>
          </w:p>
        </w:tc>
        <w:tc>
          <w:tcPr>
            <w:tcW w:w="154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单端输入</w:t>
            </w:r>
          </w:p>
        </w:tc>
        <w:tc>
          <w:tcPr>
            <w:tcW w:w="137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共模输入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67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i</w:t>
            </w:r>
          </w:p>
        </w:tc>
        <w:tc>
          <w:tcPr>
            <w:tcW w:w="131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100mV</w:t>
            </w:r>
          </w:p>
        </w:tc>
        <w:tc>
          <w:tcPr>
            <w:tcW w:w="136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1V</w:t>
            </w:r>
          </w:p>
        </w:tc>
        <w:tc>
          <w:tcPr>
            <w:tcW w:w="154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100mV</w:t>
            </w:r>
          </w:p>
        </w:tc>
        <w:tc>
          <w:tcPr>
            <w:tcW w:w="137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167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C1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31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6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67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C2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31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6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167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position w:val="-30"/>
                <w:sz w:val="24"/>
              </w:rPr>
              <w:object>
                <v:shape id="_x0000_i1036" o:spt="75" type="#_x0000_t75" style="height:33.75pt;width:47.2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6" DrawAspect="Content" ObjectID="_1468075736" r:id="rId27">
                  <o:LockedField>false</o:LockedField>
                </o:OLEObject>
              </w:objec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167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position w:val="-30"/>
                <w:sz w:val="24"/>
              </w:rPr>
              <w:object>
                <v:shape id="_x0000_i1037" o:spt="75" type="#_x0000_t75" style="height:33.75pt;width:41.25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7" DrawAspect="Content" ObjectID="_1468075737" r:id="rId29">
                  <o:LockedField>false</o:LockedField>
                </o:OLEObject>
              </w:objec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167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position w:val="-30"/>
                <w:sz w:val="24"/>
              </w:rPr>
              <w:object>
                <v:shape id="_x0000_i1038" o:spt="75" type="#_x0000_t75" style="height:33.75pt;width:48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8" DrawAspect="Content" ObjectID="_1468075738" r:id="rId31">
                  <o:LockedField>false</o:LockedField>
                </o:OLEObject>
              </w:objec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167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position w:val="-30"/>
                <w:sz w:val="24"/>
              </w:rPr>
              <w:object>
                <v:shape id="_x0000_i1039" o:spt="75" type="#_x0000_t75" style="height:33.75pt;width:41.25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9" DrawAspect="Content" ObjectID="_1468075739" r:id="rId33">
                  <o:LockedField>false</o:LockedField>
                </o:OLEObject>
              </w:objec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/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67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vertAlign w:val="subscript"/>
              </w:rPr>
              <w:t>CMR</w:t>
            </w:r>
            <w:r>
              <w:rPr>
                <w:rFonts w:ascii="宋体" w:hAnsi="宋体"/>
                <w:color w:val="000000"/>
                <w:sz w:val="24"/>
              </w:rPr>
              <w:t>=</w:t>
            </w:r>
            <w:r>
              <w:rPr>
                <w:rFonts w:hint="eastAsia" w:ascii="宋体" w:hAnsi="宋体"/>
                <w:color w:val="000000"/>
                <w:spacing w:val="-20"/>
                <w:sz w:val="24"/>
                <w:lang w:val="en-GB"/>
              </w:rPr>
              <w:t>│</w:t>
            </w:r>
            <w:r>
              <w:rPr>
                <w:rFonts w:ascii="宋体" w:hAnsi="宋体"/>
                <w:color w:val="000000"/>
                <w:spacing w:val="-20"/>
                <w:position w:val="-32"/>
                <w:sz w:val="24"/>
              </w:rPr>
              <w:object>
                <v:shape id="_x0000_i1040" o:spt="75" type="#_x0000_t75" style="height:34.5pt;width:20.25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0" DrawAspect="Content" ObjectID="_1468075740" r:id="rId35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spacing w:val="-54"/>
                <w:sz w:val="24"/>
                <w:lang w:val="en-GB"/>
              </w:rPr>
              <w:t>│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line="240" w:lineRule="exac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</w:p>
    <w:p>
      <w:pPr>
        <w:spacing w:line="24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具有恒流源的差动放大电路性能测试</w:t>
      </w:r>
    </w:p>
    <w:p>
      <w:pPr>
        <w:spacing w:line="460" w:lineRule="atLeast"/>
        <w:ind w:left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将图5－1电路中开关K拨向右边，构成具有恒流源的差动放大电路。重复内容1－2)、1－3)的要求，记入表5－2。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五、实验总结</w:t>
      </w:r>
    </w:p>
    <w:p>
      <w:pPr>
        <w:spacing w:line="46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1、整理实验数据，列表比较实验结果和理论估算值，分析误差原因。</w:t>
      </w:r>
    </w:p>
    <w:p>
      <w:pPr>
        <w:spacing w:line="46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2、静态工作点和差模电压放大倍数。</w:t>
      </w:r>
    </w:p>
    <w:p>
      <w:pPr>
        <w:spacing w:line="46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3、典型差动放大电路单端输出时的CMRR实测值与理论值比较</w:t>
      </w:r>
    </w:p>
    <w:p>
      <w:pPr>
        <w:spacing w:line="460" w:lineRule="exact"/>
      </w:pPr>
      <w:r>
        <w:rPr>
          <w:rFonts w:hint="eastAsia" w:ascii="宋体" w:hAnsi="宋体"/>
          <w:color w:val="000000"/>
          <w:sz w:val="24"/>
        </w:rPr>
        <w:t>　  4、典型差动放大电路单端输出时CMRR的实测值与具有恒流源的差动放大器CMRR实测值比较。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7457E"/>
    <w:multiLevelType w:val="multilevel"/>
    <w:tmpl w:val="54A7457E"/>
    <w:lvl w:ilvl="0" w:tentative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B34FE"/>
    <w:rsid w:val="557B34F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2018-05-29T12:47:00Z</dcterms:created>
  <dc:creator>lining</dc:creator>
  <cp:lastModifiedBy>lining</cp:lastModifiedBy>
  <dcterms:modified xsi:type="dcterms:W3CDTF">2018-05-29T12:47:32Z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