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找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完整方法（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完整方法（E1AC）：CAT + 耦合奖励 + ASGS</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完整方法（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各方法路径对比如图1所示，各方法奖励收敛曲线如图2所示。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r>
        <w:br/>
      </w:r>
      <w:r>
        <w:rPr>
          <w:rFonts w:ascii="Times New Roman" w:hAnsi="Times New Roman" w:eastAsia="Times New Roman"/>
          <w:b w:val="0"/>
          <w:sz w:val="21"/>
        </w:rPr>
        <w:t>Fig.1 Path comparison of all methods on the 20×20 map</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r>
        <w:br/>
      </w:r>
      <w:r>
        <w:rPr>
          <w:rFonts w:ascii="Times New Roman" w:hAnsi="Times New Roman" w:eastAsia="Times New Roman"/>
          <w:b w:val="0"/>
          <w:sz w:val="21"/>
        </w:rPr>
        <w:t>Fig.2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完整方法（CAT+耦合+ASGS）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完整方法（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各方法路径对比如图3所示，各方法奖励收敛曲线如图4所示。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r>
        <w:br/>
      </w:r>
      <w:r>
        <w:rPr>
          <w:rFonts w:ascii="Times New Roman" w:hAnsi="Times New Roman" w:eastAsia="Times New Roman"/>
          <w:b w:val="0"/>
          <w:sz w:val="21"/>
        </w:rPr>
        <w:t>Fig.3 Path comparison of all methods on the 30×30 map</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reward_30x30_all.png"/>
                    <pic:cNvPicPr/>
                  </pic:nvPicPr>
                  <pic:blipFill>
                    <a:blip r:embed="rId12"/>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图4 30×30地图奖励收敛曲线</w:t>
      </w:r>
      <w:r>
        <w:br/>
      </w:r>
      <w:r>
        <w:rPr>
          <w:rFonts w:ascii="Times New Roman" w:hAnsi="Times New Roman" w:eastAsia="Times New Roman"/>
          <w:b w:val="0"/>
          <w:sz w:val="21"/>
        </w:rPr>
        <w:t>Fig.4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完整方法（E1AC）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由表3可知，核心方法E1A（以及加入CAT的完整方法E1AC）的训练成功率在两张地图上均为最高：20x20地图上E1A为97.7%±0.8%，完整方法E1AC为97.7%±0.5%，分别较DDQN、Dueling DQN和PER DQN提升约14.2、16.5和13.0个百分点；30x30地图上E1A为96.8%±0.5%，完整方法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完整方法E1AC路径均为22步（20x20）和33步（30x30），未因加入CAT或安全引导而牺牲路径质量。综合来看，完整方法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与传统算法的路径对比如图5所示。</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fig_trad_compare.png"/>
                    <pic:cNvPicPr/>
                  </pic:nvPicPr>
                  <pic:blipFill>
                    <a:blip r:embed="rId13"/>
                    <a:stretch>
                      <a:fillRect/>
                    </a:stretch>
                  </pic:blipFill>
                  <pic:spPr>
                    <a:xfrm>
                      <a:off x="0" y="0"/>
                      <a:ext cx="5486400" cy="3657600"/>
                    </a:xfrm>
                    <a:prstGeom prst="rect"/>
                  </pic:spPr>
                </pic:pic>
              </a:graphicData>
            </a:graphic>
          </wp:inline>
        </w:drawing>
      </w:r>
    </w:p>
    <w:p>
      <w:pPr>
        <w:jc w:val="center"/>
      </w:pPr>
      <w:r>
        <w:rPr>
          <w:rFonts w:ascii="宋体" w:hAnsi="宋体" w:eastAsia="宋体"/>
          <w:b w:val="0"/>
          <w:sz w:val="21"/>
        </w:rPr>
        <w:t>图5 与传统算法对比</w:t>
      </w:r>
      <w:r>
        <w:br/>
      </w:r>
      <w:r>
        <w:rPr>
          <w:rFonts w:ascii="Times New Roman" w:hAnsi="Times New Roman" w:eastAsia="Times New Roman"/>
          <w:b w:val="0"/>
          <w:sz w:val="21"/>
        </w:rPr>
        <w:t>Fig.5 Comparison with traditional algorithms</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6所示。</w:t>
      </w:r>
    </w:p>
    <w:p>
      <w:pPr>
        <w:jc w:val="center"/>
      </w:pPr>
      <w:r>
        <w:drawing>
          <wp:inline xmlns:a="http://schemas.openxmlformats.org/drawingml/2006/main" xmlns:pic="http://schemas.openxmlformats.org/drawingml/2006/picture">
            <wp:extent cx="5486400" cy="1959429"/>
            <wp:docPr id="6" name="Picture 6"/>
            <wp:cNvGraphicFramePr>
              <a:graphicFrameLocks noChangeAspect="1"/>
            </wp:cNvGraphicFramePr>
            <a:graphic>
              <a:graphicData uri="http://schemas.openxmlformats.org/drawingml/2006/picture">
                <pic:pic>
                  <pic:nvPicPr>
                    <pic:cNvPr id="0" name="fig_noise_robustness.png"/>
                    <pic:cNvPicPr/>
                  </pic:nvPicPr>
                  <pic:blipFill>
                    <a:blip r:embed="rId14"/>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图6 噪声鲁棒性对比</w:t>
      </w:r>
      <w:r>
        <w:br/>
      </w:r>
      <w:r>
        <w:rPr>
          <w:rFonts w:ascii="Times New Roman" w:hAnsi="Times New Roman" w:eastAsia="Times New Roman"/>
          <w:b w:val="0"/>
          <w:sz w:val="21"/>
        </w:rPr>
        <w:t>Fig.6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