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r>
        <w:br/>
      </w:r>
      <w:r>
        <w:rPr>
          <w:rFonts w:ascii="Times New Roman" w:hAnsi="Times New Roman" w:eastAsia="Times New Roman"/>
          <w:b w:val="0"/>
          <w:sz w:val="21"/>
        </w:rPr>
        <w:t>Fig.1 Path of S0 Sparse on the 20×20 map</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r>
        <w:br/>
      </w:r>
      <w:r>
        <w:rPr>
          <w:rFonts w:ascii="Times New Roman" w:hAnsi="Times New Roman" w:eastAsia="Times New Roman"/>
          <w:b w:val="0"/>
          <w:sz w:val="21"/>
        </w:rPr>
        <w:t>Fig.2 Path of E1 Coupled on the 20×20 map</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r>
        <w:br/>
      </w:r>
      <w:r>
        <w:rPr>
          <w:rFonts w:ascii="Times New Roman" w:hAnsi="Times New Roman" w:eastAsia="Times New Roman"/>
          <w:b w:val="0"/>
          <w:sz w:val="21"/>
        </w:rPr>
        <w:t>Fig.3 Path of E1A Coupled+ASGS on the 20×20 map</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r>
        <w:br/>
      </w:r>
      <w:r>
        <w:rPr>
          <w:rFonts w:ascii="Times New Roman" w:hAnsi="Times New Roman" w:eastAsia="Times New Roman"/>
          <w:b w:val="0"/>
          <w:sz w:val="21"/>
        </w:rPr>
        <w:t>Fig.4 Path of DDQN on the 20×20 map</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r>
        <w:br/>
      </w:r>
      <w:r>
        <w:rPr>
          <w:rFonts w:ascii="Times New Roman" w:hAnsi="Times New Roman" w:eastAsia="Times New Roman"/>
          <w:b w:val="0"/>
          <w:sz w:val="21"/>
        </w:rPr>
        <w:t>Fig.5 Path of Dueling DQN on the 20×20 map</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r>
        <w:br/>
      </w:r>
      <w:r>
        <w:rPr>
          <w:rFonts w:ascii="Times New Roman" w:hAnsi="Times New Roman" w:eastAsia="Times New Roman"/>
          <w:b w:val="0"/>
          <w:sz w:val="21"/>
        </w:rPr>
        <w:t>Fig.6 Path of PER DQN on the 20×20 map</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r>
        <w:br/>
      </w:r>
      <w:r>
        <w:rPr>
          <w:rFonts w:ascii="Times New Roman" w:hAnsi="Times New Roman" w:eastAsia="Times New Roman"/>
          <w:b w:val="0"/>
          <w:sz w:val="21"/>
        </w:rPr>
        <w:t>Fig.7 Path of E1AC on the 20×20 map</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r>
        <w:br/>
      </w:r>
      <w:r>
        <w:rPr>
          <w:rFonts w:ascii="Times New Roman" w:hAnsi="Times New Roman" w:eastAsia="Times New Roman"/>
          <w:b w:val="0"/>
          <w:sz w:val="21"/>
        </w:rPr>
        <w:t>Fig.8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r>
        <w:br/>
      </w:r>
      <w:r>
        <w:rPr>
          <w:rFonts w:ascii="Times New Roman" w:hAnsi="Times New Roman" w:eastAsia="Times New Roman"/>
          <w:b w:val="0"/>
          <w:sz w:val="21"/>
        </w:rPr>
        <w:t>Fig.9 Path of S0 Sparse on the 30×30 map</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r>
        <w:br/>
      </w:r>
      <w:r>
        <w:rPr>
          <w:rFonts w:ascii="Times New Roman" w:hAnsi="Times New Roman" w:eastAsia="Times New Roman"/>
          <w:b w:val="0"/>
          <w:sz w:val="21"/>
        </w:rPr>
        <w:t>Fig.10 Path of E1 Coupled on the 30×30 map</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r>
        <w:br/>
      </w:r>
      <w:r>
        <w:rPr>
          <w:rFonts w:ascii="Times New Roman" w:hAnsi="Times New Roman" w:eastAsia="Times New Roman"/>
          <w:b w:val="0"/>
          <w:sz w:val="21"/>
        </w:rPr>
        <w:t>Fig.11 Path of E1A Coupled+ASGS on the 30×30 map</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r>
        <w:br/>
      </w:r>
      <w:r>
        <w:rPr>
          <w:rFonts w:ascii="Times New Roman" w:hAnsi="Times New Roman" w:eastAsia="Times New Roman"/>
          <w:b w:val="0"/>
          <w:sz w:val="21"/>
        </w:rPr>
        <w:t>Fig.12 Path of DDQN on the 30×30 map</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r>
        <w:br/>
      </w:r>
      <w:r>
        <w:rPr>
          <w:rFonts w:ascii="Times New Roman" w:hAnsi="Times New Roman" w:eastAsia="Times New Roman"/>
          <w:b w:val="0"/>
          <w:sz w:val="21"/>
        </w:rPr>
        <w:t>Fig.13 Path of Dueling DQN on the 30×30 map</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r>
        <w:br/>
      </w:r>
      <w:r>
        <w:rPr>
          <w:rFonts w:ascii="Times New Roman" w:hAnsi="Times New Roman" w:eastAsia="Times New Roman"/>
          <w:b w:val="0"/>
          <w:sz w:val="21"/>
        </w:rPr>
        <w:t>Fig.14 Path of PER DQN on the 30×30 map</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r>
        <w:br/>
      </w:r>
      <w:r>
        <w:rPr>
          <w:rFonts w:ascii="Times New Roman" w:hAnsi="Times New Roman" w:eastAsia="Times New Roman"/>
          <w:b w:val="0"/>
          <w:sz w:val="21"/>
        </w:rPr>
        <w:t>Fig.15 Path of E1AC on the 30×30 map</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r>
        <w:br/>
      </w:r>
      <w:r>
        <w:rPr>
          <w:rFonts w:ascii="Times New Roman" w:hAnsi="Times New Roman" w:eastAsia="Times New Roman"/>
          <w:b w:val="0"/>
          <w:sz w:val="21"/>
        </w:rPr>
        <w:t>Fig.16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r>
        <w:br/>
      </w:r>
      <w:r>
        <w:rPr>
          <w:rFonts w:ascii="Times New Roman" w:hAnsi="Times New Roman" w:eastAsia="Times New Roman"/>
          <w:b w:val="0"/>
          <w:sz w:val="21"/>
        </w:rPr>
        <w:t>Fig.17 Comparison with traditional algorithms on the 20×20 map</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r>
        <w:br/>
      </w:r>
      <w:r>
        <w:rPr>
          <w:rFonts w:ascii="Times New Roman" w:hAnsi="Times New Roman" w:eastAsia="Times New Roman"/>
          <w:b w:val="0"/>
          <w:sz w:val="21"/>
        </w:rPr>
        <w:t>Fig.18 Comparison with traditional algorithms on the 30×30 map</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r>
        <w:br/>
      </w:r>
      <w:r>
        <w:rPr>
          <w:rFonts w:ascii="Times New Roman" w:hAnsi="Times New Roman" w:eastAsia="Times New Roman"/>
          <w:b w:val="0"/>
          <w:sz w:val="21"/>
        </w:rPr>
        <w:t>Fig.19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