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稀疏基线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稀疏基线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稀疏基线（S0）：稀疏奖励（到达+10/碰撞-1/其他0），MLP网络</w:t>
      </w:r>
    </w:p>
    <w:p>
      <w:pPr>
        <w:pStyle w:val="ListBullet"/>
      </w:pPr>
      <w:r>
        <w:rPr>
          <w:rFonts w:ascii="宋体" w:hAnsi="宋体" w:eastAsia="宋体"/>
          <w:b w:val="0"/>
          <w:sz w:val="24"/>
        </w:rPr>
        <w:t>稀疏+ASGS（S0A）：稀疏奖励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：学习率0.001，批量大小128，折扣因子0.9，epsilon从0.9衰减至0.05（衰减因子0.998），目标网络软更新系数0.005，经验回放池容量30000，训练轮数10000，最大步数20x20为400、30x30为500。</w:t>
      </w:r>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稀疏基线均提升17个百分点，较耦合奖励提升约12.7个百分点。耦合奖励较稀疏基线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1915</w:t>
            </w:r>
          </w:p>
        </w:tc>
        <w:tc>
          <w:tcPr>
            <w:tcW w:type="dxa" w:w="1417"/>
          </w:tcPr>
          <w:p>
            <w:r/>
            <w:r>
              <w:rPr>
                <w:rFonts w:ascii="宋体" w:hAnsi="宋体" w:eastAsia="宋体"/>
                <w:b w:val="0"/>
                <w:sz w:val="21"/>
              </w:rPr>
              <w:t>136.7</w:t>
            </w:r>
          </w:p>
        </w:tc>
        <w:tc>
          <w:tcPr>
            <w:tcW w:type="dxa" w:w="1417"/>
          </w:tcPr>
          <w:p>
            <w:r/>
            <w:r>
              <w:rPr>
                <w:rFonts w:ascii="宋体" w:hAnsi="宋体" w:eastAsia="宋体"/>
                <w:b w:val="0"/>
                <w:sz w:val="21"/>
              </w:rPr>
              <w:t>79.0%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稀疏基线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稀疏基线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干净训练模型在传感器噪声下的测试成功率（均值±标准差，5个随机种子，每个种子200轮Greedy测试）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（1）耦合奖励通过融合距离进度、方向对齐和局部开阔度三个信号，显著提升了DQN的收敛速度和训练稳定性，在20x20和30x30地图上较稀疏基线收敛速度分别提升约4.8倍和2.6倍。</w:t>
      </w:r>
    </w:p>
    <w:p>
      <w:r>
        <w:rPr>
          <w:rFonts w:ascii="宋体" w:hAnsi="宋体" w:eastAsia="宋体"/>
          <w:b w:val="0"/>
          <w:sz w:val="24"/>
        </w:rPr>
        <w:t>（2）核心方法（耦合+ASGS）在两张地图上的训练成功率分别达到97.7%±0.8%和96.8%±0.5%，测试成功率稳定达到100%，较稀疏基线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