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等领域获得广泛应用。路径规划作为移动机器人自主导航的核心技术之一[2]，要求在存在障碍物的环境中，从起点到目标点找出一条安全无碰撞的路径。传统的路径规划算法如Dijkstra算法[3]、A*算法[4]、快速扩展随机树（RRT）算法[5]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Hasselt等[16]提出的Double DQN通过解耦动作选择与价值评估降低Q值过估计；Wang等[17]提出的Dueling DQN将Q值分解为状态价值与动作优势，提升了价值估计的稳定性；Schaul等[18]提出的优先经验回放（PER）按时序差分误差采样，提高样本利用效率。在国内研究中，谢天等[8]、于效民等[9]、李奇儒等[19]分别将改进DQN应用于移动机器人路径规划，验证了深度强化学习方法在未知环境下学习策略的可行性；张磊等[20]通过改进深度双Q网络提升了栅格环境下的路径规划成功率；倪培龙等[21]将A*启发信息与Double DQN结合，改善了早期探索效率；付文浩等[22]将改进Dueling-DQN应用于多无人机路径规划；白泽琨[23]研究了复杂环境下基于强化学习的自主移动机器人路径规划；李海亮等[24]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r>
        <w:br/>
      </w:r>
      <w:r>
        <w:rPr>
          <w:rFonts w:ascii="Times New Roman" w:hAnsi="Times New Roman" w:eastAsia="Times New Roman"/>
          <w:b w:val="0"/>
          <w:sz w:val="21"/>
        </w:rPr>
        <w:t>Fig.1 Path of S0 Sparse on the 20×20 map</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r>
        <w:br/>
      </w:r>
      <w:r>
        <w:rPr>
          <w:rFonts w:ascii="Times New Roman" w:hAnsi="Times New Roman" w:eastAsia="Times New Roman"/>
          <w:b w:val="0"/>
          <w:sz w:val="21"/>
        </w:rPr>
        <w:t>Fig.2 Path of E1 Coupled on the 20×20 map</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r>
        <w:br/>
      </w:r>
      <w:r>
        <w:rPr>
          <w:rFonts w:ascii="Times New Roman" w:hAnsi="Times New Roman" w:eastAsia="Times New Roman"/>
          <w:b w:val="0"/>
          <w:sz w:val="21"/>
        </w:rPr>
        <w:t>Fig.3 Path of E1A Coupled+ASGS on the 20×20 map</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r>
        <w:br/>
      </w:r>
      <w:r>
        <w:rPr>
          <w:rFonts w:ascii="Times New Roman" w:hAnsi="Times New Roman" w:eastAsia="Times New Roman"/>
          <w:b w:val="0"/>
          <w:sz w:val="21"/>
        </w:rPr>
        <w:t>Fig.4 Path of DDQN on the 20×20 map</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r>
        <w:br/>
      </w:r>
      <w:r>
        <w:rPr>
          <w:rFonts w:ascii="Times New Roman" w:hAnsi="Times New Roman" w:eastAsia="Times New Roman"/>
          <w:b w:val="0"/>
          <w:sz w:val="21"/>
        </w:rPr>
        <w:t>Fig.5 Path of Dueling DQN on the 20×20 map</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r>
        <w:br/>
      </w:r>
      <w:r>
        <w:rPr>
          <w:rFonts w:ascii="Times New Roman" w:hAnsi="Times New Roman" w:eastAsia="Times New Roman"/>
          <w:b w:val="0"/>
          <w:sz w:val="21"/>
        </w:rPr>
        <w:t>Fig.6 Path of PER DQN on the 20×20 map</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r>
        <w:br/>
      </w:r>
      <w:r>
        <w:rPr>
          <w:rFonts w:ascii="Times New Roman" w:hAnsi="Times New Roman" w:eastAsia="Times New Roman"/>
          <w:b w:val="0"/>
          <w:sz w:val="21"/>
        </w:rPr>
        <w:t>Fig.7 Path of E1AC on the 20×20 map</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r>
        <w:br/>
      </w:r>
      <w:r>
        <w:rPr>
          <w:rFonts w:ascii="Times New Roman" w:hAnsi="Times New Roman" w:eastAsia="Times New Roman"/>
          <w:b w:val="0"/>
          <w:sz w:val="21"/>
        </w:rPr>
        <w:t>Fig.8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r>
        <w:br/>
      </w:r>
      <w:r>
        <w:rPr>
          <w:rFonts w:ascii="Times New Roman" w:hAnsi="Times New Roman" w:eastAsia="Times New Roman"/>
          <w:b w:val="0"/>
          <w:sz w:val="21"/>
        </w:rPr>
        <w:t>Fig.9 Path of S0 Sparse on the 30×30 map</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r>
        <w:br/>
      </w:r>
      <w:r>
        <w:rPr>
          <w:rFonts w:ascii="Times New Roman" w:hAnsi="Times New Roman" w:eastAsia="Times New Roman"/>
          <w:b w:val="0"/>
          <w:sz w:val="21"/>
        </w:rPr>
        <w:t>Fig.10 Path of E1 Coupled on the 30×30 map</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r>
        <w:br/>
      </w:r>
      <w:r>
        <w:rPr>
          <w:rFonts w:ascii="Times New Roman" w:hAnsi="Times New Roman" w:eastAsia="Times New Roman"/>
          <w:b w:val="0"/>
          <w:sz w:val="21"/>
        </w:rPr>
        <w:t>Fig.11 Path of E1A Coupled+ASGS on the 30×30 map</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r>
        <w:br/>
      </w:r>
      <w:r>
        <w:rPr>
          <w:rFonts w:ascii="Times New Roman" w:hAnsi="Times New Roman" w:eastAsia="Times New Roman"/>
          <w:b w:val="0"/>
          <w:sz w:val="21"/>
        </w:rPr>
        <w:t>Fig.12 Path of DDQN on the 30×30 map</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r>
        <w:br/>
      </w:r>
      <w:r>
        <w:rPr>
          <w:rFonts w:ascii="Times New Roman" w:hAnsi="Times New Roman" w:eastAsia="Times New Roman"/>
          <w:b w:val="0"/>
          <w:sz w:val="21"/>
        </w:rPr>
        <w:t>Fig.13 Path of Dueling DQN on the 30×30 map</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r>
        <w:br/>
      </w:r>
      <w:r>
        <w:rPr>
          <w:rFonts w:ascii="Times New Roman" w:hAnsi="Times New Roman" w:eastAsia="Times New Roman"/>
          <w:b w:val="0"/>
          <w:sz w:val="21"/>
        </w:rPr>
        <w:t>Fig.14 Path of PER DQN on the 30×30 map</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r>
        <w:br/>
      </w:r>
      <w:r>
        <w:rPr>
          <w:rFonts w:ascii="Times New Roman" w:hAnsi="Times New Roman" w:eastAsia="Times New Roman"/>
          <w:b w:val="0"/>
          <w:sz w:val="21"/>
        </w:rPr>
        <w:t>Fig.15 Path of E1AC on the 30×30 map</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r>
        <w:br/>
      </w:r>
      <w:r>
        <w:rPr>
          <w:rFonts w:ascii="Times New Roman" w:hAnsi="Times New Roman" w:eastAsia="Times New Roman"/>
          <w:b w:val="0"/>
          <w:sz w:val="21"/>
        </w:rPr>
        <w:t>Fig.16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r>
        <w:br/>
      </w:r>
      <w:r>
        <w:rPr>
          <w:rFonts w:ascii="Times New Roman" w:hAnsi="Times New Roman" w:eastAsia="Times New Roman"/>
          <w:b w:val="0"/>
          <w:sz w:val="21"/>
        </w:rPr>
        <w:t>Fig.17 Comparison with traditional algorithms on the 20×20 map</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r>
        <w:br/>
      </w:r>
      <w:r>
        <w:rPr>
          <w:rFonts w:ascii="Times New Roman" w:hAnsi="Times New Roman" w:eastAsia="Times New Roman"/>
          <w:b w:val="0"/>
          <w:sz w:val="21"/>
        </w:rPr>
        <w:t>Fig.18 Comparison with traditional algorithms on the 30×30 map</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102.1±0.5（下降5.3%）；去掉方向对齐后降至100.9±0.5（下降6.4%）。在30x30地图上：完整耦合奖励Best50为137.1±5.0；去掉开阔度后降至125.2±4.7（下降8.7%）；去掉方向对齐后降至128.6±1.7（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r>
        <w:br/>
      </w:r>
      <w:r>
        <w:rPr>
          <w:rFonts w:ascii="Times New Roman" w:hAnsi="Times New Roman" w:eastAsia="Times New Roman"/>
          <w:b w:val="0"/>
          <w:sz w:val="21"/>
        </w:rPr>
        <w:t>Fig.19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赵威. 基于改进深度强化学习算法的农业机器人路径规划[J]. (2024).</w:t>
      </w:r>
    </w:p>
    <w:p>
      <w:r>
        <w:rPr>
          <w:rFonts w:ascii="宋体" w:hAnsi="宋体" w:eastAsia="宋体"/>
          <w:b w:val="0"/>
          <w:sz w:val="24"/>
        </w:rPr>
        <w:t>[2] 吴锦涛. 移动机器人路径规划算法研究综述[J]. (2025).</w:t>
      </w:r>
    </w:p>
    <w:p>
      <w:r>
        <w:rPr>
          <w:rFonts w:ascii="宋体" w:hAnsi="宋体" w:eastAsia="宋体"/>
          <w:b w:val="0"/>
          <w:sz w:val="24"/>
        </w:rPr>
        <w:t>[3] Dijkstra E W. A note on two problems in connexion with graphs[J]. Numerische Mathematik, 1959, 1(1): 269-271.</w:t>
      </w:r>
    </w:p>
    <w:p>
      <w:r>
        <w:rPr>
          <w:rFonts w:ascii="宋体" w:hAnsi="宋体" w:eastAsia="宋体"/>
          <w:b w:val="0"/>
          <w:sz w:val="24"/>
        </w:rPr>
        <w:t>[4] Hart P E, Nilsson N J, Raphael B. A formal basis for the heuristic determination of minimum cost paths[J]. IEEE Transactions on Systems Science and Cybernetics, 1968, 4(2): 100-107.</w:t>
      </w:r>
    </w:p>
    <w:p>
      <w:r>
        <w:rPr>
          <w:rFonts w:ascii="宋体" w:hAnsi="宋体" w:eastAsia="宋体"/>
          <w:b w:val="0"/>
          <w:sz w:val="24"/>
        </w:rPr>
        <w:t>[5] LaValle S M. Rapidly-exploring random trees: A new tool for path planning[R]. Iowa State University, 1998.</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Van Hasselt H, Guez A, Silver D. Deep reinforcement learning with double Q-learning[C]. Proceedings of the AAAI Conference on Artificial Intelligence, 2016, 30(1): 2094-2100.</w:t>
      </w:r>
    </w:p>
    <w:p>
      <w:r>
        <w:rPr>
          <w:rFonts w:ascii="宋体" w:hAnsi="宋体" w:eastAsia="宋体"/>
          <w:b w:val="0"/>
          <w:sz w:val="24"/>
        </w:rPr>
        <w:t>[17] Wang Z, Schaul T, Hessel M, et al. Dueling network architectures for deep reinforcement learning[C]. Proceedings of the 33rd International Conference on Machine Learning, 2016: 1995-2003.</w:t>
      </w:r>
    </w:p>
    <w:p>
      <w:r>
        <w:rPr>
          <w:rFonts w:ascii="宋体" w:hAnsi="宋体" w:eastAsia="宋体"/>
          <w:b w:val="0"/>
          <w:sz w:val="24"/>
        </w:rPr>
        <w:t>[18] Schaul T, Quan J, Antonoglou I, et al. Prioritized experience replay[C]. Proceedings of the 4th International Conference on Learning Representations, 2016.</w:t>
      </w:r>
    </w:p>
    <w:p>
      <w:r>
        <w:rPr>
          <w:rFonts w:ascii="宋体" w:hAnsi="宋体" w:eastAsia="宋体"/>
          <w:b w:val="0"/>
          <w:sz w:val="24"/>
        </w:rPr>
        <w:t>[19] 李奇儒, 闫凯. 基于改进DQN算法的机器人路径规划[J]. 计算机工程, 2023, 49(12): 111-120.</w:t>
      </w:r>
    </w:p>
    <w:p>
      <w:r>
        <w:rPr>
          <w:rFonts w:ascii="宋体" w:hAnsi="宋体" w:eastAsia="宋体"/>
          <w:b w:val="0"/>
          <w:sz w:val="24"/>
        </w:rPr>
        <w:t>[20] 张磊. 基于改进深度双Q网络的移动机器人路径规划算法[J]. (2024).</w:t>
      </w:r>
    </w:p>
    <w:p>
      <w:r>
        <w:rPr>
          <w:rFonts w:ascii="宋体" w:hAnsi="宋体" w:eastAsia="宋体"/>
          <w:b w:val="0"/>
          <w:sz w:val="24"/>
        </w:rPr>
        <w:t>[21] 倪培龙. 基于改进A-DDQN算法的机器人路径规划[J]. (2025).</w:t>
      </w:r>
    </w:p>
    <w:p>
      <w:r>
        <w:rPr>
          <w:rFonts w:ascii="宋体" w:hAnsi="宋体" w:eastAsia="宋体"/>
          <w:b w:val="0"/>
          <w:sz w:val="24"/>
        </w:rPr>
        <w:t>[22] 付文浩. 基于改进Dueling-DQN的多无人机路径规划算法[J]. (2024).</w:t>
      </w:r>
    </w:p>
    <w:p>
      <w:r>
        <w:rPr>
          <w:rFonts w:ascii="宋体" w:hAnsi="宋体" w:eastAsia="宋体"/>
          <w:b w:val="0"/>
          <w:sz w:val="24"/>
        </w:rPr>
        <w:t>[23] 白泽琨. 复杂环境下基于强化学习的自主移动机器人路径规划算法研究[D]. (2025).</w:t>
      </w:r>
    </w:p>
    <w:p>
      <w:r>
        <w:rPr>
          <w:rFonts w:ascii="宋体" w:hAnsi="宋体" w:eastAsia="宋体"/>
          <w:b w:val="0"/>
          <w:sz w:val="24"/>
        </w:rPr>
        <w:t>[24] 李海亮. 基于蚁群算法引导深度Q网络的移动机器人路径规划算法[J]. (2025).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