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耦合奖励、交叉注意力与安全引导增强的深度Q网络及其在栅格路径规划中的应用</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稀疏基线提升17和50个百分点），规划成功率稳定达到100%，路径长度与最优算法A*一致；加入CAT后的完整方法在干净地图上与核心方法基本持平，而在20%传感器噪声下CAT-DQN的规划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1 引言</w:t>
      </w:r>
    </w:p>
    <w:p>
      <w:r>
        <w:rPr>
          <w:rFonts w:ascii="宋体" w:hAnsi="宋体" w:eastAsia="宋体"/>
          <w:b w:val="0"/>
          <w:sz w:val="24"/>
        </w:rPr>
        <w:t>移动机器人已在工业制造、物流仓储、医疗服务等领域获得广泛应用。路径规划作为移动机器人自主导航的核心技术之一，要求在存在障碍物的环境中，从起点到目标点找出一条安全无碰撞的路径。传统的路径规划算法如Dijkstra算法[2]、A*算法[3]、快速扩展随机树（RRT）算法[4]以及蚁群算法[5]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温海骏等[12]和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三个改进分别针对奖励引导不足、感知能力弱和探索效率低三个关键问题，彼此互补、共同提升DQN在栅格路径规划中的性能。</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但在20%传感器噪声下规划成功率由6.5%提升至23.4%（提升约17个百分点），在30%噪声下由0.5%提升至3.7%，展现出显著的感知鲁棒性优势。</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稀疏基线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最优规划性能的同时获得噪声环境下的感知鲁棒性。在20×20地图上，三合一（CAT+耦合+ASGS）训练成功率为97.7%±0.5%（3个种子），与CRF+ASGS（97.7%±0.8%）持平；在30×30地图上为95.2%±1.6%（3个种子），与CRF+ASGS（96.8%±0.5%）基本持平；Greedy成功率均稳定为100%。CAT作为可插拔模块，在不损害干净地图规划质量的前提下，将噪声环境下的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Hasselt等[21]提出的Double DQN通过解耦动作选择与价值评估降低Q值过估计；Wang等[22]提出的Dueling DQN将Q值分解为状态价值与动作优势，提升了价值估计的稳定性；Schaul等[23]提出的优先经验回放（PER）按时序差分误差采样，提高样本利用效率。在国内研究中，谢天等[8]、于效民等[9]分别将改进DQN应用于移动机器人路径规划，验证了深度强化学习方法在未知环境下学习策略的可行性；张磊等[24]通过改进深度双Q网络提升了栅格环境下的路径规划成功率；倪培龙等[19]将A*启发信息与Double DQN结合，改善了早期探索效率。上述方法主要从算法框架层面改进，未系统考虑奖励引导、感知表征与探索策略三者之间的协同。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r>
        <w:rPr>
          <w:rFonts w:ascii="宋体" w:hAnsi="宋体" w:eastAsia="宋体"/>
          <w:b w:val="0"/>
          <w:sz w:val="24"/>
        </w:rPr>
        <w:t>R_total = r_dist + r_align + r_open</w:t>
      </w:r>
    </w:p>
    <w:p>
      <w:r>
        <w:rPr>
          <w:rFonts w:ascii="黑体" w:hAnsi="黑体" w:eastAsia="黑体"/>
          <w:b/>
          <w:sz w:val="24"/>
        </w:rPr>
        <w:t>3.2.1 距离进度奖励</w:t>
      </w:r>
    </w:p>
    <w:p>
      <w:r>
        <w:rPr>
          <w:rFonts w:ascii="宋体" w:hAnsi="宋体" w:eastAsia="宋体"/>
          <w:b w:val="0"/>
          <w:sz w:val="24"/>
        </w:rPr>
        <w:t>r_dist = (d_{t-1} - d_t) * beta</w:t>
      </w:r>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r>
        <w:rPr>
          <w:rFonts w:ascii="宋体" w:hAnsi="宋体" w:eastAsia="宋体"/>
          <w:b w:val="0"/>
          <w:sz w:val="24"/>
        </w:rPr>
        <w:t>r_align = alpha * cos(theta - theta_goal)</w:t>
      </w:r>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r>
        <w:rPr>
          <w:rFonts w:ascii="宋体" w:hAnsi="宋体" w:eastAsia="宋体"/>
          <w:b w:val="0"/>
          <w:sz w:val="24"/>
        </w:rPr>
        <w:t>r_open = gamma * (1 - N_obs / 9)</w:t>
      </w:r>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r>
        <w:rPr>
          <w:rFonts w:ascii="宋体" w:hAnsi="宋体" w:eastAsia="宋体"/>
          <w:b w:val="0"/>
          <w:sz w:val="24"/>
        </w:rPr>
        <w:t>P(a_i) = w_i / sum(w_j),  w_i = 0.1 if obs_i = 1 else 1.0</w:t>
      </w:r>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r>
        <w:rPr>
          <w:rFonts w:ascii="宋体" w:hAnsi="宋体" w:eastAsia="宋体"/>
          <w:b w:val="0"/>
          <w:sz w:val="24"/>
        </w:rPr>
        <w:t>Q'(s, a_i) = Q(s, a_i) - lambda * obs_i</w:t>
      </w:r>
    </w:p>
    <w:p>
      <w:r>
        <w:rPr>
          <w:rFonts w:ascii="宋体" w:hAnsi="宋体" w:eastAsia="宋体"/>
          <w:b w:val="0"/>
          <w:sz w:val="24"/>
        </w:rPr>
        <w:t>其中lambda为修正强度系数，其取值根据训练进度动态调整：</w:t>
      </w:r>
    </w:p>
    <w:p>
      <w:r>
        <w:rPr>
          <w:rFonts w:ascii="宋体" w:hAnsi="宋体" w:eastAsia="宋体"/>
          <w:b w:val="0"/>
          <w:sz w:val="24"/>
        </w:rPr>
        <w:t>lambda = 5.0 + 10.0 * (k / K)</w:t>
      </w:r>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稀疏基线（S0）：稀疏奖励（到达+10/碰撞-1/其他0），MLP网络</w:t>
      </w:r>
    </w:p>
    <w:p>
      <w:pPr>
        <w:pStyle w:val="ListBullet"/>
      </w:pPr>
      <w:r>
        <w:rPr>
          <w:rFonts w:ascii="宋体" w:hAnsi="宋体" w:eastAsia="宋体"/>
          <w:b w:val="0"/>
          <w:sz w:val="24"/>
        </w:rPr>
        <w:t>稀疏+ASGS（S0A）：稀疏奖励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三合一（E1AC）：CAT + 耦合奖励 + ASGS（完整方法）</w:t>
      </w:r>
    </w:p>
    <w:p>
      <w:r>
        <w:rPr>
          <w:rFonts w:ascii="宋体" w:hAnsi="宋体" w:eastAsia="宋体"/>
          <w:b/>
          <w:sz w:val="24"/>
        </w:rPr>
        <w:t>超参数</w:t>
      </w:r>
      <w:r>
        <w:rPr>
          <w:rFonts w:ascii="宋体" w:hAnsi="宋体" w:eastAsia="宋体"/>
          <w:b w:val="0"/>
          <w:sz w:val="24"/>
        </w:rPr>
        <w:t>：学习率0.001，批量大小128，折扣因子0.9，epsilon从0.9衰减至0.05（衰减因子0.997），目标网络软更新系数0.005，经验回放池容量30000，训练轮数10000，最大步数20x20为400、30x30为500。</w:t>
      </w:r>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即论文中的规划成功率）、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：核心实验采用3个不同随机种子重复训练，结果以均值±标准差表示；补充实验（S0A、E2、A1、A2）以代表性单次运行展示。</w:t>
      </w:r>
    </w:p>
    <w:p>
      <w:r>
        <w:rPr>
          <w:rFonts w:ascii="黑体" w:hAnsi="黑体" w:eastAsia="黑体"/>
          <w:b/>
          <w:sz w:val="24"/>
        </w:rPr>
        <w:t>4.2 20x20地图实验结果</w:t>
      </w:r>
    </w:p>
    <w:p>
      <w:r>
        <w:rPr>
          <w:rFonts w:ascii="宋体" w:hAnsi="宋体" w:eastAsia="宋体"/>
          <w:b w:val="0"/>
          <w:sz w:val="24"/>
        </w:rPr>
        <w:t>表1 20x20地图实验结果（均值±标准差，3个种子）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1869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97.5%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2150</w:t>
            </w:r>
          </w:p>
        </w:tc>
        <w:tc>
          <w:tcPr>
            <w:tcW w:type="dxa" w:w="1417"/>
          </w:tcPr>
          <w:p>
            <w:r/>
            <w:r>
              <w:rPr>
                <w:rFonts w:ascii="宋体" w:hAnsi="宋体" w:eastAsia="宋体"/>
                <w:b w:val="0"/>
                <w:sz w:val="21"/>
              </w:rPr>
              <w:t>102.8</w:t>
            </w:r>
          </w:p>
        </w:tc>
        <w:tc>
          <w:tcPr>
            <w:tcW w:type="dxa" w:w="1417"/>
          </w:tcPr>
          <w:p>
            <w:r/>
            <w:r>
              <w:rPr>
                <w:rFonts w:ascii="宋体" w:hAnsi="宋体" w:eastAsia="宋体"/>
                <w:b w:val="0"/>
                <w:sz w:val="21"/>
              </w:rPr>
              <w:t>83.0%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2006</w:t>
            </w:r>
          </w:p>
        </w:tc>
        <w:tc>
          <w:tcPr>
            <w:tcW w:type="dxa" w:w="1417"/>
          </w:tcPr>
          <w:p>
            <w:r/>
            <w:r>
              <w:rPr>
                <w:rFonts w:ascii="宋体" w:hAnsi="宋体" w:eastAsia="宋体"/>
                <w:b w:val="0"/>
                <w:sz w:val="21"/>
              </w:rPr>
              <w:t>100.8</w:t>
            </w:r>
          </w:p>
        </w:tc>
        <w:tc>
          <w:tcPr>
            <w:tcW w:type="dxa" w:w="1417"/>
          </w:tcPr>
          <w:p>
            <w:r/>
            <w:r>
              <w:rPr>
                <w:rFonts w:ascii="宋体" w:hAnsi="宋体" w:eastAsia="宋体"/>
                <w:b w:val="0"/>
                <w:sz w:val="21"/>
              </w:rPr>
              <w:t>82.0%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1466</w:t>
            </w:r>
          </w:p>
        </w:tc>
        <w:tc>
          <w:tcPr>
            <w:tcW w:type="dxa" w:w="1417"/>
          </w:tcPr>
          <w:p>
            <w:r/>
            <w:r>
              <w:rPr>
                <w:rFonts w:ascii="宋体" w:hAnsi="宋体" w:eastAsia="宋体"/>
                <w:b w:val="0"/>
                <w:sz w:val="21"/>
              </w:rPr>
              <w:t>109.5</w:t>
            </w:r>
          </w:p>
        </w:tc>
        <w:tc>
          <w:tcPr>
            <w:tcW w:type="dxa" w:w="1417"/>
          </w:tcPr>
          <w:p>
            <w:r/>
            <w:r>
              <w:rPr>
                <w:rFonts w:ascii="宋体" w:hAnsi="宋体" w:eastAsia="宋体"/>
                <w:b w:val="0"/>
                <w:sz w:val="21"/>
              </w:rPr>
              <w:t>87.5%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三合一（CAT+耦合+ASGS）训练成功率为97.7%±0.5%，与E1A持平，说明CAT在干净地图上不损害性能，其价值体现在噪声鲁棒性。两者较稀疏基线均提升17个百分点，较耦合奖励提升约12.7个百分点。耦合奖励较稀疏基线收敛快4.8倍。</w:t>
      </w:r>
    </w:p>
    <w:p>
      <w:r>
        <w:rPr>
          <w:rFonts w:ascii="宋体" w:hAnsi="宋体" w:eastAsia="宋体"/>
          <w:b w:val="0"/>
          <w:sz w:val="24"/>
        </w:rPr>
        <w:t>各方法路径对比与奖励收敛曲线分别如图1、图2所示。</w:t>
      </w:r>
    </w:p>
    <w:p>
      <w:pPr>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fig_paths_20x20_all.png"/>
                    <pic:cNvPicPr/>
                  </pic:nvPicPr>
                  <pic:blipFill>
                    <a:blip r:embed="rId9"/>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图1 20×20地图各方法路径对比</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fig_reward_20x20_all.png"/>
                    <pic:cNvPicPr/>
                  </pic:nvPicPr>
                  <pic:blipFill>
                    <a:blip r:embed="rId10"/>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图2 20×20地图奖励收敛曲线</w:t>
      </w:r>
    </w:p>
    <w:p>
      <w:r>
        <w:rPr>
          <w:rFonts w:ascii="黑体" w:hAnsi="黑体" w:eastAsia="黑体"/>
          <w:b/>
          <w:sz w:val="24"/>
        </w:rPr>
        <w:t>4.3 30x30地图实验结果</w:t>
      </w:r>
    </w:p>
    <w:p>
      <w:r>
        <w:rPr>
          <w:rFonts w:ascii="宋体" w:hAnsi="宋体" w:eastAsia="宋体"/>
          <w:b w:val="0"/>
          <w:sz w:val="24"/>
        </w:rPr>
        <w:t>表2 30x30地图实验结果（均值±标准差，3个种子）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稀疏+ASGS</w:t>
            </w:r>
          </w:p>
        </w:tc>
        <w:tc>
          <w:tcPr>
            <w:tcW w:type="dxa" w:w="1417"/>
          </w:tcPr>
          <w:p>
            <w:r/>
            <w:r>
              <w:rPr>
                <w:rFonts w:ascii="宋体" w:hAnsi="宋体" w:eastAsia="宋体"/>
                <w:b w:val="0"/>
                <w:sz w:val="21"/>
              </w:rPr>
              <w:t>7731</w:t>
            </w:r>
          </w:p>
        </w:tc>
        <w:tc>
          <w:tcPr>
            <w:tcW w:type="dxa" w:w="1417"/>
          </w:tcPr>
          <w:p>
            <w:r/>
            <w:r>
              <w:rPr>
                <w:rFonts w:ascii="宋体" w:hAnsi="宋体" w:eastAsia="宋体"/>
                <w:b w:val="0"/>
                <w:sz w:val="21"/>
              </w:rPr>
              <w:t>4.1</w:t>
            </w:r>
          </w:p>
        </w:tc>
        <w:tc>
          <w:tcPr>
            <w:tcW w:type="dxa" w:w="1417"/>
          </w:tcPr>
          <w:p>
            <w:r/>
            <w:r>
              <w:rPr>
                <w:rFonts w:ascii="宋体" w:hAnsi="宋体" w:eastAsia="宋体"/>
                <w:b w:val="0"/>
                <w:sz w:val="21"/>
              </w:rPr>
              <w:t>1.5%</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7130</w:t>
            </w:r>
          </w:p>
        </w:tc>
        <w:tc>
          <w:tcPr>
            <w:tcW w:type="dxa" w:w="1417"/>
          </w:tcPr>
          <w:p>
            <w:r/>
            <w:r>
              <w:rPr>
                <w:rFonts w:ascii="宋体" w:hAnsi="宋体" w:eastAsia="宋体"/>
                <w:b w:val="0"/>
                <w:sz w:val="21"/>
              </w:rPr>
              <w:t>127.3</w:t>
            </w:r>
          </w:p>
        </w:tc>
        <w:tc>
          <w:tcPr>
            <w:tcW w:type="dxa" w:w="1417"/>
          </w:tcPr>
          <w:p>
            <w:r/>
            <w:r>
              <w:rPr>
                <w:rFonts w:ascii="宋体" w:hAnsi="宋体" w:eastAsia="宋体"/>
                <w:b w:val="0"/>
                <w:sz w:val="21"/>
              </w:rPr>
              <w:t>85.0%</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2778</w:t>
            </w:r>
          </w:p>
        </w:tc>
        <w:tc>
          <w:tcPr>
            <w:tcW w:type="dxa" w:w="1417"/>
          </w:tcPr>
          <w:p>
            <w:r/>
            <w:r>
              <w:rPr>
                <w:rFonts w:ascii="宋体" w:hAnsi="宋体" w:eastAsia="宋体"/>
                <w:b w:val="0"/>
                <w:sz w:val="21"/>
              </w:rPr>
              <w:t>130.6</w:t>
            </w:r>
          </w:p>
        </w:tc>
        <w:tc>
          <w:tcPr>
            <w:tcW w:type="dxa" w:w="1417"/>
          </w:tcPr>
          <w:p>
            <w:r/>
            <w:r>
              <w:rPr>
                <w:rFonts w:ascii="宋体" w:hAnsi="宋体" w:eastAsia="宋体"/>
                <w:b w:val="0"/>
                <w:sz w:val="21"/>
              </w:rPr>
              <w:t>82.5%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稀疏基线极不稳定（训练成功率46.8%±34.4%，3次中有1次完全失败），而核心方法（耦合+ASGS）稳定达到96.8%±0.5%。三合一（CAT+耦合+ASGS，3个seed）训练成功率为95.2%±1.6%，与核心方法基本持平（略低1.6个百分点但保持在95%以上），验证CAT在干净地图上不损害30x30的规划性能。耦合奖励较稀疏基线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各方法路径对比如图3所示。</w:t>
      </w:r>
    </w:p>
    <w:p>
      <w:pPr>
        <w:jc w:val="center"/>
      </w:pPr>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fig_paths_30x30_all.png"/>
                    <pic:cNvPicPr/>
                  </pic:nvPicPr>
                  <pic:blipFill>
                    <a:blip r:embed="rId11"/>
                    <a:stretch>
                      <a:fillRect/>
                    </a:stretch>
                  </pic:blipFill>
                  <pic:spPr>
                    <a:xfrm>
                      <a:off x="0" y="0"/>
                      <a:ext cx="5486400" cy="2743200"/>
                    </a:xfrm>
                    <a:prstGeom prst="rect"/>
                  </pic:spPr>
                </pic:pic>
              </a:graphicData>
            </a:graphic>
          </wp:inline>
        </w:drawing>
      </w:r>
    </w:p>
    <w:p>
      <w:pPr>
        <w:jc w:val="center"/>
      </w:pPr>
      <w:r>
        <w:rPr>
          <w:rFonts w:ascii="宋体" w:hAnsi="宋体" w:eastAsia="宋体"/>
          <w:b w:val="0"/>
          <w:sz w:val="21"/>
        </w:rPr>
        <w:t>图3 30×30地图各方法路径对比</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DQN进行对比。所有对比方法均采用与本文一致的耦合奖励和MLP网络，每种方法使用3个随机种子重复训练，对比指标为训练时间、收敛轮数、规划成功率和路径长度，结果如表3所示。</w:t>
      </w:r>
    </w:p>
    <w:p>
      <w:r>
        <w:rPr>
          <w:rFonts w:ascii="宋体" w:hAnsi="宋体" w:eastAsia="宋体"/>
          <w:b w:val="0"/>
          <w:sz w:val="24"/>
        </w:rPr>
        <w:t>表3 与改进DQN算法对比（均值±标准差，3个种子）</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规划成功率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稀疏基线</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由表3可知，核心方法E1A（以及加入CAT的三合一E1AC）的规划成功率在两张地图上均为最高：20x20地图上E1A为97.7%±0.8%，三合一E1AC为97.7%±0.5%，分别较DDQN、Dueling DQN和PER DQN提升约14.2、16.5和13.0个百分点；30x30地图上E1A为96.8%±0.5%，三合一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三合一E1AC路径均为22步（20x20）和33步（30x30），未因加入CAT或安全引导而牺牲路径质量。综合来看，三合一在保持与E1A基本相当的规划性能的同时，通过CAT获得了噪声环境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r>
        <w:rPr>
          <w:rFonts w:ascii="宋体" w:hAnsi="宋体" w:eastAsia="宋体"/>
          <w:b w:val="0"/>
          <w:sz w:val="24"/>
        </w:rPr>
        <w:t>表4 与传统算法对比</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路径对比如图4所示。</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_trad_compare_20x20.png"/>
                    <pic:cNvPicPr/>
                  </pic:nvPicPr>
                  <pic:blipFill>
                    <a:blip r:embed="rId12"/>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图4(a) 20×20地图与传统算法对比</w:t>
      </w:r>
    </w:p>
    <w:p>
      <w:pPr>
        <w:jc w:val="center"/>
      </w:pPr>
      <w:r>
        <w:drawing>
          <wp:inline xmlns:a="http://schemas.openxmlformats.org/drawingml/2006/main" xmlns:pic="http://schemas.openxmlformats.org/drawingml/2006/picture">
            <wp:extent cx="5486400" cy="1828800"/>
            <wp:docPr id="5" name="Picture 5"/>
            <wp:cNvGraphicFramePr>
              <a:graphicFrameLocks noChangeAspect="1"/>
            </wp:cNvGraphicFramePr>
            <a:graphic>
              <a:graphicData uri="http://schemas.openxmlformats.org/drawingml/2006/picture">
                <pic:pic>
                  <pic:nvPicPr>
                    <pic:cNvPr id="0" name="fig_trad_compare_30x30.png"/>
                    <pic:cNvPicPr/>
                  </pic:nvPicPr>
                  <pic:blipFill>
                    <a:blip r:embed="rId13"/>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图4(b) 30×30地图与传统算法对比</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102.8（下降4.3%）；去掉方向对齐后降至100.8（下降6.3%）。在30x30地图上：完整耦合奖励Best50为140.8；去掉开阔度后降至127.3（下降13.5）；去掉方向对齐后降至130.6（下降10.2）。两个奖励分量在两张地图上均对性能有正贡献，方向对齐的贡献略大于开阔度。</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r>
        <w:rPr>
          <w:rFonts w:ascii="宋体" w:hAnsi="宋体" w:eastAsia="宋体"/>
          <w:b w:val="0"/>
          <w:sz w:val="24"/>
        </w:rPr>
        <w:t>表5 干净训练模型在传感器噪声下的规划成功率（均值±标准差，5个随机种子，每个种子200轮Greedy测试）</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进一步地，在20%噪声环境中训练模型后，30%噪声下CAT（98.0%）仍比MLP（94.5%）高3.5个百分点。噪声鲁棒性对比如图5所示。</w:t>
      </w:r>
    </w:p>
    <w:p>
      <w:pPr>
        <w:jc w:val="center"/>
      </w:pPr>
      <w:r>
        <w:drawing>
          <wp:inline xmlns:a="http://schemas.openxmlformats.org/drawingml/2006/main" xmlns:pic="http://schemas.openxmlformats.org/drawingml/2006/picture">
            <wp:extent cx="5486400" cy="3918857"/>
            <wp:docPr id="6" name="Picture 6"/>
            <wp:cNvGraphicFramePr>
              <a:graphicFrameLocks noChangeAspect="1"/>
            </wp:cNvGraphicFramePr>
            <a:graphic>
              <a:graphicData uri="http://schemas.openxmlformats.org/drawingml/2006/picture">
                <pic:pic>
                  <pic:nvPicPr>
                    <pic:cNvPr id="0" name="fig_noise_robustness.png"/>
                    <pic:cNvPicPr/>
                  </pic:nvPicPr>
                  <pic:blipFill>
                    <a:blip r:embed="rId14"/>
                    <a:stretch>
                      <a:fillRect/>
                    </a:stretch>
                  </pic:blipFill>
                  <pic:spPr>
                    <a:xfrm>
                      <a:off x="0" y="0"/>
                      <a:ext cx="5486400" cy="3918857"/>
                    </a:xfrm>
                    <a:prstGeom prst="rect"/>
                  </pic:spPr>
                </pic:pic>
              </a:graphicData>
            </a:graphic>
          </wp:inline>
        </w:drawing>
      </w:r>
    </w:p>
    <w:p>
      <w:pPr>
        <w:jc w:val="center"/>
      </w:pPr>
      <w:r>
        <w:rPr>
          <w:rFonts w:ascii="宋体" w:hAnsi="宋体" w:eastAsia="宋体"/>
          <w:b w:val="0"/>
          <w:sz w:val="21"/>
        </w:rPr>
        <w:t>图5 噪声鲁棒性对比</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（1）耦合奖励通过融合距离进度、方向对齐和局部开阔度三个信号，显著提升了DQN的收敛速度和训练稳定性，在20x20和30x30地图上较稀疏基线收敛速度分别提升约4.8倍和2.6倍。</w:t>
      </w:r>
    </w:p>
    <w:p>
      <w:r>
        <w:rPr>
          <w:rFonts w:ascii="宋体" w:hAnsi="宋体" w:eastAsia="宋体"/>
          <w:b w:val="0"/>
          <w:sz w:val="24"/>
        </w:rPr>
        <w:t>（2）核心方法（耦合+ASGS）在两张地图上的训练成功率分别达到97.7%±0.8%和96.8%±0.5%，规划成功率稳定达到100%，较稀疏基线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（3）CAT-DQN通过双分支交叉注意力架构，在20%传感器噪声下规划成功率较传统MLP提升约17个百分点，展现出良好的噪声鲁棒性。</w:t>
      </w:r>
    </w:p>
    <w:p>
      <w:r>
        <w:rPr>
          <w:rFonts w:ascii="宋体" w:hAnsi="宋体" w:eastAsia="宋体"/>
          <w:b w:val="0"/>
          <w:sz w:val="24"/>
        </w:rPr>
        <w:t>本文方法目前以静态栅格地图为主要验证场景。未来工作将把所提方法扩展到动态障碍物环境和部分可观测场景，并探索与其他深度强化学习算法（如Dueling DQN、Double DQN）的结合。</w:t>
      </w:r>
    </w:p>
    <w:p>
      <w:r>
        <w:rPr>
          <w:rFonts w:ascii="黑体" w:hAnsi="黑体" w:eastAsia="黑体"/>
          <w:b/>
          <w:sz w:val="28"/>
        </w:rPr>
        <w:t>参考文献</w:t>
      </w:r>
    </w:p>
    <w:p>
      <w:r>
        <w:rPr>
          <w:rFonts w:ascii="宋体" w:hAnsi="宋体" w:eastAsia="宋体"/>
          <w:b w:val="0"/>
          <w:sz w:val="24"/>
        </w:rPr>
        <w:t>[1] 吴锦涛. 移动机器人路径规划算法研究综述[J]. (2025).</w:t>
      </w:r>
    </w:p>
    <w:p>
      <w:r>
        <w:rPr>
          <w:rFonts w:ascii="宋体" w:hAnsi="宋体" w:eastAsia="宋体"/>
          <w:b w:val="0"/>
          <w:sz w:val="24"/>
        </w:rPr>
        <w:t>[2] Dijkstra E W. A note on two problems in connexion with graphs[J]. Numerische Mathematik, 1959, 1(1): 269-271.</w:t>
      </w:r>
    </w:p>
    <w:p>
      <w:r>
        <w:rPr>
          <w:rFonts w:ascii="宋体" w:hAnsi="宋体" w:eastAsia="宋体"/>
          <w:b w:val="0"/>
          <w:sz w:val="24"/>
        </w:rPr>
        <w:t>[3] Hart P E, Nilsson N J, Raphael B. A formal basis for the heuristic determination of minimum cost paths[J]. IEEE Transactions on Systems Science and Cybernetics, 1968, 4(2): 100-107.</w:t>
      </w:r>
    </w:p>
    <w:p>
      <w:r>
        <w:rPr>
          <w:rFonts w:ascii="宋体" w:hAnsi="宋体" w:eastAsia="宋体"/>
          <w:b w:val="0"/>
          <w:sz w:val="24"/>
        </w:rPr>
        <w:t>[4] LaValle S M. Rapidly-exploring random trees: A new tool for path planning[R]. Iowa State University, 1998.</w:t>
      </w:r>
    </w:p>
    <w:p>
      <w:r>
        <w:rPr>
          <w:rFonts w:ascii="宋体" w:hAnsi="宋体" w:eastAsia="宋体"/>
          <w:b w:val="0"/>
          <w:sz w:val="24"/>
        </w:rPr>
        <w:t>[5] 李海亮. 基于蚁群算法引导深度Q网络的移动机器人路径规划算法[J]. (2025).</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李奇儒, 闫凯. 基于改进DQN算法的机器人路径规划[J]. 计算机工程, 2023, 49(12): 111-120.</w:t>
      </w:r>
    </w:p>
    <w:p>
      <w:r>
        <w:rPr>
          <w:rFonts w:ascii="宋体" w:hAnsi="宋体" w:eastAsia="宋体"/>
          <w:b w:val="0"/>
          <w:sz w:val="24"/>
        </w:rPr>
        <w:t>[17] 赵威. 基于改进深度强化学习算法的农业机器人路径规划[J]. (2024).</w:t>
      </w:r>
    </w:p>
    <w:p>
      <w:r>
        <w:rPr>
          <w:rFonts w:ascii="宋体" w:hAnsi="宋体" w:eastAsia="宋体"/>
          <w:b w:val="0"/>
          <w:sz w:val="24"/>
        </w:rPr>
        <w:t>[18] 白泽琨. 复杂环境下基于强化学习的自主移动机器人路径规划算法研究[D]. (2025).</w:t>
      </w:r>
    </w:p>
    <w:p>
      <w:r>
        <w:rPr>
          <w:rFonts w:ascii="宋体" w:hAnsi="宋体" w:eastAsia="宋体"/>
          <w:b w:val="0"/>
          <w:sz w:val="24"/>
        </w:rPr>
        <w:t>[19] 倪培龙. 基于改进A-DDQN算法的机器人路径规划[J]. (2025).</w:t>
      </w:r>
    </w:p>
    <w:p>
      <w:r>
        <w:rPr>
          <w:rFonts w:ascii="宋体" w:hAnsi="宋体" w:eastAsia="宋体"/>
          <w:b w:val="0"/>
          <w:sz w:val="24"/>
        </w:rPr>
        <w:t>[20] 付文浩. 基于改进Dueling-DQN的多无人机路径规划算法[J]. (2024).</w:t>
      </w:r>
    </w:p>
    <w:p>
      <w:r>
        <w:rPr>
          <w:rFonts w:ascii="宋体" w:hAnsi="宋体" w:eastAsia="宋体"/>
          <w:b w:val="0"/>
          <w:sz w:val="24"/>
        </w:rPr>
        <w:t>[21] Van Hasselt H, Guez A, Silver D. Deep reinforcement learning with double Q-learning[C]. Proceedings of the AAAI Conference on Artificial Intelligence, 2016, 30(1): 2094-2100.</w:t>
      </w:r>
    </w:p>
    <w:p>
      <w:r>
        <w:rPr>
          <w:rFonts w:ascii="宋体" w:hAnsi="宋体" w:eastAsia="宋体"/>
          <w:b w:val="0"/>
          <w:sz w:val="24"/>
        </w:rPr>
        <w:t>[22] Wang Z, Schaul T, Hessel M, et al. Dueling network architectures for deep reinforcement learning[C]. Proceedings of the 33rd International Conference on Machine Learning, 2016: 1995-2003.</w:t>
      </w:r>
    </w:p>
    <w:p>
      <w:r>
        <w:rPr>
          <w:rFonts w:ascii="宋体" w:hAnsi="宋体" w:eastAsia="宋体"/>
          <w:b w:val="0"/>
          <w:sz w:val="24"/>
        </w:rPr>
        <w:t>[23] Schaul T, Quan J, Antonoglou I, et al. Prioritized experience replay[C]. Proceedings of the 4th International Conference on Learning Representations, 2016.</w:t>
      </w:r>
    </w:p>
    <w:p>
      <w:r>
        <w:rPr>
          <w:rFonts w:ascii="宋体" w:hAnsi="宋体" w:eastAsia="宋体"/>
          <w:b w:val="0"/>
          <w:sz w:val="24"/>
        </w:rPr>
        <w:t>[24] 张磊. 基于改进深度双Q网络的移动机器人路径规划算法[J]. (2024).</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