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基于改进DQN的移动机器人路径规划</w:t>
      </w:r>
    </w:p>
    <w:p>
      <w:r>
        <w:rPr>
          <w:rFonts w:ascii="黑体" w:hAnsi="黑体" w:eastAsia="黑体"/>
          <w:b/>
          <w:sz w:val="28"/>
        </w:rPr>
        <w:t>摘要</w:t>
      </w:r>
    </w:p>
    <w:p>
      <w:r>
        <w:rPr>
          <w:rFonts w:ascii="宋体" w:hAnsi="宋体" w:eastAsia="宋体"/>
          <w:b w:val="0"/>
          <w:sz w:val="24"/>
        </w:rPr>
        <w:t>针对传统深度Q网络（DQN）在移动机器人路径规划中存在的奖励引导不足、噪声环境下感知能力弱以及探索效率低等问题，本文提出耦合奖励函数（Coupled Reward Function, CRF）、双分支交叉注意力网络（Cross-Attention Transformer DQN, CAT-DQN）与自适应安全引导策略（Adaptive Safety-Guided Strategy, ASGS）三种改进，并将其集成为完整方法CR-ASGS-CAT-DQN。CRF将距离进度奖励、方向对齐奖励与局部开阔度奖励三者耦合，从趋近性、方向性和安全性三个维度为价值更新提供密集的引导信号；CAT-DQN将目标信息与障碍物信息分离编码，并通过交叉注意力进行融合，借助5步历史信息增强噪声环境下的感知鲁棒性；ASGS通过安全加权探索与随训练进度增强的Q值软性惩罚，降低探索过程中的无效碰撞。在20×20与30×30栅格地图上的实验结果表明，CRF与ASGS结合的核心方法训练成功率分别达到97.7%和96.8%，较基准DQN分别提升17和50个百分点，测试成功率达100%，路径长度与A*算法一致；在此基础上引入CAT的完整方法在无噪声环境下与核心方法基本持平，而在20×20地图的20%传感器噪声下，CAT-DQN的测试成功率较传统MLP提升约17个百分点。消融实验验证了方向对齐奖励与局部开阔度奖励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Abstract</w:t>
      </w:r>
    </w:p>
    <w:p>
      <w:r>
        <w:rPr>
          <w:rFonts w:ascii="宋体" w:hAnsi="宋体" w:eastAsia="宋体"/>
          <w:b w:val="0"/>
          <w:sz w:val="24"/>
        </w:rPr>
        <w:t>Path planning for mobile robots based on improved DQN</w:t>
      </w:r>
    </w:p>
    <w:p>
      <w:r>
        <w:rPr>
          <w:rFonts w:ascii="宋体" w:hAnsi="宋体" w:eastAsia="宋体"/>
          <w:b w:val="0"/>
          <w:sz w:val="24"/>
        </w:rPr>
        <w:t>To address the problems of insufficient reward guidance, weak perception under sensor noise, and low exploration efficiency in Deep Q-Network (DQN) based path planning for mobile robots, this paper proposes three improvements—a coupled reward function (CRF), a dual-branch cross-attention transformer network (CAT-DQN), and an adaptive safety-guided strategy (ASGS)—and integrates them into a complete method termed CR-ASGS-CAT-DQN. The CRF couples distance-progress, direction-alignment, and local-openness rewards to provide dense guidance signals from the perspectives of approach, direction, and safety. The CAT-DQN separates goal information from obstacle information into two branches and fuses them through cross-attention, using a five-step history to enhance perceptual robustness under sensor noise. The ASGS reduces invalid collisions during exploration through safety-weighted exploration and an adaptive Q-value penalty that strengthens with training progress. Experiments on 20×20 and 30×30 grid maps show that the core method (CRF+ASGS) achieves training success rates of 97.7% and 96.8%, respectively—17 and 50 percentage points higher than the baseline DQN—with a test success rate of 100% and path lengths consistent with the A* algorithm. Incorporating CAT keeps the noise-free performance essentially unchanged, while under 20% sensor noise on the 20×20 map, CAT-DQN improves the test success rate by about 17 percentage points over a conventional MLP. Ablation studies verify the effectiveness of the direction-alignment and local-openness reward components.</w:t>
      </w:r>
    </w:p>
    <w:p>
      <w:r>
        <w:rPr>
          <w:rFonts w:ascii="宋体" w:hAnsi="宋体" w:eastAsia="宋体"/>
          <w:b/>
          <w:sz w:val="24"/>
        </w:rPr>
        <w:t>Keywords</w:t>
      </w:r>
      <w:r>
        <w:rPr>
          <w:rFonts w:ascii="宋体" w:hAnsi="宋体" w:eastAsia="宋体"/>
          <w:b w:val="0"/>
          <w:sz w:val="24"/>
        </w:rPr>
        <w:t>: Deep Q-Network; path planning; coupled reward; safety-guided exploration; cross-attention</w:t>
      </w:r>
    </w:p>
    <w:p>
      <w:r>
        <w:rPr>
          <w:rFonts w:ascii="黑体" w:hAnsi="黑体" w:eastAsia="黑体"/>
          <w:b/>
          <w:sz w:val="28"/>
        </w:rPr>
        <w:t>1 引言</w:t>
      </w:r>
    </w:p>
    <w:p>
      <w:r>
        <w:rPr>
          <w:rFonts w:ascii="宋体" w:hAnsi="宋体" w:eastAsia="宋体"/>
          <w:b w:val="0"/>
          <w:sz w:val="24"/>
        </w:rPr>
        <w:t>移动机器人已在工业制造、物流仓储、医疗服务、农业[1]等领域获得广泛应用。路径规划作为移动机器人自主导航的核心技术之一[2]，要求在存在障碍物的环境中，从起点到目标点规划出一条安全无碰撞的路径。传统的路径规划算法如Dijkstra算法[3]、A*算法[4]、快速扩展随机树（RRT）算法[5]以及蚁群算法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三方面不足：其一，仅关注是否接近目标，而忽略了移动方向是否正确这一关键信息，导致机器人可能出现远离目标再折返的迂回路径；其二，未考虑局部障碍物分布，在障碍物密集区域，距离奖励仍可能为正，引导机器人走向不安全的区域；其三，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与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ε-greedy策略：以概率ε随机选择动作，以概率1-ε选择当前Q值最大的动作。在路径规划中，状态向量包含8个方向的障碍标志obs_i，直接反映了各方向的可通行性。然而，传统ε-greedy策略在随机探索时对所有动作等概率采样，未利用obs_i提供的信息。这意味着即使obs_i=1（第i个方向有障碍物），该方向仍以1/8的概率被选中，导致大量无效碰撞。田箫源等[11]设计了一种动态探索因子，根据训练进度调整ε值，在训练后期侧重利用已有知识，但其改进作用于ε值本身，未解决随机探索中方向选择的无偏性问题。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和46.8%提升至85.0%和75.2%，收敛轮数分别缩短约4.8倍和2.6倍；消融实验表明方向对齐奖励与局部开阔度奖励两个分量均具有正贡献。</w:t>
      </w:r>
    </w:p>
    <w:p>
      <w:r>
        <w:rPr>
          <w:rFonts w:ascii="宋体" w:hAnsi="宋体" w:eastAsia="宋体"/>
          <w:b w:val="0"/>
          <w:sz w:val="24"/>
        </w:rPr>
        <w:t>（2）提出双分支交叉注意力网络（Cross-Attention Transformer DQN, CAT-DQN），针对传感器噪声环境下感知能力弱的问题。将状态空间中的目标信息（dx, dy, dist）与障碍物信息（obs0~obs7）拆分为两个独立分支，分别通过自注意力编码各自时序变化，再由交叉注意力融合：目标分支作为Query主动查询障碍分支的障碍物分布，实现目标导向与障碍规避的差异化推理。该结构区别于现有方法[13-14]的单通路自注意力架构。CAT-DQN在无噪声环境下与MLP性能相当，在20×20地图的20%传感器噪声下将测试成功率由6.5%提升至23.4%（提升约17个百分点），展现出面向稀疏障碍场景的感知鲁棒性优势；在障碍密集的30×30地图上该增益减弱，表明其抗噪能力与地图障碍密度相关。</w:t>
      </w:r>
    </w:p>
    <w:p>
      <w:r>
        <w:rPr>
          <w:rFonts w:ascii="宋体" w:hAnsi="宋体" w:eastAsia="宋体"/>
          <w:b w:val="0"/>
          <w:sz w:val="24"/>
        </w:rPr>
        <w:t>（3）提出自适应安全引导策略（Adaptive Safety-Guided Strategy, ASGS），针对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较耦合奖励提升21.6个百分点，较基准DQN提升50.0个百分点，明显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与核心方法相当的规划性能的同时获得噪声环境下的感知鲁棒性。在20×20地图上，完整方法（CAT+耦合+ASGS）训练成功率为97.7%（3个种子），与CRF+ASGS（97.7%）持平；在30×30地图上为95.2%（3个种子），与CRF+ASGS（96.8%）基本持平；Greedy成功率均稳定为100%。CAT作为可插拔模块，在保持无噪声环境下规划质量的同时，在稀疏障碍地图（20×20）的噪声环境下将感知鲁棒性提升约17个百分点。</w:t>
      </w:r>
    </w:p>
    <w:p>
      <w:r>
        <w:rPr>
          <w:rFonts w:ascii="宋体" w:hAnsi="宋体" w:eastAsia="宋体"/>
          <w:b w:val="0"/>
          <w:sz w:val="24"/>
        </w:rPr>
        <w:t>本文的组织结构如下：第2节介绍相关工作；第3节介绍问题描述与DQN基础，并详细介绍耦合奖励函数、Cross-Attention Transformer网络结构和自适应安全引导策略三个改进方法的设计细节；第4节给出实验设置与实验结果分析；第5节总结全文并展望未来工作。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深度强化学习将感知与决策相结合，已在移动机器人路径规划中得到广泛应用。Mnih等[7]提出的DQN通过经验回放与目标网络解决了Q-learning在复杂状态空间中的收敛问题；Van Hasselt等[16]提出的Double DQN通过解耦动作选择与价值评估降低Q值过估计；Wang等[17]提出的Dueling DQN将Q值分解为状态价值与动作优势，提升了价值估计的稳定性；Schaul等[18]提出的优先经验回放（PER）按时序差分误差采样，提高样本利用效率。在国内研究中，谢天等[8]、于效民等[9]、李奇儒等[19]分别将改进DQN应用于移动机器人路径规划，验证了深度强化学习方法在未知环境下学习策略的可行性；张磊等[20]通过改进深度双Q网络提升了栅格环境下的路径规划成功率；倪培龙等[21]将A*启发信息与Double DQN结合，改善了早期探索效率；付文浩等[22]将改进Dueling-DQN应用于多无人机路径规划；白泽琨[23]研究了复杂环境下基于强化学习的自主移动机器人路径规划；李海亮等[24]利用蚁群算法引导深度Q网络进行路径规划。上述研究主要从算法结构、奖励设计或探索策略等层面进行改进，对奖励引导、感知表征与探索策略之间协同关系的研究仍相对有限。</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对齐与局部开阔度引入奖励信号，使DQN在趋近目标的同时兼顾移动方向的正确性与路径的局部安全性。</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DAQN），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ε，温海骏等[12]与张君等[15]利用人工势场引导动作选取；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γ)。其中状态空间S包含11维特征：目标相对位置(dx, dy)、目标距离(dist)以及8个方向的障碍标志(obs0~obs7)；动作空间A包含8个方向（上、下、左、右及四个对角方向）；P为状态转移概率；R为奖励函数；γ为折扣因子。强化学习交互过程如图1所示。</w:t>
      </w:r>
    </w:p>
    <w:p>
      <w:pPr>
        <w:jc w:val="center"/>
      </w:pPr>
      <w:r>
        <w:drawing>
          <wp:inline xmlns:a="http://schemas.openxmlformats.org/drawingml/2006/main" xmlns:pic="http://schemas.openxmlformats.org/drawingml/2006/picture">
            <wp:extent cx="5486400" cy="3526971"/>
            <wp:docPr id="1" name="Picture 1"/>
            <wp:cNvGraphicFramePr>
              <a:graphicFrameLocks noChangeAspect="1"/>
            </wp:cNvGraphicFramePr>
            <a:graphic>
              <a:graphicData uri="http://schemas.openxmlformats.org/drawingml/2006/picture">
                <pic:pic>
                  <pic:nvPicPr>
                    <pic:cNvPr id="0" name="fig_rl_interaction.png"/>
                    <pic:cNvPicPr/>
                  </pic:nvPicPr>
                  <pic:blipFill>
                    <a:blip r:embed="rId9"/>
                    <a:stretch>
                      <a:fillRect/>
                    </a:stretch>
                  </pic:blipFill>
                  <pic:spPr>
                    <a:xfrm>
                      <a:off x="0" y="0"/>
                      <a:ext cx="5486400" cy="3526971"/>
                    </a:xfrm>
                    <a:prstGeom prst="rect"/>
                  </pic:spPr>
                </pic:pic>
              </a:graphicData>
            </a:graphic>
          </wp:inline>
        </w:drawing>
      </w:r>
    </w:p>
    <w:p>
      <w:pPr>
        <w:jc w:val="center"/>
      </w:pPr>
      <w:r>
        <w:rPr>
          <w:rFonts w:ascii="宋体" w:hAnsi="宋体" w:eastAsia="宋体"/>
          <w:b w:val="0"/>
          <w:sz w:val="21"/>
        </w:rPr>
        <w:t>图1 强化学习交互过程</w:t>
      </w:r>
      <w:r>
        <w:br/>
      </w:r>
      <w:r>
        <w:rPr>
          <w:rFonts w:ascii="Times New Roman" w:hAnsi="Times New Roman" w:eastAsia="Times New Roman"/>
          <w:b w:val="0"/>
          <w:sz w:val="21"/>
        </w:rPr>
        <w:t>Fig.1 Reinforcement learning interaction process</w:t>
      </w:r>
    </w:p>
    <w:p>
      <w:r>
        <w:rPr>
          <w:rFonts w:ascii="宋体" w:hAnsi="宋体" w:eastAsia="宋体"/>
          <w:b w:val="0"/>
          <w:sz w:val="24"/>
        </w:rPr>
        <w:t>DQN利用深度神经网络Q(s,a;theta)逼近最优动作价值函数，通过最小化时序差分误差更新网络参数。其中theta-为目标网络参数，由当前网络周期性复制得到。DQN的训练结构如图2所示。</w:t>
      </w:r>
    </w:p>
    <w:p>
      <w:pPr>
        <w:jc w:val="center"/>
      </w:pPr>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fig_dqn_structure.png"/>
                    <pic:cNvPicPr/>
                  </pic:nvPicPr>
                  <pic:blipFill>
                    <a:blip r:embed="rId10"/>
                    <a:stretch>
                      <a:fillRect/>
                    </a:stretch>
                  </pic:blipFill>
                  <pic:spPr>
                    <a:xfrm>
                      <a:off x="0" y="0"/>
                      <a:ext cx="5486400" cy="3352800"/>
                    </a:xfrm>
                    <a:prstGeom prst="rect"/>
                  </pic:spPr>
                </pic:pic>
              </a:graphicData>
            </a:graphic>
          </wp:inline>
        </w:drawing>
      </w:r>
    </w:p>
    <w:p>
      <w:pPr>
        <w:jc w:val="center"/>
      </w:pPr>
      <w:r>
        <w:rPr>
          <w:rFonts w:ascii="宋体" w:hAnsi="宋体" w:eastAsia="宋体"/>
          <w:b w:val="0"/>
          <w:sz w:val="21"/>
        </w:rPr>
        <w:t>图2 DQN训练结构</w:t>
      </w:r>
      <w:r>
        <w:br/>
      </w:r>
      <w:r>
        <w:rPr>
          <w:rFonts w:ascii="Times New Roman" w:hAnsi="Times New Roman" w:eastAsia="Times New Roman"/>
          <w:b w:val="0"/>
          <w:sz w:val="21"/>
        </w:rPr>
        <w:t>Fig.2 DQN training structure</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pPr>
        <w:jc w:val="center"/>
      </w:pPr>
      <m:oMathPara>
        <m:oMath>
          <m:sSub>
            <m:e>
              <m:r>
                <m:t>R</m:t>
              </m:r>
            </m:e>
            <m:sub>
              <m:r>
                <m:t>total</m:t>
              </m:r>
            </m:sub>
          </m:sSub>
          <m:r>
            <m:t>=</m:t>
          </m:r>
          <m:sSub>
            <m:e>
              <m:r>
                <m:t>r</m:t>
              </m:r>
            </m:e>
            <m:sub>
              <m:r>
                <m:t>dist</m:t>
              </m:r>
            </m:sub>
          </m:sSub>
          <m:r>
            <m:t>+</m:t>
          </m:r>
          <m:sSub>
            <m:e>
              <m:r>
                <m:t>r</m:t>
              </m:r>
            </m:e>
            <m:sub>
              <m:r>
                <m:t>align</m:t>
              </m:r>
            </m:sub>
          </m:sSub>
          <m:r>
            <m:t>+</m:t>
          </m:r>
          <m:sSub>
            <m:e>
              <m:r>
                <m:t>r</m:t>
              </m:r>
            </m:e>
            <m:sub>
              <m:r>
                <m:t>open</m:t>
              </m:r>
            </m:sub>
          </m:sSub>
        </m:oMath>
      </m:oMathPara>
    </w:p>
    <w:p>
      <w:r>
        <w:rPr>
          <w:rFonts w:ascii="黑体" w:hAnsi="黑体" w:eastAsia="黑体"/>
          <w:b/>
          <w:sz w:val="24"/>
        </w:rPr>
        <w:t>3.2.1 距离进度奖励</w:t>
      </w:r>
    </w:p>
    <w:p>
      <w:pPr>
        <w:jc w:val="center"/>
      </w:pPr>
      <m:oMathPara>
        <m:oMath>
          <m:sSub>
            <m:e>
              <m:r>
                <m:t>r</m:t>
              </m:r>
            </m:e>
            <m:sub>
              <m:r>
                <m:t>dist</m:t>
              </m:r>
            </m:sub>
          </m:sSub>
          <m:r>
            <m:t>=</m:t>
          </m:r>
          <m:d>
            <m:dPr>
              <m:begChr m:val="("/>
              <m:endChr m:val=")"/>
            </m:dPr>
            <m:e>
              <m:sSub>
                <m:e>
                  <m:r>
                    <m:t>d</m:t>
                  </m:r>
                </m:e>
                <m:sub>
                  <m:r>
                    <m:t>t-1</m:t>
                  </m:r>
                </m:sub>
              </m:sSub>
              <m:r>
                <m:t>−</m:t>
              </m:r>
              <m:sSub>
                <m:e>
                  <m:r>
                    <m:t>d</m:t>
                  </m:r>
                </m:e>
                <m:sub>
                  <m:r>
                    <m:t>t</m:t>
                  </m:r>
                </m:sub>
              </m:sSub>
            </m:e>
          </m:d>
          <m:r>
            <m:t>·</m:t>
          </m:r>
          <m:r>
            <m:t>β</m:t>
          </m:r>
        </m:oMath>
      </m:oMathPara>
    </w:p>
    <w:p>
      <w:r>
        <w:rPr>
          <w:rFonts w:ascii="宋体" w:hAnsi="宋体" w:eastAsia="宋体"/>
          <w:b w:val="0"/>
          <w:sz w:val="24"/>
        </w:rPr>
        <w:t>其中d_t为t时刻机器人与目标点的欧氏距离，beta=2.0为距离奖励系数。该奖励保留了传统距离奖励的核心思想，鼓励机器人趋近目标。</w:t>
      </w:r>
    </w:p>
    <w:p>
      <w:r>
        <w:rPr>
          <w:rFonts w:ascii="黑体" w:hAnsi="黑体" w:eastAsia="黑体"/>
          <w:b/>
          <w:sz w:val="24"/>
        </w:rPr>
        <w:t>3.2.2 方向对齐奖励</w:t>
      </w:r>
    </w:p>
    <w:p>
      <w:pPr>
        <w:jc w:val="center"/>
      </w:pPr>
      <m:oMathPara>
        <m:oMath>
          <m:sSub>
            <m:e>
              <m:r>
                <m:t>r</m:t>
              </m:r>
            </m:e>
            <m:sub>
              <m:r>
                <m:t>align</m:t>
              </m:r>
            </m:sub>
          </m:sSub>
          <m:r>
            <m:t>=</m:t>
          </m:r>
          <m:r>
            <m:t>α</m:t>
          </m:r>
          <m:r>
            <m:t>·</m:t>
          </m:r>
          <m:r>
            <m:t>cos</m:t>
          </m:r>
          <m:d>
            <m:dPr>
              <m:begChr m:val="("/>
              <m:endChr m:val=")"/>
            </m:dPr>
            <m:e>
              <m:r>
                <m:t>θ</m:t>
              </m:r>
              <m:r>
                <m:t>−</m:t>
              </m:r>
              <m:sSub>
                <m:e>
                  <m:r>
                    <m:t>θ</m:t>
                  </m:r>
                </m:e>
                <m:sub>
                  <m:r>
                    <m:t>goal</m:t>
                  </m:r>
                </m:sub>
              </m:sSub>
            </m:e>
          </m:d>
        </m:oMath>
      </m:oMathPara>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theta_goal)约等于1，获得正向奖励；当机器人背离子目标方向移动时，获得负向奖励。与距离奖励不同，距离奖励仅关注是否趋近目标，而方向对齐奖励关注移动方向是否正确。</w:t>
      </w:r>
    </w:p>
    <w:p>
      <w:r>
        <w:rPr>
          <w:rFonts w:ascii="黑体" w:hAnsi="黑体" w:eastAsia="黑体"/>
          <w:b/>
          <w:sz w:val="24"/>
        </w:rPr>
        <w:t>3.2.3 局部开阔度奖励</w:t>
      </w:r>
    </w:p>
    <w:p>
      <w:pPr>
        <w:jc w:val="center"/>
      </w:pPr>
      <m:oMathPara>
        <m:oMath>
          <m:sSub>
            <m:e>
              <m:r>
                <m:t>r</m:t>
              </m:r>
            </m:e>
            <m:sub>
              <m:r>
                <m:t>open</m:t>
              </m:r>
            </m:sub>
          </m:sSub>
          <m:r>
            <m:t>=</m:t>
          </m:r>
          <m:r>
            <m:t>γ</m:t>
          </m:r>
          <m:r>
            <m:t>·</m:t>
          </m:r>
          <m:d>
            <m:dPr>
              <m:begChr m:val="("/>
              <m:endChr m:val=")"/>
            </m:dPr>
            <m:e>
              <m:r>
                <m:t>1</m:t>
              </m:r>
              <m:r>
                <m:t>−</m:t>
              </m:r>
              <m:f>
                <m:num>
                  <m:sSub>
                    <m:e>
                      <m:r>
                        <m:t>N</m:t>
                      </m:r>
                    </m:e>
                    <m:sub>
                      <m:r>
                        <m:t>obs</m:t>
                      </m:r>
                    </m:sub>
                  </m:sSub>
                </m:num>
                <m:den>
                  <m:r>
                    <m:t>9</m:t>
                  </m:r>
                </m:den>
              </m:f>
            </m:e>
          </m:d>
        </m:oMath>
      </m:oMathPara>
    </w:p>
    <w:p>
      <w:r>
        <w:rPr>
          <w:rFonts w:ascii="宋体" w:hAnsi="宋体" w:eastAsia="宋体"/>
          <w:b w:val="0"/>
          <w:sz w:val="24"/>
        </w:rPr>
        <w:t>其中γ=0.3为开阔度系数；N_obs为子目标周围3×3邻域内的障碍物网格数。当子目标周围无障碍物时，openness=1，获得最大奖励0.3；当子目标周围充满障碍物时，openness=0，奖励为零。该奖励引导机器人优先选择局部开阔度较高的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传统MLP将目标信息与障碍物信息混合在同一特征空间中，难以区分目标导向与障碍规避两个本质不同的推理任务。为此，本文提出CAT-DQN，其结构如下：</w:t>
      </w:r>
    </w:p>
    <w:p>
      <w:r>
        <w:rPr>
          <w:rFonts w:ascii="宋体" w:hAnsi="宋体" w:eastAsia="宋体"/>
          <w:b w:val="0"/>
          <w:sz w:val="24"/>
        </w:rPr>
        <w:t>（1）双分支输入：将11维状态拆分为目标分支（Agent-Goal Branch，含dx, dy, dist）和障碍分支（Obstacle Branch，含obs0~obs7）。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（3）交叉注意力融合：目标分支作为Query，主动查询障碍分支的障碍物分布（Key/Value），实现目标导向与障碍规避的协同决策。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对目标信息和障碍物信息进行差异化建模，有助于提升网络对两类信息的特征表征能力，并结合5步历史信息增强噪声环境下的状态表征鲁棒性。CAT-DQN的网络结构如图3所示。</w:t>
      </w:r>
    </w:p>
    <w:p>
      <w:pPr>
        <w:jc w:val="center"/>
      </w:pPr>
      <w:r>
        <w:drawing>
          <wp:inline xmlns:a="http://schemas.openxmlformats.org/drawingml/2006/main" xmlns:pic="http://schemas.openxmlformats.org/drawingml/2006/picture">
            <wp:extent cx="5486400" cy="3962400"/>
            <wp:docPr id="3" name="Picture 3"/>
            <wp:cNvGraphicFramePr>
              <a:graphicFrameLocks noChangeAspect="1"/>
            </wp:cNvGraphicFramePr>
            <a:graphic>
              <a:graphicData uri="http://schemas.openxmlformats.org/drawingml/2006/picture">
                <pic:pic>
                  <pic:nvPicPr>
                    <pic:cNvPr id="0" name="fig_cat_structure.png"/>
                    <pic:cNvPicPr/>
                  </pic:nvPicPr>
                  <pic:blipFill>
                    <a:blip r:embed="rId11"/>
                    <a:stretch>
                      <a:fillRect/>
                    </a:stretch>
                  </pic:blipFill>
                  <pic:spPr>
                    <a:xfrm>
                      <a:off x="0" y="0"/>
                      <a:ext cx="5486400" cy="3962400"/>
                    </a:xfrm>
                    <a:prstGeom prst="rect"/>
                  </pic:spPr>
                </pic:pic>
              </a:graphicData>
            </a:graphic>
          </wp:inline>
        </w:drawing>
      </w:r>
    </w:p>
    <w:p>
      <w:pPr>
        <w:jc w:val="center"/>
      </w:pPr>
      <w:r>
        <w:rPr>
          <w:rFonts w:ascii="宋体" w:hAnsi="宋体" w:eastAsia="宋体"/>
          <w:b w:val="0"/>
          <w:sz w:val="21"/>
        </w:rPr>
        <w:t>图3 CAT-DQN网络结构</w:t>
      </w:r>
      <w:r>
        <w:br/>
      </w:r>
      <w:r>
        <w:rPr>
          <w:rFonts w:ascii="Times New Roman" w:hAnsi="Times New Roman" w:eastAsia="Times New Roman"/>
          <w:b w:val="0"/>
          <w:sz w:val="21"/>
        </w:rPr>
        <w:t>Fig.3 CAT-DQN network structure</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在探索阶段，传统ε-greedy策略对所有方向等概率随机选择，未利用障碍信息。本文根据各方向的安全程度分配选择概率：</w:t>
      </w:r>
    </w:p>
    <w:p>
      <w:pPr>
        <w:jc w:val="center"/>
      </w:pPr>
      <m:oMathPara>
        <m:oMath>
          <m:r>
            <m:t>P</m:t>
          </m:r>
          <m:d>
            <m:dPr>
              <m:begChr m:val="("/>
              <m:endChr m:val=")"/>
            </m:dPr>
            <m:e>
              <m:sSub>
                <m:e>
                  <m:r>
                    <m:t>a</m:t>
                  </m:r>
                </m:e>
                <m:sub>
                  <m:r>
                    <m:t>i</m:t>
                  </m:r>
                </m:sub>
              </m:sSub>
            </m:e>
          </m:d>
          <m:r>
            <m:t>=</m:t>
          </m:r>
          <m:sSub>
            <m:e>
              <m:r>
                <m:t>w</m:t>
              </m:r>
            </m:e>
            <m:sub>
              <m:r>
                <m:t>i</m:t>
              </m:r>
            </m:sub>
          </m:sSub>
          <m:r>
            <m:t>/</m:t>
          </m:r>
          <m:nary>
            <m:naryPr>
              <m:chr m:val="∑"/>
              <m:limLoc m:val="undOvr"/>
            </m:naryPr>
            <m:sub>
              <m:r>
                <m:t>j</m:t>
              </m:r>
            </m:sub>
            <m:sup>
              <m:r>
                <m:t/>
              </m:r>
            </m:sup>
            <m:e>
              <m:sSub>
                <m:e>
                  <m:r>
                    <m:t>w</m:t>
                  </m:r>
                </m:e>
                <m:sub>
                  <m:r>
                    <m:t>j</m:t>
                  </m:r>
                </m:sub>
              </m:sSub>
            </m:e>
          </m:nary>
          <m:r>
            <m:t>,  </m:t>
          </m:r>
          <m:sSub>
            <m:e>
              <m:r>
                <m:t>w</m:t>
              </m:r>
            </m:e>
            <m:sub>
              <m:r>
                <m:t>i</m:t>
              </m:r>
            </m:sub>
          </m:sSub>
          <m:r>
            <m:t>=</m:t>
          </m:r>
          <m:d>
            <m:dPr>
              <m:begChr m:val="{"/>
              <m:endChr m:val=""/>
            </m:dPr>
            <m:e>
              <m:eqArr>
                <m:e>
                  <m:r>
                    <m:t>0.1, if </m:t>
                  </m:r>
                  <m:sSub>
                    <m:e>
                      <m:r>
                        <m:t>obs</m:t>
                      </m:r>
                    </m:e>
                    <m:sub>
                      <m:r>
                        <m:t>i</m:t>
                      </m:r>
                    </m:sub>
                  </m:sSub>
                  <m:r>
                    <m:t> = 1</m:t>
                  </m:r>
                </m:e>
                <m:e>
                  <m:r>
                    <m:t>1.0, otherwise</m:t>
                  </m:r>
                </m:e>
              </m:eqArr>
            </m:e>
          </m:d>
        </m:oMath>
      </m:oMathPara>
    </w:p>
    <w:p>
      <w:r>
        <w:rPr>
          <w:rFonts w:ascii="宋体" w:hAnsi="宋体" w:eastAsia="宋体"/>
          <w:b w:val="0"/>
          <w:sz w:val="24"/>
        </w:rPr>
        <w:t>在该机制下，安全方向被选择的概率远高于不安全方向，但保留了约1/10的探索可能性，避免因过度屏蔽而遗漏潜在可行路径。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pPr>
        <w:jc w:val="center"/>
      </w:pPr>
      <m:oMathPara>
        <m:oMath>
          <m:sSup>
            <m:e>
              <m:r>
                <m:t>Q</m:t>
              </m:r>
            </m:e>
            <m:sup>
              <m:r>
                <m:t>′</m:t>
              </m:r>
            </m:sup>
          </m:sSup>
          <m:d>
            <m:dPr>
              <m:begChr m:val="("/>
              <m:endChr m:val=")"/>
            </m:dPr>
            <m:e>
              <m:r>
                <m:t>s,</m:t>
              </m:r>
              <m:sSub>
                <m:e>
                  <m:r>
                    <m:t>a</m:t>
                  </m:r>
                </m:e>
                <m:sub>
                  <m:r>
                    <m:t>i</m:t>
                  </m:r>
                </m:sub>
              </m:sSub>
            </m:e>
          </m:d>
          <m:r>
            <m:t>=</m:t>
          </m:r>
          <m:r>
            <m:t>Q</m:t>
          </m:r>
          <m:d>
            <m:dPr>
              <m:begChr m:val="("/>
              <m:endChr m:val=")"/>
            </m:dPr>
            <m:e>
              <m:r>
                <m:t>s,</m:t>
              </m:r>
              <m:sSub>
                <m:e>
                  <m:r>
                    <m:t>a</m:t>
                  </m:r>
                </m:e>
                <m:sub>
                  <m:r>
                    <m:t>i</m:t>
                  </m:r>
                </m:sub>
              </m:sSub>
            </m:e>
          </m:d>
          <m:r>
            <m:t>−</m:t>
          </m:r>
          <m:r>
            <m:t>λ</m:t>
          </m:r>
          <m:r>
            <m:t>·</m:t>
          </m:r>
          <m:sSub>
            <m:e>
              <m:r>
                <m:t>obs</m:t>
              </m:r>
            </m:e>
            <m:sub>
              <m:r>
                <m:t>i</m:t>
              </m:r>
            </m:sub>
          </m:sSub>
        </m:oMath>
      </m:oMathPara>
    </w:p>
    <w:p>
      <w:r>
        <w:rPr>
          <w:rFonts w:ascii="宋体" w:hAnsi="宋体" w:eastAsia="宋体"/>
          <w:b w:val="0"/>
          <w:sz w:val="24"/>
        </w:rPr>
        <w:t>其中λ为修正强度系数，其取值根据训练进度动态调整：</w:t>
      </w:r>
    </w:p>
    <w:p>
      <w:pPr>
        <w:jc w:val="center"/>
      </w:pPr>
      <m:oMathPara>
        <m:oMath>
          <m:r>
            <m:t>λ</m:t>
          </m:r>
          <m:r>
            <m:t>=</m:t>
          </m:r>
          <m:r>
            <m:t>5.0</m:t>
          </m:r>
          <m:r>
            <m:t>+</m:t>
          </m:r>
          <m:r>
            <m:t>10.0</m:t>
          </m:r>
          <m:r>
            <m:t>·</m:t>
          </m:r>
          <m:f>
            <m:num>
              <m:r>
                <m:t>k</m:t>
              </m:r>
            </m:num>
            <m:den>
              <m:r>
                <m:t>K</m:t>
              </m:r>
            </m:den>
          </m:f>
        </m:oMath>
      </m:oMathPara>
    </w:p>
    <w:p>
      <w:r>
        <w:rPr>
          <w:rFonts w:ascii="宋体" w:hAnsi="宋体" w:eastAsia="宋体"/>
          <w:b w:val="0"/>
          <w:sz w:val="24"/>
        </w:rPr>
        <w:t>其中k为当前训练轮数，K为总训练轮数。训练前期，网络对环境认识尚不充分，λ取值较小（约5），允许选择不安全方向进行必要的探索；训练后期，网络已基本收敛，λ取值较大（约15），有效压制不安全方向，确保最终策略的安全性。λ随训练进度变化如图4所示。</w:t>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_lambda_curve.png"/>
                    <pic:cNvPicPr/>
                  </pic:nvPicPr>
                  <pic:blipFill>
                    <a:blip r:embed="rId12"/>
                    <a:stretch>
                      <a:fillRect/>
                    </a:stretch>
                  </pic:blipFill>
                  <pic:spPr>
                    <a:xfrm>
                      <a:off x="0" y="0"/>
                      <a:ext cx="5486400" cy="3657600"/>
                    </a:xfrm>
                    <a:prstGeom prst="rect"/>
                  </pic:spPr>
                </pic:pic>
              </a:graphicData>
            </a:graphic>
          </wp:inline>
        </w:drawing>
      </w:r>
    </w:p>
    <w:p>
      <w:pPr>
        <w:jc w:val="center"/>
      </w:pPr>
      <w:r>
        <w:rPr>
          <w:rFonts w:ascii="宋体" w:hAnsi="宋体" w:eastAsia="宋体"/>
          <w:b w:val="0"/>
          <w:sz w:val="21"/>
        </w:rPr>
        <w:t>图4 ASGS修正强度λ随训练进度变化</w:t>
      </w:r>
      <w:r>
        <w:br/>
      </w:r>
      <w:r>
        <w:rPr>
          <w:rFonts w:ascii="Times New Roman" w:hAnsi="Times New Roman" w:eastAsia="Times New Roman"/>
          <w:b w:val="0"/>
          <w:sz w:val="21"/>
        </w:rPr>
        <w:t>Fig.4 ASGS strength λ vs training progress</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物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λ（默认15.0）的Q值修正，与训练利用阶段的决策规则一致。完整方法的训练流程如图5所示。</w:t>
      </w:r>
    </w:p>
    <w:p>
      <w:pPr>
        <w:jc w:val="center"/>
      </w:pPr>
      <w:r>
        <w:drawing>
          <wp:inline xmlns:a="http://schemas.openxmlformats.org/drawingml/2006/main" xmlns:pic="http://schemas.openxmlformats.org/drawingml/2006/picture">
            <wp:extent cx="5486400" cy="3962400"/>
            <wp:docPr id="5" name="Picture 5"/>
            <wp:cNvGraphicFramePr>
              <a:graphicFrameLocks noChangeAspect="1"/>
            </wp:cNvGraphicFramePr>
            <a:graphic>
              <a:graphicData uri="http://schemas.openxmlformats.org/drawingml/2006/picture">
                <pic:pic>
                  <pic:nvPicPr>
                    <pic:cNvPr id="0" name="fig_training_flow.png"/>
                    <pic:cNvPicPr/>
                  </pic:nvPicPr>
                  <pic:blipFill>
                    <a:blip r:embed="rId13"/>
                    <a:stretch>
                      <a:fillRect/>
                    </a:stretch>
                  </pic:blipFill>
                  <pic:spPr>
                    <a:xfrm>
                      <a:off x="0" y="0"/>
                      <a:ext cx="5486400" cy="3962400"/>
                    </a:xfrm>
                    <a:prstGeom prst="rect"/>
                  </pic:spPr>
                </pic:pic>
              </a:graphicData>
            </a:graphic>
          </wp:inline>
        </w:drawing>
      </w:r>
    </w:p>
    <w:p>
      <w:pPr>
        <w:jc w:val="center"/>
      </w:pPr>
      <w:r>
        <w:rPr>
          <w:rFonts w:ascii="宋体" w:hAnsi="宋体" w:eastAsia="宋体"/>
          <w:b w:val="0"/>
          <w:sz w:val="21"/>
        </w:rPr>
        <w:t>图5 完整方法训练流程</w:t>
      </w:r>
      <w:r>
        <w:br/>
      </w:r>
      <w:r>
        <w:rPr>
          <w:rFonts w:ascii="Times New Roman" w:hAnsi="Times New Roman" w:eastAsia="Times New Roman"/>
          <w:b w:val="0"/>
          <w:sz w:val="21"/>
        </w:rPr>
        <w:t>Fig.5 Training flow of the complete method</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：采用20×20和30×30两种栅格地图。20×20地图包含38个障碍物（密度9.5%），起点(1,1)，终点(18,18)；30×30地图包含135个障碍物（密度15%，含三层屏障），起点(2,2)，终点(28,28)。栅格地图如图6所示。</w:t>
      </w:r>
    </w:p>
    <w:p>
      <w:pPr>
        <w:jc w:val="center"/>
      </w:pPr>
      <w:r>
        <w:drawing>
          <wp:inline xmlns:a="http://schemas.openxmlformats.org/drawingml/2006/main" xmlns:pic="http://schemas.openxmlformats.org/drawingml/2006/picture">
            <wp:extent cx="5486400" cy="2743200"/>
            <wp:docPr id="6" name="Picture 6"/>
            <wp:cNvGraphicFramePr>
              <a:graphicFrameLocks noChangeAspect="1"/>
            </wp:cNvGraphicFramePr>
            <a:graphic>
              <a:graphicData uri="http://schemas.openxmlformats.org/drawingml/2006/picture">
                <pic:pic>
                  <pic:nvPicPr>
                    <pic:cNvPr id="0" name="fig_grid_maps.png"/>
                    <pic:cNvPicPr/>
                  </pic:nvPicPr>
                  <pic:blipFill>
                    <a:blip r:embed="rId14"/>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图6 栅格地图</w:t>
      </w:r>
      <w:r>
        <w:br/>
      </w:r>
      <w:r>
        <w:rPr>
          <w:rFonts w:ascii="Times New Roman" w:hAnsi="Times New Roman" w:eastAsia="Times New Roman"/>
          <w:b w:val="0"/>
          <w:sz w:val="21"/>
        </w:rPr>
        <w:t>Fig.6 Grid maps</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基准DQN（S0）：稀疏奖励（到达+10/碰撞-1/其他0），MLP网络</w:t>
      </w:r>
    </w:p>
    <w:p>
      <w:pPr>
        <w:pStyle w:val="ListBullet"/>
      </w:pPr>
      <w:r>
        <w:rPr>
          <w:rFonts w:ascii="宋体" w:hAnsi="宋体" w:eastAsia="宋体"/>
          <w:b w:val="0"/>
          <w:sz w:val="24"/>
        </w:rPr>
        <w:t>基准DQN+ASGS（S0A）：稀疏奖励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核心方法（E1A）：耦合+ASGS（不含CAT）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完整方法（E1AC）：CAT + 耦合奖励 + ASGS</w:t>
      </w:r>
    </w:p>
    <w:p>
      <w:r>
        <w:rPr>
          <w:rFonts w:ascii="宋体" w:hAnsi="宋体" w:eastAsia="宋体"/>
          <w:b/>
          <w:sz w:val="24"/>
        </w:rPr>
        <w:t>超参数</w:t>
      </w:r>
      <w:r>
        <w:rPr>
          <w:rFonts w:ascii="宋体" w:hAnsi="宋体" w:eastAsia="宋体"/>
          <w:b w:val="0"/>
          <w:sz w:val="24"/>
        </w:rPr>
        <w:t>如下表所示：</w:t>
      </w:r>
    </w:p>
    <w:tbl>
      <w:tblPr>
        <w:tblStyle w:val="TableGrid"/>
        <w:tblW w:type="auto" w:w="0"/>
        <w:tblLook w:firstColumn="1" w:firstRow="1" w:lastColumn="0" w:lastRow="0" w:noHBand="0" w:noVBand="1" w:val="04A0"/>
      </w:tblPr>
      <w:tblGrid>
        <w:gridCol w:w="4252"/>
        <w:gridCol w:w="4252"/>
      </w:tblGrid>
      <w:tr>
        <w:tc>
          <w:tcPr>
            <w:tcW w:type="dxa" w:w="4252"/>
          </w:tcPr>
          <w:p>
            <w:r>
              <w:rPr>
                <w:b/>
              </w:rPr>
            </w:r>
            <w:r>
              <w:rPr>
                <w:rFonts w:ascii="宋体" w:hAnsi="宋体" w:eastAsia="宋体"/>
                <w:b/>
                <w:sz w:val="21"/>
              </w:rPr>
              <w:t>超参数</w:t>
            </w:r>
          </w:p>
        </w:tc>
        <w:tc>
          <w:tcPr>
            <w:tcW w:type="dxa" w:w="4252"/>
          </w:tcPr>
          <w:p>
            <w:r>
              <w:rPr>
                <w:b/>
              </w:rPr>
            </w:r>
            <w:r>
              <w:rPr>
                <w:rFonts w:ascii="宋体" w:hAnsi="宋体" w:eastAsia="宋体"/>
                <w:b/>
                <w:sz w:val="21"/>
              </w:rPr>
              <w:t>取值</w:t>
            </w:r>
          </w:p>
        </w:tc>
      </w:tr>
      <w:tr>
        <w:tc>
          <w:tcPr>
            <w:tcW w:type="dxa" w:w="4252"/>
          </w:tcPr>
          <w:p>
            <w:r/>
            <w:r>
              <w:rPr>
                <w:rFonts w:ascii="宋体" w:hAnsi="宋体" w:eastAsia="宋体"/>
                <w:b w:val="0"/>
                <w:sz w:val="21"/>
              </w:rPr>
              <w:t>学习率</w:t>
            </w:r>
          </w:p>
        </w:tc>
        <w:tc>
          <w:tcPr>
            <w:tcW w:type="dxa" w:w="4252"/>
          </w:tcPr>
          <w:p>
            <w:r/>
            <w:r>
              <w:rPr>
                <w:rFonts w:ascii="宋体" w:hAnsi="宋体" w:eastAsia="宋体"/>
                <w:b w:val="0"/>
                <w:sz w:val="21"/>
              </w:rPr>
              <w:t>0.001</w:t>
            </w:r>
          </w:p>
        </w:tc>
      </w:tr>
      <w:tr>
        <w:tc>
          <w:tcPr>
            <w:tcW w:type="dxa" w:w="4252"/>
          </w:tcPr>
          <w:p>
            <w:r/>
            <w:r>
              <w:rPr>
                <w:rFonts w:ascii="宋体" w:hAnsi="宋体" w:eastAsia="宋体"/>
                <w:b w:val="0"/>
                <w:sz w:val="21"/>
              </w:rPr>
              <w:t>批量大小</w:t>
            </w:r>
          </w:p>
        </w:tc>
        <w:tc>
          <w:tcPr>
            <w:tcW w:type="dxa" w:w="4252"/>
          </w:tcPr>
          <w:p>
            <w:r/>
            <w:r>
              <w:rPr>
                <w:rFonts w:ascii="宋体" w:hAnsi="宋体" w:eastAsia="宋体"/>
                <w:b w:val="0"/>
                <w:sz w:val="21"/>
              </w:rPr>
              <w:t>128</w:t>
            </w:r>
          </w:p>
        </w:tc>
      </w:tr>
      <w:tr>
        <w:tc>
          <w:tcPr>
            <w:tcW w:type="dxa" w:w="4252"/>
          </w:tcPr>
          <w:p>
            <w:r/>
            <w:r>
              <w:rPr>
                <w:rFonts w:ascii="宋体" w:hAnsi="宋体" w:eastAsia="宋体"/>
                <w:b w:val="0"/>
                <w:sz w:val="21"/>
              </w:rPr>
              <w:t>折扣因子 γ</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ε 初始值</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ε 终止值</w:t>
            </w:r>
          </w:p>
        </w:tc>
        <w:tc>
          <w:tcPr>
            <w:tcW w:type="dxa" w:w="4252"/>
          </w:tcPr>
          <w:p>
            <w:r/>
            <w:r>
              <w:rPr>
                <w:rFonts w:ascii="宋体" w:hAnsi="宋体" w:eastAsia="宋体"/>
                <w:b w:val="0"/>
                <w:sz w:val="21"/>
              </w:rPr>
              <w:t>0.05</w:t>
            </w:r>
          </w:p>
        </w:tc>
      </w:tr>
      <w:tr>
        <w:tc>
          <w:tcPr>
            <w:tcW w:type="dxa" w:w="4252"/>
          </w:tcPr>
          <w:p>
            <w:r/>
            <w:r>
              <w:rPr>
                <w:rFonts w:ascii="宋体" w:hAnsi="宋体" w:eastAsia="宋体"/>
                <w:b w:val="0"/>
                <w:sz w:val="21"/>
              </w:rPr>
              <w:t>ε 衰减因子</w:t>
            </w:r>
          </w:p>
        </w:tc>
        <w:tc>
          <w:tcPr>
            <w:tcW w:type="dxa" w:w="4252"/>
          </w:tcPr>
          <w:p>
            <w:r/>
            <w:r>
              <w:rPr>
                <w:rFonts w:ascii="宋体" w:hAnsi="宋体" w:eastAsia="宋体"/>
                <w:b w:val="0"/>
                <w:sz w:val="21"/>
              </w:rPr>
              <w:t>0.998</w:t>
            </w:r>
          </w:p>
        </w:tc>
      </w:tr>
      <w:tr>
        <w:tc>
          <w:tcPr>
            <w:tcW w:type="dxa" w:w="4252"/>
          </w:tcPr>
          <w:p>
            <w:r/>
            <w:r>
              <w:rPr>
                <w:rFonts w:ascii="宋体" w:hAnsi="宋体" w:eastAsia="宋体"/>
                <w:b w:val="0"/>
                <w:sz w:val="21"/>
              </w:rPr>
              <w:t>目标网络软更新系数 τ</w:t>
            </w:r>
          </w:p>
        </w:tc>
        <w:tc>
          <w:tcPr>
            <w:tcW w:type="dxa" w:w="4252"/>
          </w:tcPr>
          <w:p>
            <w:r/>
            <w:r>
              <w:rPr>
                <w:rFonts w:ascii="宋体" w:hAnsi="宋体" w:eastAsia="宋体"/>
                <w:b w:val="0"/>
                <w:sz w:val="21"/>
              </w:rPr>
              <w:t>0.005</w:t>
            </w:r>
          </w:p>
        </w:tc>
      </w:tr>
      <w:tr>
        <w:tc>
          <w:tcPr>
            <w:tcW w:type="dxa" w:w="4252"/>
          </w:tcPr>
          <w:p>
            <w:r/>
            <w:r>
              <w:rPr>
                <w:rFonts w:ascii="宋体" w:hAnsi="宋体" w:eastAsia="宋体"/>
                <w:b w:val="0"/>
                <w:sz w:val="21"/>
              </w:rPr>
              <w:t>经验回放池容量</w:t>
            </w:r>
          </w:p>
        </w:tc>
        <w:tc>
          <w:tcPr>
            <w:tcW w:type="dxa" w:w="4252"/>
          </w:tcPr>
          <w:p>
            <w:r/>
            <w:r>
              <w:rPr>
                <w:rFonts w:ascii="宋体" w:hAnsi="宋体" w:eastAsia="宋体"/>
                <w:b w:val="0"/>
                <w:sz w:val="21"/>
              </w:rPr>
              <w:t>30000</w:t>
            </w:r>
          </w:p>
        </w:tc>
      </w:tr>
      <w:tr>
        <w:tc>
          <w:tcPr>
            <w:tcW w:type="dxa" w:w="4252"/>
          </w:tcPr>
          <w:p>
            <w:r/>
            <w:r>
              <w:rPr>
                <w:rFonts w:ascii="宋体" w:hAnsi="宋体" w:eastAsia="宋体"/>
                <w:b w:val="0"/>
                <w:sz w:val="21"/>
              </w:rPr>
              <w:t>训练轮数</w:t>
            </w:r>
          </w:p>
        </w:tc>
        <w:tc>
          <w:tcPr>
            <w:tcW w:type="dxa" w:w="4252"/>
          </w:tcPr>
          <w:p>
            <w:r/>
            <w:r>
              <w:rPr>
                <w:rFonts w:ascii="宋体" w:hAnsi="宋体" w:eastAsia="宋体"/>
                <w:b w:val="0"/>
                <w:sz w:val="21"/>
              </w:rPr>
              <w:t>10000</w:t>
            </w:r>
          </w:p>
        </w:tc>
      </w:tr>
      <w:tr>
        <w:tc>
          <w:tcPr>
            <w:tcW w:type="dxa" w:w="4252"/>
          </w:tcPr>
          <w:p>
            <w:r/>
            <w:r>
              <w:rPr>
                <w:rFonts w:ascii="宋体" w:hAnsi="宋体" w:eastAsia="宋体"/>
                <w:b w:val="0"/>
                <w:sz w:val="21"/>
              </w:rPr>
              <w:t>最大步数</w:t>
            </w:r>
          </w:p>
        </w:tc>
        <w:tc>
          <w:tcPr>
            <w:tcW w:type="dxa" w:w="4252"/>
          </w:tcPr>
          <w:p>
            <w:r/>
            <w:r>
              <w:rPr>
                <w:rFonts w:ascii="宋体" w:hAnsi="宋体" w:eastAsia="宋体"/>
                <w:b w:val="0"/>
                <w:sz w:val="21"/>
              </w:rPr>
              <w:t>20×20 为 400、30×30 为 500</w:t>
            </w:r>
          </w:p>
        </w:tc>
      </w:tr>
    </w:tbl>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测试成功率（训练完成后纯贪心策略200轮测试成功率；对ASGS方法，贪心选择时按最终λ=15对不安全方向施加Q值软性惩罚，与算法决策规则一致）、路径长度。</w:t>
      </w:r>
    </w:p>
    <w:p>
      <w:r>
        <w:rPr>
          <w:rFonts w:ascii="宋体" w:hAnsi="宋体" w:eastAsia="宋体"/>
          <w:b/>
          <w:sz w:val="24"/>
        </w:rPr>
        <w:t>评估方式</w:t>
      </w:r>
      <w:r>
        <w:rPr>
          <w:rFonts w:ascii="宋体" w:hAnsi="宋体" w:eastAsia="宋体"/>
          <w:b w:val="0"/>
          <w:sz w:val="24"/>
        </w:rPr>
        <w:t>：所有实验均采用3个不同随机种子重复训练，结果以均值±标准差表示。</w:t>
      </w:r>
    </w:p>
    <w:p>
      <w:r>
        <w:rPr>
          <w:rFonts w:ascii="黑体" w:hAnsi="黑体" w:eastAsia="黑体"/>
          <w:b/>
          <w:sz w:val="24"/>
        </w:rPr>
        <w:t>4.2 20×20地图实验结果</w:t>
      </w:r>
    </w:p>
    <w:p>
      <w:pPr>
        <w:jc w:val="center"/>
      </w:pPr>
      <w:r>
        <w:rPr>
          <w:rFonts w:ascii="宋体" w:hAnsi="宋体" w:eastAsia="宋体"/>
          <w:b w:val="0"/>
          <w:sz w:val="21"/>
        </w:rPr>
        <w:t>表1 20×20地图实验结果（均值±标准差，3个种子）</w:t>
      </w:r>
      <w:r>
        <w:br/>
      </w:r>
      <w:r>
        <w:rPr>
          <w:rFonts w:ascii="Times New Roman" w:hAnsi="Times New Roman" w:eastAsia="Times New Roman"/>
          <w:b w:val="0"/>
          <w:sz w:val="21"/>
        </w:rPr>
        <w:t>Tab.1 Experimental results on the 20×20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5577±2658</w:t>
            </w:r>
          </w:p>
        </w:tc>
        <w:tc>
          <w:tcPr>
            <w:tcW w:type="dxa" w:w="1417"/>
          </w:tcPr>
          <w:p>
            <w:r/>
            <w:r>
              <w:rPr>
                <w:rFonts w:ascii="宋体" w:hAnsi="宋体" w:eastAsia="宋体"/>
                <w:b w:val="0"/>
                <w:sz w:val="21"/>
              </w:rPr>
              <w:t>10.0±0.0</w:t>
            </w:r>
          </w:p>
        </w:tc>
        <w:tc>
          <w:tcPr>
            <w:tcW w:type="dxa" w:w="1417"/>
          </w:tcPr>
          <w:p>
            <w:r/>
            <w:r>
              <w:rPr>
                <w:rFonts w:ascii="宋体" w:hAnsi="宋体" w:eastAsia="宋体"/>
                <w:b w:val="0"/>
                <w:sz w:val="21"/>
              </w:rPr>
              <w:t>94.7±2.5%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完整方法（CAT+耦合+ASGS）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2074±245</w:t>
            </w:r>
          </w:p>
        </w:tc>
        <w:tc>
          <w:tcPr>
            <w:tcW w:type="dxa" w:w="1417"/>
          </w:tcPr>
          <w:p>
            <w:r/>
            <w:r>
              <w:rPr>
                <w:rFonts w:ascii="宋体" w:hAnsi="宋体" w:eastAsia="宋体"/>
                <w:b w:val="0"/>
                <w:sz w:val="21"/>
              </w:rPr>
              <w:t>102.1±0.5</w:t>
            </w:r>
          </w:p>
        </w:tc>
        <w:tc>
          <w:tcPr>
            <w:tcW w:type="dxa" w:w="1417"/>
          </w:tcPr>
          <w:p>
            <w:r/>
            <w:r>
              <w:rPr>
                <w:rFonts w:ascii="宋体" w:hAnsi="宋体" w:eastAsia="宋体"/>
                <w:b w:val="0"/>
                <w:sz w:val="21"/>
              </w:rPr>
              <w:t>81.5±1.1%</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2130±318</w:t>
            </w:r>
          </w:p>
        </w:tc>
        <w:tc>
          <w:tcPr>
            <w:tcW w:type="dxa" w:w="1417"/>
          </w:tcPr>
          <w:p>
            <w:r/>
            <w:r>
              <w:rPr>
                <w:rFonts w:ascii="宋体" w:hAnsi="宋体" w:eastAsia="宋体"/>
                <w:b w:val="0"/>
                <w:sz w:val="21"/>
              </w:rPr>
              <w:t>100.9±0.5</w:t>
            </w:r>
          </w:p>
        </w:tc>
        <w:tc>
          <w:tcPr>
            <w:tcW w:type="dxa" w:w="1417"/>
          </w:tcPr>
          <w:p>
            <w:r/>
            <w:r>
              <w:rPr>
                <w:rFonts w:ascii="宋体" w:hAnsi="宋体" w:eastAsia="宋体"/>
                <w:b w:val="0"/>
                <w:sz w:val="21"/>
              </w:rPr>
              <w:t>84.0±2.8%</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1506±56</w:t>
            </w:r>
          </w:p>
        </w:tc>
        <w:tc>
          <w:tcPr>
            <w:tcW w:type="dxa" w:w="1417"/>
          </w:tcPr>
          <w:p>
            <w:r/>
            <w:r>
              <w:rPr>
                <w:rFonts w:ascii="宋体" w:hAnsi="宋体" w:eastAsia="宋体"/>
                <w:b w:val="0"/>
                <w:sz w:val="21"/>
              </w:rPr>
              <w:t>108.6±0.8</w:t>
            </w:r>
          </w:p>
        </w:tc>
        <w:tc>
          <w:tcPr>
            <w:tcW w:type="dxa" w:w="1417"/>
          </w:tcPr>
          <w:p>
            <w:r/>
            <w:r>
              <w:rPr>
                <w:rFonts w:ascii="宋体" w:hAnsi="宋体" w:eastAsia="宋体"/>
                <w:b w:val="0"/>
                <w:sz w:val="21"/>
              </w:rPr>
              <w:t>86.0±1.1%</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20地图上收敛最快（926轮），训练成功率为97.7%；加入CAT后的完整方法（CAT+耦合+ASGS）训练成功率为97.7%，与核心方法持平，表明CAT在无噪声环境下不损害规划性能，其价值体现在噪声鲁棒性方面。两者较基准DQN均提升17个百分点，较耦合奖励提升约12.7个百分点；耦合奖励较基准DQN收敛轮数缩短约4.8倍。</w:t>
      </w:r>
    </w:p>
    <w:p>
      <w:r>
        <w:rPr>
          <w:rFonts w:ascii="宋体" w:hAnsi="宋体" w:eastAsia="宋体"/>
          <w:b w:val="0"/>
          <w:sz w:val="24"/>
        </w:rPr>
        <w:t>各方法路径对比如图7所示，各方法奖励收敛曲线如图8所示。</w:t>
      </w:r>
    </w:p>
    <w:p>
      <w:pPr>
        <w:jc w:val="center"/>
      </w:pPr>
      <w:r>
        <w:drawing>
          <wp:inline xmlns:a="http://schemas.openxmlformats.org/drawingml/2006/main" xmlns:pic="http://schemas.openxmlformats.org/drawingml/2006/picture">
            <wp:extent cx="5486400" cy="2743200"/>
            <wp:docPr id="7" name="Picture 7"/>
            <wp:cNvGraphicFramePr>
              <a:graphicFrameLocks noChangeAspect="1"/>
            </wp:cNvGraphicFramePr>
            <a:graphic>
              <a:graphicData uri="http://schemas.openxmlformats.org/drawingml/2006/picture">
                <pic:pic>
                  <pic:nvPicPr>
                    <pic:cNvPr id="0" name="fig_paths_20x20_all.png"/>
                    <pic:cNvPicPr/>
                  </pic:nvPicPr>
                  <pic:blipFill>
                    <a:blip r:embed="rId15"/>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图7 20×20地图各方法路径对比</w:t>
      </w:r>
      <w:r>
        <w:br/>
      </w:r>
      <w:r>
        <w:rPr>
          <w:rFonts w:ascii="Times New Roman" w:hAnsi="Times New Roman" w:eastAsia="Times New Roman"/>
          <w:b w:val="0"/>
          <w:sz w:val="21"/>
        </w:rPr>
        <w:t>Fig.7 Path comparison of all methods on the 20×20 map</w:t>
      </w:r>
    </w:p>
    <w:p>
      <w:pPr>
        <w:jc w:val="center"/>
      </w:pPr>
      <w:r>
        <w:drawing>
          <wp:inline xmlns:a="http://schemas.openxmlformats.org/drawingml/2006/main" xmlns:pic="http://schemas.openxmlformats.org/drawingml/2006/picture">
            <wp:extent cx="5486400" cy="3291840"/>
            <wp:docPr id="8" name="Picture 8"/>
            <wp:cNvGraphicFramePr>
              <a:graphicFrameLocks noChangeAspect="1"/>
            </wp:cNvGraphicFramePr>
            <a:graphic>
              <a:graphicData uri="http://schemas.openxmlformats.org/drawingml/2006/picture">
                <pic:pic>
                  <pic:nvPicPr>
                    <pic:cNvPr id="0" name="fig_reward_20x20_all.png"/>
                    <pic:cNvPicPr/>
                  </pic:nvPicPr>
                  <pic:blipFill>
                    <a:blip r:embed="rId16"/>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图8 20×20地图奖励收敛曲线</w:t>
      </w:r>
      <w:r>
        <w:br/>
      </w:r>
      <w:r>
        <w:rPr>
          <w:rFonts w:ascii="Times New Roman" w:hAnsi="Times New Roman" w:eastAsia="Times New Roman"/>
          <w:b w:val="0"/>
          <w:sz w:val="21"/>
        </w:rPr>
        <w:t>Fig.8 Reward convergence curves on the 20×20 map</w:t>
      </w:r>
    </w:p>
    <w:p>
      <w:r>
        <w:rPr>
          <w:rFonts w:ascii="黑体" w:hAnsi="黑体" w:eastAsia="黑体"/>
          <w:b/>
          <w:sz w:val="24"/>
        </w:rPr>
        <w:t>4.3 30×30地图实验结果</w:t>
      </w:r>
    </w:p>
    <w:p>
      <w:pPr>
        <w:jc w:val="center"/>
      </w:pPr>
      <w:r>
        <w:rPr>
          <w:rFonts w:ascii="宋体" w:hAnsi="宋体" w:eastAsia="宋体"/>
          <w:b w:val="0"/>
          <w:sz w:val="21"/>
        </w:rPr>
        <w:t>表2 30×30地图实验结果（均值±标准差，3个种子）</w:t>
      </w:r>
      <w:r>
        <w:br/>
      </w:r>
      <w:r>
        <w:rPr>
          <w:rFonts w:ascii="Times New Roman" w:hAnsi="Times New Roman" w:eastAsia="Times New Roman"/>
          <w:b w:val="0"/>
          <w:sz w:val="21"/>
        </w:rPr>
        <w:t>Tab.2 Experimental results on the 30×30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7129±1008</w:t>
            </w:r>
          </w:p>
        </w:tc>
        <w:tc>
          <w:tcPr>
            <w:tcW w:type="dxa" w:w="1417"/>
          </w:tcPr>
          <w:p>
            <w:r/>
            <w:r>
              <w:rPr>
                <w:rFonts w:ascii="宋体" w:hAnsi="宋体" w:eastAsia="宋体"/>
                <w:b w:val="0"/>
                <w:sz w:val="21"/>
              </w:rPr>
              <w:t>2.4±1.2</w:t>
            </w:r>
          </w:p>
        </w:tc>
        <w:tc>
          <w:tcPr>
            <w:tcW w:type="dxa" w:w="1417"/>
          </w:tcPr>
          <w:p>
            <w:r/>
            <w:r>
              <w:rPr>
                <w:rFonts w:ascii="宋体" w:hAnsi="宋体" w:eastAsia="宋体"/>
                <w:b w:val="0"/>
                <w:sz w:val="21"/>
              </w:rPr>
              <w:t>1.2±0.8%</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完整方法（CAT+耦合+ASGS）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4609±1784</w:t>
            </w:r>
          </w:p>
        </w:tc>
        <w:tc>
          <w:tcPr>
            <w:tcW w:type="dxa" w:w="1417"/>
          </w:tcPr>
          <w:p>
            <w:r/>
            <w:r>
              <w:rPr>
                <w:rFonts w:ascii="宋体" w:hAnsi="宋体" w:eastAsia="宋体"/>
                <w:b w:val="0"/>
                <w:sz w:val="21"/>
              </w:rPr>
              <w:t>125.2±4.7</w:t>
            </w:r>
          </w:p>
        </w:tc>
        <w:tc>
          <w:tcPr>
            <w:tcW w:type="dxa" w:w="1417"/>
          </w:tcPr>
          <w:p>
            <w:r/>
            <w:r>
              <w:rPr>
                <w:rFonts w:ascii="宋体" w:hAnsi="宋体" w:eastAsia="宋体"/>
                <w:b w:val="0"/>
                <w:sz w:val="21"/>
              </w:rPr>
              <w:t>78.2±8.3%</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2578±148</w:t>
            </w:r>
          </w:p>
        </w:tc>
        <w:tc>
          <w:tcPr>
            <w:tcW w:type="dxa" w:w="1417"/>
          </w:tcPr>
          <w:p>
            <w:r/>
            <w:r>
              <w:rPr>
                <w:rFonts w:ascii="宋体" w:hAnsi="宋体" w:eastAsia="宋体"/>
                <w:b w:val="0"/>
                <w:sz w:val="21"/>
              </w:rPr>
              <w:t>128.6±1.7</w:t>
            </w:r>
          </w:p>
        </w:tc>
        <w:tc>
          <w:tcPr>
            <w:tcW w:type="dxa" w:w="1417"/>
          </w:tcPr>
          <w:p>
            <w:r/>
            <w:r>
              <w:rPr>
                <w:rFonts w:ascii="宋体" w:hAnsi="宋体" w:eastAsia="宋体"/>
                <w:b w:val="0"/>
                <w:sz w:val="21"/>
              </w:rPr>
              <w:t>80.8±3.5%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3164±935</w:t>
            </w:r>
          </w:p>
        </w:tc>
        <w:tc>
          <w:tcPr>
            <w:tcW w:type="dxa" w:w="1417"/>
          </w:tcPr>
          <w:p>
            <w:r/>
            <w:r>
              <w:rPr>
                <w:rFonts w:ascii="宋体" w:hAnsi="宋体" w:eastAsia="宋体"/>
                <w:b w:val="0"/>
                <w:sz w:val="21"/>
              </w:rPr>
              <w:t>139.3±2.5</w:t>
            </w:r>
          </w:p>
        </w:tc>
        <w:tc>
          <w:tcPr>
            <w:tcW w:type="dxa" w:w="1417"/>
          </w:tcPr>
          <w:p>
            <w:r/>
            <w:r>
              <w:rPr>
                <w:rFonts w:ascii="宋体" w:hAnsi="宋体" w:eastAsia="宋体"/>
                <w:b w:val="0"/>
                <w:sz w:val="21"/>
              </w:rPr>
              <w:t>82.7±3.5%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30地图上，基准DQN极不稳定（训练成功率46.8%，3次中有1次完全失败），而核心方法（耦合+ASGS）稳定达到96.8%。完整方法（CAT+耦合+ASGS，3个种子）训练成功率为95.2%，与核心方法基本持平（略低1.6个百分点但保持在95%以上），验证了CAT在无噪声环境下不损害30×30地图上的规划性能。耦合奖励较基准DQN训练成功率提升28.4个百分点，测试成功率由66.7%提升至100%。ASGS单独与稀疏奖励结合时在复杂地图上失败，但与耦合奖励结合时效果最佳，验证了二者的互补性。</w:t>
      </w:r>
    </w:p>
    <w:p>
      <w:r>
        <w:rPr>
          <w:rFonts w:ascii="宋体" w:hAnsi="宋体" w:eastAsia="宋体"/>
          <w:b w:val="0"/>
          <w:sz w:val="24"/>
        </w:rPr>
        <w:t>各方法路径对比如图9所示，各方法奖励收敛曲线如图10所示。</w:t>
      </w:r>
    </w:p>
    <w:p>
      <w:pPr>
        <w:jc w:val="center"/>
      </w:pPr>
      <w:r>
        <w:drawing>
          <wp:inline xmlns:a="http://schemas.openxmlformats.org/drawingml/2006/main" xmlns:pic="http://schemas.openxmlformats.org/drawingml/2006/picture">
            <wp:extent cx="5486400" cy="2743200"/>
            <wp:docPr id="9" name="Picture 9"/>
            <wp:cNvGraphicFramePr>
              <a:graphicFrameLocks noChangeAspect="1"/>
            </wp:cNvGraphicFramePr>
            <a:graphic>
              <a:graphicData uri="http://schemas.openxmlformats.org/drawingml/2006/picture">
                <pic:pic>
                  <pic:nvPicPr>
                    <pic:cNvPr id="0" name="fig_paths_30x30_all.png"/>
                    <pic:cNvPicPr/>
                  </pic:nvPicPr>
                  <pic:blipFill>
                    <a:blip r:embed="rId17"/>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图9 30×30地图各方法路径对比</w:t>
      </w:r>
      <w:r>
        <w:br/>
      </w:r>
      <w:r>
        <w:rPr>
          <w:rFonts w:ascii="Times New Roman" w:hAnsi="Times New Roman" w:eastAsia="Times New Roman"/>
          <w:b w:val="0"/>
          <w:sz w:val="21"/>
        </w:rPr>
        <w:t>Fig.9 Path comparison of all methods on the 30×30 map</w:t>
      </w:r>
    </w:p>
    <w:p>
      <w:pPr>
        <w:jc w:val="center"/>
      </w:pPr>
      <w:r>
        <w:drawing>
          <wp:inline xmlns:a="http://schemas.openxmlformats.org/drawingml/2006/main" xmlns:pic="http://schemas.openxmlformats.org/drawingml/2006/picture">
            <wp:extent cx="5486400" cy="3291840"/>
            <wp:docPr id="10" name="Picture 10"/>
            <wp:cNvGraphicFramePr>
              <a:graphicFrameLocks noChangeAspect="1"/>
            </wp:cNvGraphicFramePr>
            <a:graphic>
              <a:graphicData uri="http://schemas.openxmlformats.org/drawingml/2006/picture">
                <pic:pic>
                  <pic:nvPicPr>
                    <pic:cNvPr id="0" name="fig_reward_30x30_all.png"/>
                    <pic:cNvPicPr/>
                  </pic:nvPicPr>
                  <pic:blipFill>
                    <a:blip r:embed="rId18"/>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图10 30×30地图奖励收敛曲线</w:t>
      </w:r>
      <w:r>
        <w:br/>
      </w:r>
      <w:r>
        <w:rPr>
          <w:rFonts w:ascii="Times New Roman" w:hAnsi="Times New Roman" w:eastAsia="Times New Roman"/>
          <w:b w:val="0"/>
          <w:sz w:val="21"/>
        </w:rPr>
        <w:t>Fig.10 Reward convergence curves on the 30×30 map</w:t>
      </w:r>
    </w:p>
    <w:p>
      <w:r>
        <w:rPr>
          <w:rFonts w:ascii="黑体" w:hAnsi="黑体" w:eastAsia="黑体"/>
          <w:b/>
          <w:sz w:val="24"/>
        </w:rPr>
        <w:t>4.4 与改进DQN算法对比</w:t>
      </w:r>
    </w:p>
    <w:p>
      <w:r>
        <w:rPr>
          <w:rFonts w:ascii="宋体" w:hAnsi="宋体" w:eastAsia="宋体"/>
          <w:b w:val="0"/>
          <w:sz w:val="24"/>
        </w:rPr>
        <w:t>为验证核心方法相对于主流DQN改进算法的性能，在20×20和30×30地图上将其与DDQN、Dueling DQN和PER DQN进行对比。所有对比方法均采用与本文一致的耦合奖励和MLP网络，每种方法使用3个随机种子重复训练，对比指标为训练时间、收敛轮数、训练成功率和路径长度，结果如表3所示。</w:t>
      </w:r>
    </w:p>
    <w:p>
      <w:pPr>
        <w:jc w:val="center"/>
      </w:pPr>
      <w:r>
        <w:rPr>
          <w:rFonts w:ascii="宋体" w:hAnsi="宋体" w:eastAsia="宋体"/>
          <w:b w:val="0"/>
          <w:sz w:val="21"/>
        </w:rPr>
        <w:t>表3 与改进DQN算法对比（均值±标准差，3个种子）</w:t>
      </w:r>
      <w:r>
        <w:br/>
      </w:r>
      <w:r>
        <w:rPr>
          <w:rFonts w:ascii="Times New Roman" w:hAnsi="Times New Roman" w:eastAsia="Times New Roman"/>
          <w:b w:val="0"/>
          <w:sz w:val="21"/>
        </w:rPr>
        <w:t>Tab.3 Comparison with improved DQN algorithms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20×20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20×20</w:t>
            </w:r>
          </w:p>
        </w:tc>
        <w:tc>
          <w:tcPr>
            <w:tcW w:type="dxa" w:w="1417"/>
          </w:tcPr>
          <w:p>
            <w:r/>
            <w:r>
              <w:rPr>
                <w:rFonts w:ascii="宋体" w:hAnsi="宋体" w:eastAsia="宋体"/>
                <w:b/>
                <w:sz w:val="21"/>
              </w:rPr>
              <w:t>完整方法（E1AC）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30×30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23.0</w:t>
            </w:r>
          </w:p>
        </w:tc>
      </w:tr>
      <w:tr>
        <w:tc>
          <w:tcPr>
            <w:tcW w:type="dxa" w:w="1417"/>
          </w:tcPr>
          <w:p>
            <w:r/>
            <w:r>
              <w:rPr>
                <w:rFonts w:ascii="宋体" w:hAnsi="宋体" w:eastAsia="宋体"/>
                <w:b w:val="0"/>
                <w:sz w:val="21"/>
              </w:rPr>
              <w:t>30×30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30×30</w:t>
            </w:r>
          </w:p>
        </w:tc>
        <w:tc>
          <w:tcPr>
            <w:tcW w:type="dxa" w:w="1417"/>
          </w:tcPr>
          <w:p>
            <w:r/>
            <w:r>
              <w:rPr>
                <w:rFonts w:ascii="宋体" w:hAnsi="宋体" w:eastAsia="宋体"/>
                <w:b/>
                <w:sz w:val="21"/>
              </w:rPr>
              <w:t>完整方法（E1AC）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由表3可知，核心方法（以及加入CAT的完整方法）的训练成功率在两张地图上均为最高：20×20地图上核心方法为97.7%，完整方法为97.7%，分别较DDQN、Dueling DQN和PER DQN提升约14.2、16.5和13.0个百分点；30×30地图上核心方法为96.8%，完整方法为95.2%，分别较三者提升约13～15个百分点，且核心方法在不同随机种子下的训练成功率波动较小。在收敛轮数方面，核心方法在20×20地图上收敛最快（926轮），较DDQN、Dueling DQN和PER DQN的收敛轮数分别缩短约2.3倍、1.8倍和2.0倍；在30×30地图上，核心方法的收敛轮数均值为3663（其中两个种子约2000轮收敛，一个种子因奖励持续上升而较晚达到95%阈值），且Best50奖励（206.4）高于所有对比方法，说明其获得了更高的价值估计。路径长度方面，核心方法在两张地图上均与最短路径基本一致（22步与33.7步），完整方法的路径均为22步（20×20）和33步（30×30），未因加入CAT或安全引导而牺牲路径质量。综合来看，完整方法在保持与核心方法基本相当的规划性能的同时，通过CAT获得了稀疏障碍场景下的感知鲁棒性。</w:t>
      </w:r>
    </w:p>
    <w:p>
      <w:r>
        <w:rPr>
          <w:rFonts w:ascii="黑体" w:hAnsi="黑体" w:eastAsia="黑体"/>
          <w:b/>
          <w:sz w:val="24"/>
        </w:rPr>
        <w:t>4.5 与传统算法对比</w:t>
      </w:r>
    </w:p>
    <w:p>
      <w:r>
        <w:rPr>
          <w:rFonts w:ascii="宋体" w:hAnsi="宋体" w:eastAsia="宋体"/>
          <w:b w:val="0"/>
          <w:sz w:val="24"/>
        </w:rPr>
        <w:t>为验证核心方法相对于传统路径规划算法的性能，在20×20和30×30地图上将其与RRT算法和A*算法进行比较，对比指标为路径规划步数和拐点个数，结果如表4所示。</w:t>
      </w:r>
    </w:p>
    <w:p>
      <w:pPr>
        <w:jc w:val="center"/>
      </w:pPr>
      <w:r>
        <w:rPr>
          <w:rFonts w:ascii="宋体" w:hAnsi="宋体" w:eastAsia="宋体"/>
          <w:b w:val="0"/>
          <w:sz w:val="21"/>
        </w:rPr>
        <w:t>表4 与传统算法对比</w:t>
      </w:r>
      <w:r>
        <w:br/>
      </w:r>
      <w:r>
        <w:rPr>
          <w:rFonts w:ascii="Times New Roman" w:hAnsi="Times New Roman" w:eastAsia="Times New Roman"/>
          <w:b w:val="0"/>
          <w:sz w:val="21"/>
        </w:rPr>
        <w:t>Tab.4 Comparison with traditional algorithms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20地图上，核心方法相比RRT算法路径步数缩短70.4%；在30×30地图上缩短68.1%，表明本文方法相较随机采样算法具有明显的路径质量优势。在路径步数方面，核心方法在两张地图上均与最优算法A*一致（20×20为22步、30×30为33步），在本文两张固定栅格地图上达到与A*一致的最短路径长度。在路径平滑性方面，30×30地图上核心方法的拐点比A*少2个（10 vs 12），路径更为平滑；20×20地图上核心方法的拐点略多于A*（7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局部障碍物感知进行决策，并在传感器噪声环境下进行了鲁棒性验证，具有一定的环境适应能力。对于动态障碍物和更复杂的部分可观测场景，其有效性仍需进一步实验验证。</w:t>
      </w:r>
    </w:p>
    <w:p>
      <w:r>
        <w:rPr>
          <w:rFonts w:ascii="宋体" w:hAnsi="宋体" w:eastAsia="宋体"/>
          <w:b w:val="0"/>
          <w:sz w:val="24"/>
        </w:rPr>
        <w:t>与传统算法的路径对比如图11所示。</w:t>
      </w:r>
    </w:p>
    <w:p>
      <w:pPr>
        <w:jc w:val="center"/>
      </w:pPr>
      <w:r>
        <w:drawing>
          <wp:inline xmlns:a="http://schemas.openxmlformats.org/drawingml/2006/main" xmlns:pic="http://schemas.openxmlformats.org/drawingml/2006/picture">
            <wp:extent cx="5486400" cy="3657600"/>
            <wp:docPr id="11" name="Picture 11"/>
            <wp:cNvGraphicFramePr>
              <a:graphicFrameLocks noChangeAspect="1"/>
            </wp:cNvGraphicFramePr>
            <a:graphic>
              <a:graphicData uri="http://schemas.openxmlformats.org/drawingml/2006/picture">
                <pic:pic>
                  <pic:nvPicPr>
                    <pic:cNvPr id="0" name="fig_trad_compare.png"/>
                    <pic:cNvPicPr/>
                  </pic:nvPicPr>
                  <pic:blipFill>
                    <a:blip r:embed="rId19"/>
                    <a:stretch>
                      <a:fillRect/>
                    </a:stretch>
                  </pic:blipFill>
                  <pic:spPr>
                    <a:xfrm>
                      <a:off x="0" y="0"/>
                      <a:ext cx="5486400" cy="3657600"/>
                    </a:xfrm>
                    <a:prstGeom prst="rect"/>
                  </pic:spPr>
                </pic:pic>
              </a:graphicData>
            </a:graphic>
          </wp:inline>
        </w:drawing>
      </w:r>
    </w:p>
    <w:p>
      <w:pPr>
        <w:jc w:val="center"/>
      </w:pPr>
      <w:r>
        <w:rPr>
          <w:rFonts w:ascii="宋体" w:hAnsi="宋体" w:eastAsia="宋体"/>
          <w:b w:val="0"/>
          <w:sz w:val="21"/>
        </w:rPr>
        <w:t>图11 与传统算法对比</w:t>
      </w:r>
      <w:r>
        <w:br/>
      </w:r>
      <w:r>
        <w:rPr>
          <w:rFonts w:ascii="Times New Roman" w:hAnsi="Times New Roman" w:eastAsia="Times New Roman"/>
          <w:b w:val="0"/>
          <w:sz w:val="21"/>
        </w:rPr>
        <w:t>Fig.11 Comparison with traditional algorithms</w:t>
      </w:r>
    </w:p>
    <w:p>
      <w:r>
        <w:rPr>
          <w:rFonts w:ascii="黑体" w:hAnsi="黑体" w:eastAsia="黑体"/>
          <w:b/>
          <w:sz w:val="24"/>
        </w:rPr>
        <w:t>4.6 消融实验</w:t>
      </w:r>
    </w:p>
    <w:p>
      <w:r>
        <w:rPr>
          <w:rFonts w:ascii="宋体" w:hAnsi="宋体" w:eastAsia="宋体"/>
          <w:b w:val="0"/>
          <w:sz w:val="24"/>
        </w:rPr>
        <w:t>在20×20地图上，完整耦合奖励的Best50为107.8；去掉开阔度后降至102.1（下降5.3%）；去掉方向对齐后降至100.9（下降6.4%）。在30×30地图上，完整耦合奖励的Best50为137.1；去掉开阔度后降至125.2（下降8.7%）；去掉方向对齐后降至128.6（下降6.2%）。两个奖励分量在两张地图上均对性能有正贡献。</w:t>
      </w:r>
    </w:p>
    <w:p>
      <w:r>
        <w:rPr>
          <w:rFonts w:ascii="黑体" w:hAnsi="黑体" w:eastAsia="黑体"/>
          <w:b/>
          <w:sz w:val="24"/>
        </w:rPr>
        <w:t>4.7 噪声鲁棒性实验</w:t>
      </w:r>
    </w:p>
    <w:p>
      <w:r>
        <w:rPr>
          <w:rFonts w:ascii="宋体" w:hAnsi="宋体" w:eastAsia="宋体"/>
          <w:b w:val="0"/>
          <w:sz w:val="24"/>
        </w:rPr>
        <w:t>为验证CAT-DQN在传感器噪声下的鲁棒性，在20×20地图上使用无噪声环境下训练的模型，在不同噪声水平下进行200轮Greedy测试：</w:t>
      </w:r>
    </w:p>
    <w:p>
      <w:pPr>
        <w:jc w:val="center"/>
      </w:pPr>
      <w:r>
        <w:rPr>
          <w:rFonts w:ascii="宋体" w:hAnsi="宋体" w:eastAsia="宋体"/>
          <w:b w:val="0"/>
          <w:sz w:val="21"/>
        </w:rPr>
        <w:t>表5 无噪声环境下训练的模型在传感器噪声下的测试成功率（均值±标准差，5个随机种子，每个种子200轮Greedy测试）</w:t>
      </w:r>
      <w:r>
        <w:br/>
      </w:r>
      <w:r>
        <w:rPr>
          <w:rFonts w:ascii="Times New Roman" w:hAnsi="Times New Roman" w:eastAsia="Times New Roman"/>
          <w:b w:val="0"/>
          <w:sz w:val="21"/>
        </w:rPr>
        <w:t>Tab.5 Test success rate of clean-trained models under sensor noise (mean±std, 5 seeds, 200 greedy episodes per seed)</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w:t>
      </w:r>
    </w:p>
    <w:p>
      <w:r>
        <w:rPr>
          <w:rFonts w:ascii="宋体" w:hAnsi="宋体" w:eastAsia="宋体"/>
          <w:b w:val="0"/>
          <w:sz w:val="24"/>
        </w:rPr>
        <w:t>为考察地图障碍密度对抗噪增益的影响，在障碍密集的30×30地图上采用相同协议（E1 MLP与E2 CAT，均不含ASGS，5个种子）进行了噪声测试。结果表明，CAT与MLP在噪声下的测试成功率基本相当（20%噪声下分别为10.0%与10.9%），未观察到CAT的抗噪增益；且两者在噪声下均以碰撞为主要失效方式。从失效模式看，这一差异可能源于：稀疏地图中传感器噪声是影响规划的主要因素，CAT的5步历史可有效滤除噪声干扰；而密集地图中障碍避让本身成为主导瓶颈，历史滤波不再带来额外增益。这表明CAT的抗噪增益与地图障碍密度相关，在障碍稀疏场景下效果最为显著。噪声鲁棒性对比如图12所示。</w:t>
      </w:r>
    </w:p>
    <w:p>
      <w:pPr>
        <w:jc w:val="center"/>
      </w:pPr>
      <w:r>
        <w:drawing>
          <wp:inline xmlns:a="http://schemas.openxmlformats.org/drawingml/2006/main" xmlns:pic="http://schemas.openxmlformats.org/drawingml/2006/picture">
            <wp:extent cx="5486400" cy="1959429"/>
            <wp:docPr id="12" name="Picture 12"/>
            <wp:cNvGraphicFramePr>
              <a:graphicFrameLocks noChangeAspect="1"/>
            </wp:cNvGraphicFramePr>
            <a:graphic>
              <a:graphicData uri="http://schemas.openxmlformats.org/drawingml/2006/picture">
                <pic:pic>
                  <pic:nvPicPr>
                    <pic:cNvPr id="0" name="fig_noise_robustness.png"/>
                    <pic:cNvPicPr/>
                  </pic:nvPicPr>
                  <pic:blipFill>
                    <a:blip r:embed="rId20"/>
                    <a:stretch>
                      <a:fillRect/>
                    </a:stretch>
                  </pic:blipFill>
                  <pic:spPr>
                    <a:xfrm>
                      <a:off x="0" y="0"/>
                      <a:ext cx="5486400" cy="1959429"/>
                    </a:xfrm>
                    <a:prstGeom prst="rect"/>
                  </pic:spPr>
                </pic:pic>
              </a:graphicData>
            </a:graphic>
          </wp:inline>
        </w:drawing>
      </w:r>
    </w:p>
    <w:p>
      <w:pPr>
        <w:jc w:val="center"/>
      </w:pPr>
      <w:r>
        <w:rPr>
          <w:rFonts w:ascii="宋体" w:hAnsi="宋体" w:eastAsia="宋体"/>
          <w:b w:val="0"/>
          <w:sz w:val="21"/>
        </w:rPr>
        <w:t>图12 噪声鲁棒性对比</w:t>
      </w:r>
      <w:r>
        <w:br/>
      </w:r>
      <w:r>
        <w:rPr>
          <w:rFonts w:ascii="Times New Roman" w:hAnsi="Times New Roman" w:eastAsia="Times New Roman"/>
          <w:b w:val="0"/>
          <w:sz w:val="21"/>
        </w:rPr>
        <w:t>Fig.12 Noise robustness comparison</w:t>
      </w:r>
    </w:p>
    <w:p>
      <w:r>
        <w:rPr>
          <w:rFonts w:ascii="黑体" w:hAnsi="黑体" w:eastAsia="黑体"/>
          <w:b/>
          <w:sz w:val="28"/>
        </w:rPr>
        <w:t>5 结论</w:t>
      </w:r>
    </w:p>
    <w:p>
      <w:r>
        <w:rPr>
          <w:rFonts w:ascii="宋体" w:hAnsi="宋体" w:eastAsia="宋体"/>
          <w:b w:val="0"/>
          <w:sz w:val="24"/>
        </w:rPr>
        <w:t>本文针对传统DQN在移动机器人路径规划中奖励引导不足、探索效率低以及噪声环境下感知能力弱的问题，提出了耦合奖励函数（CRF）、双分支交叉注意力网络（CAT-DQN）和自适应安全引导策略（ASGS）三个改进，并将其集成为完整方法CR-ASGS-CAT-DQN。主要结论如下：</w:t>
      </w:r>
    </w:p>
    <w:p>
      <w:r>
        <w:rPr>
          <w:rFonts w:ascii="宋体" w:hAnsi="宋体" w:eastAsia="宋体"/>
          <w:b w:val="0"/>
          <w:sz w:val="24"/>
        </w:rPr>
        <w:t>（1）CRF将距离进度奖励、方向对齐奖励与局部开阔度奖励三者耦合，为价值更新提供密集且精确的引导信号，使DQN在20×20和30×30地图上的收敛轮数分别缩短约4.8倍和2.6倍。</w:t>
      </w:r>
    </w:p>
    <w:p>
      <w:r>
        <w:rPr>
          <w:rFonts w:ascii="宋体" w:hAnsi="宋体" w:eastAsia="宋体"/>
          <w:b w:val="0"/>
          <w:sz w:val="24"/>
        </w:rPr>
        <w:t>（2）ASGS通过安全加权探索与自适应Q值修正降低无效碰撞，与CRF结合构成的核心方法在两张地图上的训练成功率分别达到97.7%和96.8%，测试成功率稳定达到100%，且训练稳定性明显提升；在此基础上加入CAT的完整方法与核心方法基本持平，验证了CAT作为感知增强模块的即插即用性。消融实验验证了方向对齐奖励与局部开阔度奖励的有效性。</w:t>
      </w:r>
    </w:p>
    <w:p>
      <w:r>
        <w:rPr>
          <w:rFonts w:ascii="宋体" w:hAnsi="宋体" w:eastAsia="宋体"/>
          <w:b w:val="0"/>
          <w:sz w:val="24"/>
        </w:rPr>
        <w:t>（3）CAT-DQN通过双分支交叉注意力架构分离目标信息与障碍物信息，在20×20地图的20%传感器噪声下使测试成功率较传统MLP提升约17个百分点，展现出面向稀疏障碍场景的感知鲁棒性。</w:t>
      </w:r>
    </w:p>
    <w:p>
      <w:r>
        <w:rPr>
          <w:rFonts w:ascii="宋体" w:hAnsi="宋体" w:eastAsia="宋体"/>
          <w:b w:val="0"/>
          <w:sz w:val="24"/>
        </w:rPr>
        <w:t>本文方法目前以静态栅格地图为主要验证场景，且CAT的抗噪增益主要在障碍稀疏地图上得到验证。未来工作将把所提方法扩展到动态障碍物环境和部分可观测场景，探索在障碍密集场景下进一步提升噪声鲁棒性的方法，并研究与其他深度强化学习算法（如Dueling DQN、Double DQN）的结合。</w:t>
      </w:r>
    </w:p>
    <w:p>
      <w:r>
        <w:rPr>
          <w:rFonts w:ascii="黑体" w:hAnsi="黑体" w:eastAsia="黑体"/>
          <w:b/>
          <w:sz w:val="28"/>
        </w:rPr>
        <w:t>参考文献</w:t>
      </w:r>
    </w:p>
    <w:p>
      <w:r>
        <w:rPr>
          <w:rFonts w:ascii="宋体" w:hAnsi="宋体" w:eastAsia="宋体"/>
          <w:b w:val="0"/>
          <w:sz w:val="24"/>
        </w:rPr>
        <w:t>[1] 赵威. 基于改进深度强化学习算法的农业机器人路径规划[J]. (2024).</w:t>
      </w:r>
    </w:p>
    <w:p>
      <w:r>
        <w:rPr>
          <w:rFonts w:ascii="宋体" w:hAnsi="宋体" w:eastAsia="宋体"/>
          <w:b w:val="0"/>
          <w:sz w:val="24"/>
        </w:rPr>
        <w:t>[2] 吴锦涛. 移动机器人路径规划算法研究综述[J]. (2025).</w:t>
      </w:r>
    </w:p>
    <w:p>
      <w:r>
        <w:rPr>
          <w:rFonts w:ascii="宋体" w:hAnsi="宋体" w:eastAsia="宋体"/>
          <w:b w:val="0"/>
          <w:sz w:val="24"/>
        </w:rPr>
        <w:t>[3] Dijkstra E W. A note on two problems in connexion with graphs[J]. Numerische Mathematik, 1959, 1(1): 269-271.</w:t>
      </w:r>
    </w:p>
    <w:p>
      <w:r>
        <w:rPr>
          <w:rFonts w:ascii="宋体" w:hAnsi="宋体" w:eastAsia="宋体"/>
          <w:b w:val="0"/>
          <w:sz w:val="24"/>
        </w:rPr>
        <w:t>[4] Hart P E, Nilsson N J, Raphael B. A formal basis for the heuristic determination of minimum cost paths[J]. IEEE Transactions on Systems Science and Cybernetics, 1968, 4(2): 100-107.</w:t>
      </w:r>
    </w:p>
    <w:p>
      <w:r>
        <w:rPr>
          <w:rFonts w:ascii="宋体" w:hAnsi="宋体" w:eastAsia="宋体"/>
          <w:b w:val="0"/>
          <w:sz w:val="24"/>
        </w:rPr>
        <w:t>[5] LaValle S M. Rapidly-exploring random trees: A new tool for path planning[R]. Iowa State University, 1998.</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Van Hasselt H, Guez A, Silver D. Deep reinforcement learning with double Q-learning[C]. Proceedings of the AAAI Conference on Artificial Intelligence, 2016, 30(1): 2094-2100.</w:t>
      </w:r>
    </w:p>
    <w:p>
      <w:r>
        <w:rPr>
          <w:rFonts w:ascii="宋体" w:hAnsi="宋体" w:eastAsia="宋体"/>
          <w:b w:val="0"/>
          <w:sz w:val="24"/>
        </w:rPr>
        <w:t>[17] Wang Z, Schaul T, Hessel M, et al. Dueling network architectures for deep reinforcement learning[C]. Proceedings of the 33rd International Conference on Machine Learning, 2016: 1995-2003.</w:t>
      </w:r>
    </w:p>
    <w:p>
      <w:r>
        <w:rPr>
          <w:rFonts w:ascii="宋体" w:hAnsi="宋体" w:eastAsia="宋体"/>
          <w:b w:val="0"/>
          <w:sz w:val="24"/>
        </w:rPr>
        <w:t>[18] Schaul T, Quan J, Antonoglou I, et al. Prioritized experience replay[C]. Proceedings of the 4th International Conference on Learning Representations, 2016.</w:t>
      </w:r>
    </w:p>
    <w:p>
      <w:r>
        <w:rPr>
          <w:rFonts w:ascii="宋体" w:hAnsi="宋体" w:eastAsia="宋体"/>
          <w:b w:val="0"/>
          <w:sz w:val="24"/>
        </w:rPr>
        <w:t>[19] 李奇儒, 闫凯. 基于改进DQN算法的机器人路径规划[J]. 计算机工程, 2023, 49(12): 111-120.</w:t>
      </w:r>
    </w:p>
    <w:p>
      <w:r>
        <w:rPr>
          <w:rFonts w:ascii="宋体" w:hAnsi="宋体" w:eastAsia="宋体"/>
          <w:b w:val="0"/>
          <w:sz w:val="24"/>
        </w:rPr>
        <w:t>[20] 张磊. 基于改进深度双Q网络的移动机器人路径规划算法[J]. (2024).</w:t>
      </w:r>
    </w:p>
    <w:p>
      <w:r>
        <w:rPr>
          <w:rFonts w:ascii="宋体" w:hAnsi="宋体" w:eastAsia="宋体"/>
          <w:b w:val="0"/>
          <w:sz w:val="24"/>
        </w:rPr>
        <w:t>[21] 倪培龙. 基于改进A-DDQN算法的机器人路径规划[J]. (2025).</w:t>
      </w:r>
    </w:p>
    <w:p>
      <w:r>
        <w:rPr>
          <w:rFonts w:ascii="宋体" w:hAnsi="宋体" w:eastAsia="宋体"/>
          <w:b w:val="0"/>
          <w:sz w:val="24"/>
        </w:rPr>
        <w:t>[22] 付文浩. 基于改进Dueling-DQN的多无人机路径规划算法[J]. (2024).</w:t>
      </w:r>
    </w:p>
    <w:p>
      <w:r>
        <w:rPr>
          <w:rFonts w:ascii="宋体" w:hAnsi="宋体" w:eastAsia="宋体"/>
          <w:b w:val="0"/>
          <w:sz w:val="24"/>
        </w:rPr>
        <w:t>[23] 白泽琨. 复杂环境下基于强化学习的自主移动机器人路径规划算法研究[D]. (2025).</w:t>
      </w:r>
    </w:p>
    <w:p>
      <w:r>
        <w:rPr>
          <w:rFonts w:ascii="宋体" w:hAnsi="宋体" w:eastAsia="宋体"/>
          <w:b w:val="0"/>
          <w:sz w:val="24"/>
        </w:rPr>
        <w:t>[24] 李海亮. 基于蚁群算法引导深度Q网络的移动机器人路径规划算法[J]. (2025).</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