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耦合奖励、交叉注意力与安全引导增强的深度Q网络及其在栅格路径规划中的应用</w:t>
      </w:r>
    </w:p>
    <w:p>
      <w:r>
        <w:rPr>
          <w:rFonts w:ascii="黑体" w:hAnsi="黑体" w:eastAsia="黑体"/>
          <w:b/>
          <w:sz w:val="28"/>
        </w:rPr>
        <w:t>摘要</w:t>
      </w:r>
    </w:p>
    <w:p>
      <w:r>
        <w:rPr>
          <w:rFonts w:ascii="宋体" w:hAnsi="宋体" w:eastAsia="宋体"/>
          <w:b w:val="0"/>
          <w:sz w:val="24"/>
        </w:rPr>
        <w:t>针对传统深度Q网络（DQN）在栅格路径规划中奖励引导不足、噪声环境下感知能力弱以及探索效率低的问题，本文提出耦合奖励函数、双分支交叉注意力网络与自适应安全引导策略三种改进，并将其集成为完整方法（CR-ASGS-CAT-DQN）。首先，设计耦合奖励函数，将距离进度奖励、方向对齐奖励与局部开阔度奖励三者耦合，从趋近性、方向性和安全性三个维度为价值更新提供密集且精确的引导信号；其次，提出双分支交叉注意力网络（CAT-DQN），将目标信息与障碍物信息分离编码并通过交叉注意力融合，借助5步历史信息增强噪声环境下的感知鲁棒性；最后，提出自适应安全引导策略（ASGS），通过安全加权探索与随训练进度增强的Q值软性惩罚降低无效碰撞。在20×20和30×30栅格地图上的实验表明，耦合奖励与ASGS结合的核心方法将训练成功率分别提升至97.7%±0.8%和96.8%±0.5%（较基准DQN提升17和50个百分点），测试成功率稳定达到100%，路径长度与最优算法A*一致；加入CAT后的完整方法在干净地图上与核心方法基本持平，而在20×20地图的20%传感器噪声下CAT-DQN的测试成功率较传统MLP提升约17个百分点。消融实验验证了方向对齐与开阔度两个奖励分量的有效性。</w:t>
      </w:r>
    </w:p>
    <w:p>
      <w:r>
        <w:rPr>
          <w:rFonts w:ascii="宋体" w:hAnsi="宋体" w:eastAsia="宋体"/>
          <w:b/>
          <w:sz w:val="24"/>
        </w:rPr>
        <w:t>关键词</w:t>
      </w:r>
      <w:r>
        <w:rPr>
          <w:rFonts w:ascii="宋体" w:hAnsi="宋体" w:eastAsia="宋体"/>
          <w:b w:val="0"/>
          <w:sz w:val="24"/>
        </w:rPr>
        <w:t>：深度Q网络；路径规划；耦合奖励；安全引导探索；交叉注意力</w:t>
      </w:r>
    </w:p>
    <w:p>
      <w:r>
        <w:rPr>
          <w:rFonts w:ascii="黑体" w:hAnsi="黑体" w:eastAsia="黑体"/>
          <w:b/>
          <w:sz w:val="28"/>
        </w:rPr>
        <w:t>Abstract</w:t>
      </w:r>
    </w:p>
    <w:p>
      <w:r>
        <w:rPr>
          <w:rFonts w:ascii="宋体" w:hAnsi="宋体" w:eastAsia="宋体"/>
          <w:b w:val="0"/>
          <w:sz w:val="24"/>
        </w:rPr>
        <w:t>To address the problems of insufficient reward guidance, weak perception under sensor noise, and low exploration efficiency of the conventional Deep Q-Network (DQN) in grid-based path planning, this paper proposes three improvements—a coupled reward function (CRF), a dual-branch cross-attention transformer network (CAT-DQN), and an adaptive safety-guided strategy (ASGS)—and integrates them into a complete method termed CR-ASGS-CAT-DQN. The CRF couples distance-progress, direction-alignment, and local-openness rewards to provide dense and precise guidance signals from the perspectives of approach, direction, and safety. The CAT-DQN separates goal information from obstacle information into two branches and fuses them through cross-attention, using a five-step history to enhance perceptual robustness under sensor noise. The ASGS reduces invalid collisions through safety-weighted exploration and an adaptive Q-value penalty that strengthens with training progress. Experiments on 20×20 and 30×30 grid maps show that the core method (CRF+ASGS) improves the training success rate to 97.7%±0.8% and 96.8%±0.5%, respectively, with a stable test success rate of 100% and path lengths consistent with the optimal A* algorithm. Adding CAT keeps clean-map performance essentially unchanged, while under 20% sensor noise on the 20×20 map the CAT-DQN improves the success rate over a conventional MLP by about 17 percentage points. Ablation studies verify the positive contributions of both the direction-alignment and local-openness reward components.</w:t>
      </w:r>
    </w:p>
    <w:p>
      <w:r>
        <w:rPr>
          <w:rFonts w:ascii="宋体" w:hAnsi="宋体" w:eastAsia="宋体"/>
          <w:b/>
          <w:sz w:val="24"/>
        </w:rPr>
        <w:t>Keywords</w:t>
      </w:r>
      <w:r>
        <w:rPr>
          <w:rFonts w:ascii="宋体" w:hAnsi="宋体" w:eastAsia="宋体"/>
          <w:b w:val="0"/>
          <w:sz w:val="24"/>
        </w:rPr>
        <w:t>: Deep Q-Network; path planning; coupled reward; safety-guided exploration; cross-attention</w:t>
      </w:r>
    </w:p>
    <w:p>
      <w:r>
        <w:rPr>
          <w:rFonts w:ascii="黑体" w:hAnsi="黑体" w:eastAsia="黑体"/>
          <w:b/>
          <w:sz w:val="28"/>
        </w:rPr>
        <w:t>1 引言</w:t>
      </w:r>
    </w:p>
    <w:p>
      <w:r>
        <w:rPr>
          <w:rFonts w:ascii="宋体" w:hAnsi="宋体" w:eastAsia="宋体"/>
          <w:b w:val="0"/>
          <w:sz w:val="24"/>
        </w:rPr>
        <w:t>移动机器人已在工业制造、物流仓储、医疗服务、农业[17]等领域获得广泛应用。路径规划作为移动机器人自主导航的核心技术之一[1]，要求在存在障碍物的环境中，从起点到目标点找出一条安全无碰撞的路径。传统的路径规划算法如Dijkstra算法[2]、A*算法[3]、快速扩展随机树（RRT）算法[4]以及蚁群算法等，大多依赖全局环境信息进行建模与求解。这类方法在环境已知且静态的场景下表现良好，但当环境复杂、动态变化或部分不可观测时，其规划的实时性、适应性和鲁棒性往往难以保证。</w:t>
      </w:r>
    </w:p>
    <w:p>
      <w:r>
        <w:rPr>
          <w:rFonts w:ascii="宋体" w:hAnsi="宋体" w:eastAsia="宋体"/>
          <w:b w:val="0"/>
          <w:sz w:val="24"/>
        </w:rPr>
        <w:t>为克服传统方法的局限性，研究者将深度强化学习引入路径规划领域[6]。深度强化学习将深度学习在特征提取方面的优势与强化学习在序贯决策方面的能力相结合，使机器人能够通过与环境交互，直接从原始传感器信息中学习路径规划策略，无需预先构建全局环境模型。深度Q网络（Deep Q-Network, DQN）[7]作为深度强化学习的代表性算法，利用经验回放和目标网络机制有效解决了Q-learning在复杂状态空间中的收敛问题，已被成功应用于移动机器人的路径规划任务[8-9]。</w:t>
      </w:r>
    </w:p>
    <w:p>
      <w:r>
        <w:rPr>
          <w:rFonts w:ascii="宋体" w:hAnsi="宋体" w:eastAsia="宋体"/>
          <w:b w:val="0"/>
          <w:sz w:val="24"/>
        </w:rPr>
        <w:t>然而，将DQN直接应用于移动机器人路径规划仍面临以下三个关键问题：</w:t>
      </w:r>
    </w:p>
    <w:p>
      <w:r>
        <w:rPr>
          <w:rFonts w:ascii="宋体" w:hAnsi="宋体" w:eastAsia="宋体"/>
          <w:b/>
          <w:sz w:val="24"/>
        </w:rPr>
        <w:t>（1）奖励信号设计单一，引导能力不足。</w:t>
      </w:r>
      <w:r>
        <w:rPr>
          <w:rFonts w:ascii="宋体" w:hAnsi="宋体" w:eastAsia="宋体"/>
          <w:b w:val="0"/>
          <w:sz w:val="24"/>
        </w:rPr>
        <w:t xml:space="preserve"> 传统DQN通常采用距离变化作为奖励信号。这种单一奖励信号存在以下缺陷：首先，它仅关注是否接近目标，而忽略了移动方向是否正确这一关键信息，导致机器人可能出现远离目标再折返的迂回路径；其次，它未考虑局部障碍物分布，在障碍物密集区域，距离奖励仍可能为正，引导机器人走向不安全的区域；最后，当机器人距目标较远时，单步距离变化量较小，导致奖励稀疏，难以有效区分不同动作的优劣。桑垚等[10]提出基于势能函数的奖励模型，通过增大奖励密度提升了在简单和复杂地图上的寻路成功率；田箫源等[11]利用状态间访问次数差异给予奖励，平衡状态探索频率；温海骏等[12]设计了包含距离变化、分层、运动和事件完成的多分量复合奖励函数。但上述方法均未在奖励函数中显式编码局部邻域障碍物分布信息，缺乏对路径安全性的直接引导。</w:t>
      </w:r>
    </w:p>
    <w:p>
      <w:r>
        <w:rPr>
          <w:rFonts w:ascii="宋体" w:hAnsi="宋体" w:eastAsia="宋体"/>
          <w:b/>
          <w:sz w:val="24"/>
        </w:rPr>
        <w:t>（2）状态表征能力有限，缺乏时序建模。</w:t>
      </w:r>
      <w:r>
        <w:rPr>
          <w:rFonts w:ascii="宋体" w:hAnsi="宋体" w:eastAsia="宋体"/>
          <w:b w:val="0"/>
          <w:sz w:val="24"/>
        </w:rPr>
        <w:t xml:space="preserve"> 传统DQN采用多层全连接网络（MLP）对所有状态特征统一编码。当状态包含目标位置信息（dx, dy, dist）和障碍物信息（obs0~obs7）两类性质不同的数据时，MLP将二者混合在同一特征空间中，难以区分目标导向和障碍规避这两个本质不同的推理任务。此外，MLP仅利用当前时刻的状态，缺乏时序建模能力。在部分可观测或传感器噪声环境下，单帧状态不足以支持可靠决策，需要结合历史信息。近年来，研究者尝试引入注意力机制和Transformer架构以增强DQN的状态表征能力。马海杰等[13]提出深度注意力Q网络（DAQN），利用自注意力机制挖掘历史数据中的感知信息，提升了部分可观测环境下的路径规划效果。Sharma等[14]将Transformer编码器引入DQN，通过多头自注意力捕获状态间的长程空间依赖。然而，上述方法均采用单通路自注意力架构，将完整状态向量输入同一注意力模块，未对目标信息和障碍物信息进行区分编码。</w:t>
      </w:r>
    </w:p>
    <w:p>
      <w:r>
        <w:rPr>
          <w:rFonts w:ascii="宋体" w:hAnsi="宋体" w:eastAsia="宋体"/>
          <w:b/>
          <w:sz w:val="24"/>
        </w:rPr>
        <w:t>（3）探索策略缺乏先验引导，样本效率低。</w:t>
      </w:r>
      <w:r>
        <w:rPr>
          <w:rFonts w:ascii="宋体" w:hAnsi="宋体" w:eastAsia="宋体"/>
          <w:b w:val="0"/>
          <w:sz w:val="24"/>
        </w:rPr>
        <w:t xml:space="preserve"> DQN的标准探索机制是epsilon-greedy策略：以概率epsilon随机选择动作，以概率1-epsilon选择当前Q值最大的动作。在路径规划中，状态向量包含8个方向的障碍标志obs_i，直接反映了各方向的可通行性。然而，传统epsilon-greedy策略在随机探索时对所有动作等概率采样，无视obs_i提供的信息。这意味着即使obs_i=1（第i个方向有障碍物），该方向仍以1/8的概率被选中，导致大量无效碰撞。田箫源等[11]设计了一种动态探索因子，根据训练进度调整epsilon值，在训练后期侧重利用已有知识，但其改进作用于epsilon值本身，未解决随机探索中方向选择的无偏性问题。温海骏等[12]和张君等[15]引入人工势场法（APF）的引力-斥力场引导动作选取，在探索阶段提供方向性引导。但APF方法需要额外计算每个动作方向的引力和斥力，增加了计算开销，且在复杂障碍物布局中易陷入局部极小值。</w:t>
      </w:r>
    </w:p>
    <w:p>
      <w:r>
        <w:rPr>
          <w:rFonts w:ascii="宋体" w:hAnsi="宋体" w:eastAsia="宋体"/>
          <w:b w:val="0"/>
          <w:sz w:val="24"/>
        </w:rPr>
        <w:t>针对上述三个问题，本文分别从奖励函数设计、网络结构设计和训练策略优化三个维度提出改进，主要贡献如下：</w:t>
      </w:r>
    </w:p>
    <w:p>
      <w:r>
        <w:rPr>
          <w:rFonts w:ascii="宋体" w:hAnsi="宋体" w:eastAsia="宋体"/>
          <w:b w:val="0"/>
          <w:sz w:val="24"/>
        </w:rPr>
        <w:t>（1）提出耦合奖励函数（Coupled Reward Function, CRF）。针对传统距离奖励引导稀疏且缺乏安全性的问题，在距离进度奖励基础上引入方向对齐奖励与局部开阔度奖励：方向对齐奖励评估机器人移动方向与目标方向的一致性，鼓励正面接近目标；局部开阔度奖励评估子目标周围3×3邻域的障碍物密度，引导机器人选择开阔、可执行性高的方向。三者分别从趋近性、方向性和安全性三个维度为Q值更新提供密集且精确的引导。在20×20和30×30栅格地图上，耦合奖励使训练成功率分别由80.7%±2.6%和46.8%±34.4%提升至85.0%±0.4%和75.2%±4.9%，收敛轮数分别缩短约4.8倍和2.6倍；消融实验表明方向对齐与开阔度两个分量均具有正贡献。</w:t>
      </w:r>
    </w:p>
    <w:p>
      <w:r>
        <w:rPr>
          <w:rFonts w:ascii="宋体" w:hAnsi="宋体" w:eastAsia="宋体"/>
          <w:b w:val="0"/>
          <w:sz w:val="24"/>
        </w:rPr>
        <w:t>（2）提出双分支交叉注意力网络（Cross-Attention Transformer DQN, CAT-DQN），解决传感器噪声环境下感知能力弱的问题。将状态空间中的目标信息（dx, dy, dist）与障碍物信息（obs0~obs7）拆分为两个独立分支，分别通过自注意力编码各自时序变化，再由交叉注意力融合：Agent-Goal分支作为Query主动查询Obstacle分支的障碍物分布，实现目标导向与障碍规避的差异化推理。该结构区别于现有方法[13-14]的单通路自注意力架构。CAT-DQN在干净地图上与MLP性能相当，在20×20地图的20%传感器噪声下将测试成功率由6.5%提升至23.4%（提升约17个百分点），展现出面向稀疏障碍场景的感知鲁棒性优势；在障碍密集的30×30地图上该增益减弱，表明其抗噪能力与地图障碍密度相关。</w:t>
      </w:r>
    </w:p>
    <w:p>
      <w:r>
        <w:rPr>
          <w:rFonts w:ascii="宋体" w:hAnsi="宋体" w:eastAsia="宋体"/>
          <w:b w:val="0"/>
          <w:sz w:val="24"/>
        </w:rPr>
        <w:t>（3）提出自适应安全引导策略（Adaptive Safety-Guided Strategy, ASGS），解决随机探索效率低、无效碰撞多的问题。探索阶段依据obs标志为各方向分配非均匀选择概率，不安全方向权重仅0.1；利用阶段对不安全方向Q值施加随训练进度从5.0线性增强至15.0的软性惩罚。单独使用ASGS无法在复杂地图上收敛，但与耦合奖励结合后在30×30密集障碍物环境中训练成功率稳定达到96.8%±0.5%，较耦合奖励提升21.6个百分点，较基准DQN提升50.0个百分点，标准差由34.4%降至0.5%，显著提升训练稳定性，同时不损害最终路径规划质量。</w:t>
      </w:r>
    </w:p>
    <w:p>
      <w:r>
        <w:rPr>
          <w:rFonts w:ascii="宋体" w:hAnsi="宋体" w:eastAsia="宋体"/>
          <w:b w:val="0"/>
          <w:sz w:val="24"/>
        </w:rPr>
        <w:t>将三种改进集成，得到完整方法CR-ASGS-CAT-DQN。三者分别作用于奖励引导、感知表征和探索决策，维度正交、互不冲突；集成后在保持与核心方法相当的规划性能的同时获得噪声环境下的感知鲁棒性。在20×20地图上，三合一（CAT+耦合+ASGS）训练成功率为97.7%±0.5%（3个种子），与CRF+ASGS（97.7%±0.8%）持平；在30×30地图上为95.2%±1.6%（3个种子），与CRF+ASGS（96.8%±0.5%）基本持平；Greedy成功率均稳定为100%。CAT作为可插拔模块，在不损害干净地图规划质量的前提下，在稀疏障碍地图（20×20）的噪声环境下将感知鲁棒性提升约17个百分点。</w:t>
      </w:r>
    </w:p>
    <w:p>
      <w:r>
        <w:rPr>
          <w:rFonts w:ascii="宋体" w:hAnsi="宋体" w:eastAsia="宋体"/>
          <w:b w:val="0"/>
          <w:sz w:val="24"/>
        </w:rPr>
        <w:t>本文的组织结构如下：第2节介绍相关工作和DQN算法的基本原理；第3节详细阐述耦合奖励函数、Cross-Attention Transformer网络结构和自适应安全引导策略三个改进方法的设计细节；第4节给出仿真实验设置、对比结果和消融分析；第5节总结全文并展望未来工作。</w:t>
      </w:r>
    </w:p>
    <w:p>
      <w:r>
        <w:rPr>
          <w:rFonts w:ascii="黑体" w:hAnsi="黑体" w:eastAsia="黑体"/>
          <w:b/>
          <w:sz w:val="28"/>
        </w:rPr>
        <w:t>2 相关工作</w:t>
      </w:r>
    </w:p>
    <w:p>
      <w:r>
        <w:rPr>
          <w:rFonts w:ascii="黑体" w:hAnsi="黑体" w:eastAsia="黑体"/>
          <w:b/>
          <w:sz w:val="24"/>
        </w:rPr>
        <w:t>2.1 基于深度强化学习的路径规划</w:t>
      </w:r>
    </w:p>
    <w:p>
      <w:r>
        <w:rPr>
          <w:rFonts w:ascii="宋体" w:hAnsi="宋体" w:eastAsia="宋体"/>
          <w:b w:val="0"/>
          <w:sz w:val="24"/>
        </w:rPr>
        <w:t>深度强化学习将感知与决策相结合，已在栅格路径规划中得到广泛应用。Mnih等[7]提出的DQN通过经验回放与目标网络解决了Q-learning在复杂状态空间中的收敛问题；Van Hasselt等[21]提出的Double DQN通过解耦动作选择与价值评估降低Q值过估计；Wang等[22]提出的Dueling DQN将Q值分解为状态价值与动作优势，提升了价值估计的稳定性；Schaul等[23]提出的优先经验回放（PER）按时序差分误差采样，提高样本利用效率。在国内研究中，谢天等[8]、于效民等[9]、李奇儒等[16]分别将改进DQN应用于移动机器人路径规划，验证了深度强化学习方法在未知环境下学习策略的可行性；张磊等[24]通过改进深度双Q网络提升了栅格环境下的路径规划成功率；倪培龙等[19]将A*启发信息与Double DQN结合，改善了早期探索效率；付文浩等[20]将改进Dueling-DQN应用于多无人机路径规划；白泽琨[18]研究了复杂环境下基于强化学习的自主移动机器人路径规划；李海亮等[5]利用蚁群算法引导深度Q网络进行路径规划。上述方法主要从算法框架层面改进，未系统考虑奖励引导、感知表征与探索策略三者之间的协同。</w:t>
      </w:r>
    </w:p>
    <w:p>
      <w:r>
        <w:rPr>
          <w:rFonts w:ascii="黑体" w:hAnsi="黑体" w:eastAsia="黑体"/>
          <w:b/>
          <w:sz w:val="24"/>
        </w:rPr>
        <w:t>2.2 奖励函数设计</w:t>
      </w:r>
    </w:p>
    <w:p>
      <w:r>
        <w:rPr>
          <w:rFonts w:ascii="宋体" w:hAnsi="宋体" w:eastAsia="宋体"/>
          <w:b w:val="0"/>
          <w:sz w:val="24"/>
        </w:rPr>
        <w:t>奖励函数直接决定强化学习策略的优化方向。传统距离奖励仅关注机器人是否接近目标，存在引导稀疏、方向缺失与安全性不足等问题。桑垚等[10]基于势能函数设计奖励模型，通过增大奖励密度提升寻路成功率；田箫源等[11]根据状态访问次数差异给予奖励，平衡状态探索频率；温海骏等[12]设计了包含距离变化、分层、运动和事件完成的多分量复合奖励函数；张君等[15]引入人工势场信息，利用引力与斥力场引导动作选取。然而，上述方法均未显式编码局部邻域障碍物分布信息，也未考虑全局子目标对局部控制器可执行性的影响。为此，本文设计耦合奖励函数，将方向一致性与局部开阔度引入奖励信号，使DQN不仅学习“更接近目标”，还学习“沿正确方向、在开阔区域接近目标”。</w:t>
      </w:r>
    </w:p>
    <w:p>
      <w:r>
        <w:rPr>
          <w:rFonts w:ascii="黑体" w:hAnsi="黑体" w:eastAsia="黑体"/>
          <w:b/>
          <w:sz w:val="24"/>
        </w:rPr>
        <w:t>2.3 注意力机制与安全探索</w:t>
      </w:r>
    </w:p>
    <w:p>
      <w:r>
        <w:rPr>
          <w:rFonts w:ascii="宋体" w:hAnsi="宋体" w:eastAsia="宋体"/>
          <w:b w:val="0"/>
          <w:sz w:val="24"/>
        </w:rPr>
        <w:t>注意力机制能够动态加权不同特征，适合处理部分可观测与噪声环境下的状态表征。马海杰等[13]提出深度注意力Q网络，利用自注意力挖掘历史感知信息；Sharma等[14]将Transformer编码器引入DQN，通过多头自注意力捕获状态间长程依赖。但上述方法均采用单通路自注意力架构，将目标信息与障碍物信息混合编码，未利用两类信息的不同语义。在探索策略方面，田箫源等[11]采用动态探索因子调整epsilon，温海骏等[12]与张君等[15]利用人工势场引导动作选取，但前者未解决随机探索中方向选择的无偏性问题，后者需要额外计算势场且易陷入局部极小。本文提出的双分支交叉注意力网络将目标与障碍物分离编码后再融合，并借助5步历史信息增强噪声鲁棒性；自适应安全引导策略则直接利用障碍标志构建非均匀探索概率与自适应Q值惩罚，在不引入额外势场计算的前提下降低无效碰撞。</w:t>
      </w:r>
    </w:p>
    <w:p>
      <w:r>
        <w:rPr>
          <w:rFonts w:ascii="黑体" w:hAnsi="黑体" w:eastAsia="黑体"/>
          <w:b/>
          <w:sz w:val="28"/>
        </w:rPr>
        <w:t>3 方法</w:t>
      </w:r>
    </w:p>
    <w:p>
      <w:r>
        <w:rPr>
          <w:rFonts w:ascii="黑体" w:hAnsi="黑体" w:eastAsia="黑体"/>
          <w:b/>
          <w:sz w:val="24"/>
        </w:rPr>
        <w:t>3.1 问题描述与DQN基础</w:t>
      </w:r>
    </w:p>
    <w:p>
      <w:r>
        <w:rPr>
          <w:rFonts w:ascii="宋体" w:hAnsi="宋体" w:eastAsia="宋体"/>
          <w:b w:val="0"/>
          <w:sz w:val="24"/>
        </w:rPr>
        <w:t>本文将移动机器人路径规划建模为马尔可夫决策过程（MDP），记为元组 (S, A, P, R, gamma)。其中状态空间S包含11维特征：目标相对位置(dx, dy)、目标距离(dist)以及8个方向的障碍标志(obs0~obs7)；动作空间A包含8个方向（上、下、左、右及四个对角方向）；P为状态转移概率；R为奖励函数；gamma为折扣因子。</w:t>
      </w:r>
    </w:p>
    <w:p>
      <w:r>
        <w:rPr>
          <w:rFonts w:ascii="宋体" w:hAnsi="宋体" w:eastAsia="宋体"/>
          <w:b w:val="0"/>
          <w:sz w:val="24"/>
        </w:rPr>
        <w:t>DQN利用深度神经网络Q(s,a;theta)逼近最优动作价值函数，通过最小化时序差分误差更新网络参数。其中theta-为目标网络参数，周期性地从当前网络复制。</w:t>
      </w:r>
    </w:p>
    <w:p>
      <w:r>
        <w:rPr>
          <w:rFonts w:ascii="黑体" w:hAnsi="黑体" w:eastAsia="黑体"/>
          <w:b/>
          <w:sz w:val="24"/>
        </w:rPr>
        <w:t>3.2 耦合奖励函数</w:t>
      </w:r>
    </w:p>
    <w:p>
      <w:r>
        <w:rPr>
          <w:rFonts w:ascii="宋体" w:hAnsi="宋体" w:eastAsia="宋体"/>
          <w:b w:val="0"/>
          <w:sz w:val="24"/>
        </w:rPr>
        <w:t>针对传统距离奖励的不足，本文提出耦合奖励函数，将距离进度奖励、方向对齐奖励与局部开阔度奖励三者耦合：</w:t>
      </w:r>
    </w:p>
    <w:p>
      <w:pPr>
        <w:jc w:val="center"/>
      </w:pPr>
      <m:oMathPara>
        <m:oMath>
          <m:sSub>
            <m:e>
              <m:r>
                <m:t>R</m:t>
              </m:r>
            </m:e>
            <m:sub>
              <m:r>
                <m:t>total</m:t>
              </m:r>
            </m:sub>
          </m:sSub>
          <m:r>
            <m:t>=</m:t>
          </m:r>
          <m:sSub>
            <m:e>
              <m:r>
                <m:t>r</m:t>
              </m:r>
            </m:e>
            <m:sub>
              <m:r>
                <m:t>dist</m:t>
              </m:r>
            </m:sub>
          </m:sSub>
          <m:r>
            <m:t>+</m:t>
          </m:r>
          <m:sSub>
            <m:e>
              <m:r>
                <m:t>r</m:t>
              </m:r>
            </m:e>
            <m:sub>
              <m:r>
                <m:t>align</m:t>
              </m:r>
            </m:sub>
          </m:sSub>
          <m:r>
            <m:t>+</m:t>
          </m:r>
          <m:sSub>
            <m:e>
              <m:r>
                <m:t>r</m:t>
              </m:r>
            </m:e>
            <m:sub>
              <m:r>
                <m:t>open</m:t>
              </m:r>
            </m:sub>
          </m:sSub>
        </m:oMath>
      </m:oMathPara>
    </w:p>
    <w:p>
      <w:r>
        <w:rPr>
          <w:rFonts w:ascii="黑体" w:hAnsi="黑体" w:eastAsia="黑体"/>
          <w:b/>
          <w:sz w:val="24"/>
        </w:rPr>
        <w:t>3.2.1 距离进度奖励</w:t>
      </w:r>
    </w:p>
    <w:p>
      <w:pPr>
        <w:jc w:val="center"/>
      </w:pPr>
      <m:oMathPara>
        <m:oMath>
          <m:sSub>
            <m:e>
              <m:r>
                <m:t>r</m:t>
              </m:r>
            </m:e>
            <m:sub>
              <m:r>
                <m:t>dist</m:t>
              </m:r>
            </m:sub>
          </m:sSub>
          <m:r>
            <m:t>=</m:t>
          </m:r>
          <m:d>
            <m:dPr>
              <m:begChr m:val="("/>
              <m:endChr m:val=")"/>
            </m:dPr>
            <m:e>
              <m:sSub>
                <m:e>
                  <m:r>
                    <m:t>d</m:t>
                  </m:r>
                </m:e>
                <m:sub>
                  <m:r>
                    <m:t>t-1</m:t>
                  </m:r>
                </m:sub>
              </m:sSub>
              <m:r>
                <m:t>−</m:t>
              </m:r>
              <m:sSub>
                <m:e>
                  <m:r>
                    <m:t>d</m:t>
                  </m:r>
                </m:e>
                <m:sub>
                  <m:r>
                    <m:t>t</m:t>
                  </m:r>
                </m:sub>
              </m:sSub>
            </m:e>
          </m:d>
          <m:r>
            <m:t>·</m:t>
          </m:r>
          <m:r>
            <m:t>β</m:t>
          </m:r>
        </m:oMath>
      </m:oMathPara>
    </w:p>
    <w:p>
      <w:r>
        <w:rPr>
          <w:rFonts w:ascii="宋体" w:hAnsi="宋体" w:eastAsia="宋体"/>
          <w:b w:val="0"/>
          <w:sz w:val="24"/>
        </w:rPr>
        <w:t>其中d_t为t时刻机器人与目标点的欧氏距离，beta=2.0为距离奖励系数。该奖励保留传统距离奖励的核心思想，鼓励机器人趋近目标。</w:t>
      </w:r>
    </w:p>
    <w:p>
      <w:r>
        <w:rPr>
          <w:rFonts w:ascii="黑体" w:hAnsi="黑体" w:eastAsia="黑体"/>
          <w:b/>
          <w:sz w:val="24"/>
        </w:rPr>
        <w:t>3.2.2 方向对齐奖励</w:t>
      </w:r>
    </w:p>
    <w:p>
      <w:pPr>
        <w:jc w:val="center"/>
      </w:pPr>
      <m:oMathPara>
        <m:oMath>
          <m:sSub>
            <m:e>
              <m:r>
                <m:t>r</m:t>
              </m:r>
            </m:e>
            <m:sub>
              <m:r>
                <m:t>align</m:t>
              </m:r>
            </m:sub>
          </m:sSub>
          <m:r>
            <m:t>=</m:t>
          </m:r>
          <m:r>
            <m:t>α</m:t>
          </m:r>
          <m:r>
            <m:t>·</m:t>
          </m:r>
          <m:r>
            <m:t>cos</m:t>
          </m:r>
          <m:d>
            <m:dPr>
              <m:begChr m:val="("/>
              <m:endChr m:val=")"/>
            </m:dPr>
            <m:e>
              <m:r>
                <m:t>θ</m:t>
              </m:r>
              <m:r>
                <m:t>−</m:t>
              </m:r>
              <m:sSub>
                <m:e>
                  <m:r>
                    <m:t>θ</m:t>
                  </m:r>
                </m:e>
                <m:sub>
                  <m:r>
                    <m:t>goal</m:t>
                  </m:r>
                </m:sub>
              </m:sSub>
            </m:e>
          </m:d>
        </m:oMath>
      </m:oMathPara>
    </w:p>
    <w:p>
      <w:r>
        <w:rPr>
          <w:rFonts w:ascii="宋体" w:hAnsi="宋体" w:eastAsia="宋体"/>
          <w:b w:val="0"/>
          <w:sz w:val="24"/>
        </w:rPr>
        <w:t>其中alpha=0.5为方向对齐系数；theta为机器人当前的移动方向角；theta_goal为从机器人当前位置指向子目标的方向角。当机器人朝向子目标方向移动时，cos(theta - theta_goal)约等于1，获得正向奖励；当机器人背离子目标方向移动时，获得负向奖励。与距离奖励的区别在于：距离奖励只关注"是否更近"，而方向对齐奖励关注"是否走对了方向"。</w:t>
      </w:r>
    </w:p>
    <w:p>
      <w:r>
        <w:rPr>
          <w:rFonts w:ascii="黑体" w:hAnsi="黑体" w:eastAsia="黑体"/>
          <w:b/>
          <w:sz w:val="24"/>
        </w:rPr>
        <w:t>3.2.3 局部开阔度奖励</w:t>
      </w:r>
    </w:p>
    <w:p>
      <w:pPr>
        <w:jc w:val="center"/>
      </w:pPr>
      <m:oMathPara>
        <m:oMath>
          <m:sSub>
            <m:e>
              <m:r>
                <m:t>r</m:t>
              </m:r>
            </m:e>
            <m:sub>
              <m:r>
                <m:t>open</m:t>
              </m:r>
            </m:sub>
          </m:sSub>
          <m:r>
            <m:t>=</m:t>
          </m:r>
          <m:r>
            <m:t>γ</m:t>
          </m:r>
          <m:r>
            <m:t>·</m:t>
          </m:r>
          <m:d>
            <m:dPr>
              <m:begChr m:val="("/>
              <m:endChr m:val=")"/>
            </m:dPr>
            <m:e>
              <m:r>
                <m:t>1</m:t>
              </m:r>
              <m:r>
                <m:t>−</m:t>
              </m:r>
              <m:f>
                <m:num>
                  <m:sSub>
                    <m:e>
                      <m:r>
                        <m:t>N</m:t>
                      </m:r>
                    </m:e>
                    <m:sub>
                      <m:r>
                        <m:t>obs</m:t>
                      </m:r>
                    </m:sub>
                  </m:sSub>
                </m:num>
                <m:den>
                  <m:r>
                    <m:t>9</m:t>
                  </m:r>
                </m:den>
              </m:f>
            </m:e>
          </m:d>
        </m:oMath>
      </m:oMathPara>
    </w:p>
    <w:p>
      <w:r>
        <w:rPr>
          <w:rFonts w:ascii="宋体" w:hAnsi="宋体" w:eastAsia="宋体"/>
          <w:b w:val="0"/>
          <w:sz w:val="24"/>
        </w:rPr>
        <w:t>其中gamma=0.3为开阔度系数；N_obs为子目标周围3x3邻域内的障碍物网格数。当子目标周围无障碍物时，openness=1，获得最大奖励0.3；当子目标周围充满障碍物时，openness=0，奖励为零。该奖励引导机器人选择"虽然当前步距离变化不大，但下一步选择更多"的安全方向，避免走入死胡同。</w:t>
      </w:r>
    </w:p>
    <w:p>
      <w:r>
        <w:rPr>
          <w:rFonts w:ascii="黑体" w:hAnsi="黑体" w:eastAsia="黑体"/>
          <w:b/>
          <w:sz w:val="24"/>
        </w:rPr>
        <w:t>3.3 Cross-Attention Transformer DQN（CAT-DQN）</w:t>
      </w:r>
    </w:p>
    <w:p>
      <w:r>
        <w:rPr>
          <w:rFonts w:ascii="宋体" w:hAnsi="宋体" w:eastAsia="宋体"/>
          <w:b w:val="0"/>
          <w:sz w:val="24"/>
        </w:rPr>
        <w:t>传统MLP将目标信息与障碍信息混合在同一特征空间，难以区分两个本质不同的推理任务。为此，本文提出CAT-DQN，其结构如下：</w:t>
      </w:r>
    </w:p>
    <w:p>
      <w:r>
        <w:rPr>
          <w:rFonts w:ascii="宋体" w:hAnsi="宋体" w:eastAsia="宋体"/>
          <w:b w:val="0"/>
          <w:sz w:val="24"/>
        </w:rPr>
        <w:t>（1）双分支输入：将11维状态拆分为目标分支（dx, dy, dist）和障碍分支（obs0~obs7）。</w:t>
      </w:r>
    </w:p>
    <w:p>
      <w:r>
        <w:rPr>
          <w:rFonts w:ascii="宋体" w:hAnsi="宋体" w:eastAsia="宋体"/>
          <w:b w:val="0"/>
          <w:sz w:val="24"/>
        </w:rPr>
        <w:t>（2）分支自注意力编码：两个分支分别通过独立的TransformerEncoder层，编码各自的时序变化规律（利用5步历史状态序列）。</w:t>
      </w:r>
    </w:p>
    <w:p>
      <w:r>
        <w:rPr>
          <w:rFonts w:ascii="宋体" w:hAnsi="宋体" w:eastAsia="宋体"/>
          <w:b w:val="0"/>
          <w:sz w:val="24"/>
        </w:rPr>
        <w:t>（3）交叉注意力融合：Agent-Goal分支作为Query，主动查询Obstacle分支的障碍物分布（Key/Value），实现目标导向与障碍规避的协同决策。</w:t>
      </w:r>
    </w:p>
    <w:p>
      <w:r>
        <w:rPr>
          <w:rFonts w:ascii="宋体" w:hAnsi="宋体" w:eastAsia="宋体"/>
          <w:b w:val="0"/>
          <w:sz w:val="24"/>
        </w:rPr>
        <w:t>（4）输出层：将融合特征输入全连接层，输出8个动作的Q值。</w:t>
      </w:r>
    </w:p>
    <w:p>
      <w:r>
        <w:rPr>
          <w:rFonts w:ascii="宋体" w:hAnsi="宋体" w:eastAsia="宋体"/>
          <w:b w:val="0"/>
          <w:sz w:val="24"/>
        </w:rPr>
        <w:t>该双分支交叉注意力结构通过分离编码与交叉融合，使网络能够分别学习"目标在哪里"与"哪条路被挡住"两类推理，更符合路径规划的认知逻辑，并在噪声环境下借助5步历史信息纠正传感器噪声干扰。</w:t>
      </w:r>
    </w:p>
    <w:p>
      <w:r>
        <w:rPr>
          <w:rFonts w:ascii="黑体" w:hAnsi="黑体" w:eastAsia="黑体"/>
          <w:b/>
          <w:sz w:val="24"/>
        </w:rPr>
        <w:t>3.4 自适应安全引导策略（ASGS）</w:t>
      </w:r>
    </w:p>
    <w:p>
      <w:r>
        <w:rPr>
          <w:rFonts w:ascii="宋体" w:hAnsi="宋体" w:eastAsia="宋体"/>
          <w:b w:val="0"/>
          <w:sz w:val="24"/>
        </w:rPr>
        <w:t>ASGS从探索和利用两个阶段分别对动作选择过程进行安全引导。</w:t>
      </w:r>
    </w:p>
    <w:p>
      <w:r>
        <w:rPr>
          <w:rFonts w:ascii="黑体" w:hAnsi="黑体" w:eastAsia="黑体"/>
          <w:b/>
          <w:sz w:val="24"/>
        </w:rPr>
        <w:t>3.4.1 安全加权探索</w:t>
      </w:r>
    </w:p>
    <w:p>
      <w:r>
        <w:rPr>
          <w:rFonts w:ascii="宋体" w:hAnsi="宋体" w:eastAsia="宋体"/>
          <w:b w:val="0"/>
          <w:sz w:val="24"/>
        </w:rPr>
        <w:t>在探索阶段，传统epsilon-greedy对所有方向等概率随机选择，无视障碍信息。本文根据各方向的安全程度分配选择概率：</w:t>
      </w:r>
    </w:p>
    <w:p>
      <w:pPr>
        <w:jc w:val="center"/>
      </w:pPr>
      <m:oMathPara>
        <m:oMath>
          <m:r>
            <m:t>P</m:t>
          </m:r>
          <m:d>
            <m:dPr>
              <m:begChr m:val="("/>
              <m:endChr m:val=")"/>
            </m:dPr>
            <m:e>
              <m:sSub>
                <m:e>
                  <m:r>
                    <m:t>a</m:t>
                  </m:r>
                </m:e>
                <m:sub>
                  <m:r>
                    <m:t>i</m:t>
                  </m:r>
                </m:sub>
              </m:sSub>
            </m:e>
          </m:d>
          <m:r>
            <m:t>=</m:t>
          </m:r>
          <m:sSub>
            <m:e>
              <m:r>
                <m:t>w</m:t>
              </m:r>
            </m:e>
            <m:sub>
              <m:r>
                <m:t>i</m:t>
              </m:r>
            </m:sub>
          </m:sSub>
          <m:r>
            <m:t>/</m:t>
          </m:r>
          <m:nary>
            <m:naryPr>
              <m:chr m:val="∑"/>
              <m:limLoc m:val="undOvr"/>
            </m:naryPr>
            <m:sub>
              <m:r>
                <m:t>j</m:t>
              </m:r>
            </m:sub>
            <m:sup>
              <m:r>
                <m:t/>
              </m:r>
            </m:sup>
            <m:e>
              <m:sSub>
                <m:e>
                  <m:r>
                    <m:t>w</m:t>
                  </m:r>
                </m:e>
                <m:sub>
                  <m:r>
                    <m:t>j</m:t>
                  </m:r>
                </m:sub>
              </m:sSub>
            </m:e>
          </m:nary>
          <m:r>
            <m:t>,  </m:t>
          </m:r>
          <m:sSub>
            <m:e>
              <m:r>
                <m:t>w</m:t>
              </m:r>
            </m:e>
            <m:sub>
              <m:r>
                <m:t>i</m:t>
              </m:r>
            </m:sub>
          </m:sSub>
          <m:r>
            <m:t>=</m:t>
          </m:r>
          <m:d>
            <m:dPr>
              <m:begChr m:val="{"/>
              <m:endChr m:val=""/>
            </m:dPr>
            <m:e>
              <m:eqArr>
                <m:e>
                  <m:r>
                    <m:t>0.1, if </m:t>
                  </m:r>
                  <m:sSub>
                    <m:e>
                      <m:r>
                        <m:t>obs</m:t>
                      </m:r>
                    </m:e>
                    <m:sub>
                      <m:r>
                        <m:t>i</m:t>
                      </m:r>
                    </m:sub>
                  </m:sSub>
                  <m:r>
                    <m:t> = 1</m:t>
                  </m:r>
                </m:e>
                <m:e>
                  <m:r>
                    <m:t>1.0, otherwise</m:t>
                  </m:r>
                </m:e>
              </m:eqArr>
            </m:e>
          </m:d>
        </m:oMath>
      </m:oMathPara>
    </w:p>
    <w:p>
      <w:r>
        <w:rPr>
          <w:rFonts w:ascii="宋体" w:hAnsi="宋体" w:eastAsia="宋体"/>
          <w:b w:val="0"/>
          <w:sz w:val="24"/>
        </w:rPr>
        <w:t>该机制下，安全方向被选择的概率远高于不安全方向，但保留了约1/10的探索可能性，避免因过度屏蔽而遗漏潜在可行路径。</w:t>
      </w:r>
    </w:p>
    <w:p>
      <w:r>
        <w:rPr>
          <w:rFonts w:ascii="黑体" w:hAnsi="黑体" w:eastAsia="黑体"/>
          <w:b/>
          <w:sz w:val="24"/>
        </w:rPr>
        <w:t>3.4.2 自适应Q值修正</w:t>
      </w:r>
    </w:p>
    <w:p>
      <w:r>
        <w:rPr>
          <w:rFonts w:ascii="宋体" w:hAnsi="宋体" w:eastAsia="宋体"/>
          <w:b w:val="0"/>
          <w:sz w:val="24"/>
        </w:rPr>
        <w:t>在利用阶段，本文提出自适应Q值修正机制，直接利用obs标志对Q值进行软性修正：</w:t>
      </w:r>
    </w:p>
    <w:p>
      <w:pPr>
        <w:jc w:val="center"/>
      </w:pPr>
      <m:oMathPara>
        <m:oMath>
          <m:sSup>
            <m:e>
              <m:r>
                <m:t>Q</m:t>
              </m:r>
            </m:e>
            <m:sup>
              <m:r>
                <m:t>′</m:t>
              </m:r>
            </m:sup>
          </m:sSup>
          <m:d>
            <m:dPr>
              <m:begChr m:val="("/>
              <m:endChr m:val=")"/>
            </m:dPr>
            <m:e>
              <m:r>
                <m:t>s,</m:t>
              </m:r>
              <m:sSub>
                <m:e>
                  <m:r>
                    <m:t>a</m:t>
                  </m:r>
                </m:e>
                <m:sub>
                  <m:r>
                    <m:t>i</m:t>
                  </m:r>
                </m:sub>
              </m:sSub>
            </m:e>
          </m:d>
          <m:r>
            <m:t>=</m:t>
          </m:r>
          <m:r>
            <m:t>Q</m:t>
          </m:r>
          <m:d>
            <m:dPr>
              <m:begChr m:val="("/>
              <m:endChr m:val=")"/>
            </m:dPr>
            <m:e>
              <m:r>
                <m:t>s,</m:t>
              </m:r>
              <m:sSub>
                <m:e>
                  <m:r>
                    <m:t>a</m:t>
                  </m:r>
                </m:e>
                <m:sub>
                  <m:r>
                    <m:t>i</m:t>
                  </m:r>
                </m:sub>
              </m:sSub>
            </m:e>
          </m:d>
          <m:r>
            <m:t>−</m:t>
          </m:r>
          <m:r>
            <m:t>λ</m:t>
          </m:r>
          <m:r>
            <m:t>·</m:t>
          </m:r>
          <m:sSub>
            <m:e>
              <m:r>
                <m:t>obs</m:t>
              </m:r>
            </m:e>
            <m:sub>
              <m:r>
                <m:t>i</m:t>
              </m:r>
            </m:sub>
          </m:sSub>
        </m:oMath>
      </m:oMathPara>
    </w:p>
    <w:p>
      <w:r>
        <w:rPr>
          <w:rFonts w:ascii="宋体" w:hAnsi="宋体" w:eastAsia="宋体"/>
          <w:b w:val="0"/>
          <w:sz w:val="24"/>
        </w:rPr>
        <w:t>其中lambda为修正强度系数，其取值根据训练进度动态调整：</w:t>
      </w:r>
    </w:p>
    <w:p>
      <w:pPr>
        <w:jc w:val="center"/>
      </w:pPr>
      <m:oMathPara>
        <m:oMath>
          <m:r>
            <m:t>λ</m:t>
          </m:r>
          <m:r>
            <m:t>=</m:t>
          </m:r>
          <m:r>
            <m:t>5.0</m:t>
          </m:r>
          <m:r>
            <m:t>+</m:t>
          </m:r>
          <m:r>
            <m:t>10.0</m:t>
          </m:r>
          <m:r>
            <m:t>·</m:t>
          </m:r>
          <m:f>
            <m:num>
              <m:r>
                <m:t>k</m:t>
              </m:r>
            </m:num>
            <m:den>
              <m:r>
                <m:t>K</m:t>
              </m:r>
            </m:den>
          </m:f>
        </m:oMath>
      </m:oMathPara>
    </w:p>
    <w:p>
      <w:r>
        <w:rPr>
          <w:rFonts w:ascii="宋体" w:hAnsi="宋体" w:eastAsia="宋体"/>
          <w:b w:val="0"/>
          <w:sz w:val="24"/>
        </w:rPr>
        <w:t>其中k为当前训练轮数，K为总训练轮数。训练前期，网络对环境认识尚不充分，lambda取值较小（约5），允许选择不安全方向进行必要的探索；训练后期，网络已基本收敛，lambda取值较大（约15），有效压制不安全方向，确保最终策略的安全性。</w:t>
      </w:r>
    </w:p>
    <w:p>
      <w:r>
        <w:rPr>
          <w:rFonts w:ascii="黑体" w:hAnsi="黑体" w:eastAsia="黑体"/>
          <w:b/>
          <w:sz w:val="24"/>
        </w:rPr>
        <w:t>3.5 完整方法集成</w:t>
      </w:r>
    </w:p>
    <w:p>
      <w:r>
        <w:rPr>
          <w:rFonts w:ascii="宋体" w:hAnsi="宋体" w:eastAsia="宋体"/>
          <w:b w:val="0"/>
          <w:sz w:val="24"/>
        </w:rPr>
        <w:t>将上述三种改进集成为完整方法CR-ASGS-CAT-DQN：耦合奖励函数为价值更新提供密集且精确的引导信号；CAT-DQN提供目标-障碍分离编码与历史时序建模能力；ASGS在探索与利用阶段均引入安全先验。三个模块分别作用于奖励、网络和决策层面，维度正交、互不冲突。训练时，网络以5步历史状态序列为输入，输出8个动作的Q值；结合当前障碍标志施加ASGS自适应修正后选择动作；环境根据耦合奖励函数返回奖励。测试（Greedy）阶段同样保留ASGS最终lambda（默认15.0）的Q值修正，与训练利用阶段的决策规则一致。</w:t>
      </w:r>
    </w:p>
    <w:p>
      <w:r>
        <w:rPr>
          <w:rFonts w:ascii="黑体" w:hAnsi="黑体" w:eastAsia="黑体"/>
          <w:b/>
          <w:sz w:val="28"/>
        </w:rPr>
        <w:t>4 实验</w:t>
      </w:r>
    </w:p>
    <w:p>
      <w:r>
        <w:rPr>
          <w:rFonts w:ascii="黑体" w:hAnsi="黑体" w:eastAsia="黑体"/>
          <w:b/>
          <w:sz w:val="24"/>
        </w:rPr>
        <w:t>4.1 实验设置</w:t>
      </w:r>
    </w:p>
    <w:p>
      <w:r>
        <w:rPr>
          <w:rFonts w:ascii="宋体" w:hAnsi="宋体" w:eastAsia="宋体"/>
          <w:b/>
          <w:sz w:val="24"/>
        </w:rPr>
        <w:t>地图环境</w:t>
      </w:r>
      <w:r>
        <w:rPr>
          <w:rFonts w:ascii="宋体" w:hAnsi="宋体" w:eastAsia="宋体"/>
          <w:b w:val="0"/>
          <w:sz w:val="24"/>
        </w:rPr>
        <w:t>：采用20x20和30x30两种栅格地图。20x20地图包含38个障碍物（密度9.5%），起点(1,1)，终点(18,18)；30x30地图包含135个障碍物（密度15%，含三层屏障），起点(2,2)，终点(28,28)。</w:t>
      </w:r>
    </w:p>
    <w:p>
      <w:r>
        <w:rPr>
          <w:rFonts w:ascii="宋体" w:hAnsi="宋体" w:eastAsia="宋体"/>
          <w:b/>
          <w:sz w:val="24"/>
        </w:rPr>
        <w:t>对比方法</w:t>
      </w:r>
      <w:r>
        <w:rPr>
          <w:rFonts w:ascii="宋体" w:hAnsi="宋体" w:eastAsia="宋体"/>
          <w:b w:val="0"/>
          <w:sz w:val="24"/>
        </w:rPr>
        <w:t>：</w:t>
      </w:r>
    </w:p>
    <w:p>
      <w:pPr>
        <w:pStyle w:val="ListBullet"/>
      </w:pPr>
      <w:r>
        <w:rPr>
          <w:rFonts w:ascii="宋体" w:hAnsi="宋体" w:eastAsia="宋体"/>
          <w:b w:val="0"/>
          <w:sz w:val="24"/>
        </w:rPr>
        <w:t>基准DQN（S0）：稀疏奖励（到达+10/碰撞-1/其他0），MLP网络</w:t>
      </w:r>
    </w:p>
    <w:p>
      <w:pPr>
        <w:pStyle w:val="ListBullet"/>
      </w:pPr>
      <w:r>
        <w:rPr>
          <w:rFonts w:ascii="宋体" w:hAnsi="宋体" w:eastAsia="宋体"/>
          <w:b w:val="0"/>
          <w:sz w:val="24"/>
        </w:rPr>
        <w:t>基准DQN+ASGS（S0A）：稀疏奖励 + 安全引导探索</w:t>
      </w:r>
    </w:p>
    <w:p>
      <w:pPr>
        <w:pStyle w:val="ListBullet"/>
      </w:pPr>
      <w:r>
        <w:rPr>
          <w:rFonts w:ascii="宋体" w:hAnsi="宋体" w:eastAsia="宋体"/>
          <w:b w:val="0"/>
          <w:sz w:val="24"/>
        </w:rPr>
        <w:t>耦合奖励（E1）：距离+方向对齐+开阔度</w:t>
      </w:r>
    </w:p>
    <w:p>
      <w:pPr>
        <w:pStyle w:val="ListBullet"/>
      </w:pPr>
      <w:r>
        <w:rPr>
          <w:rFonts w:ascii="宋体" w:hAnsi="宋体" w:eastAsia="宋体"/>
          <w:b w:val="0"/>
          <w:sz w:val="24"/>
        </w:rPr>
        <w:t>耦合+ASGS（E1A）：核心方法（不含CAT）</w:t>
      </w:r>
    </w:p>
    <w:p>
      <w:pPr>
        <w:pStyle w:val="ListBullet"/>
      </w:pPr>
      <w:r>
        <w:rPr>
          <w:rFonts w:ascii="宋体" w:hAnsi="宋体" w:eastAsia="宋体"/>
          <w:b w:val="0"/>
          <w:sz w:val="24"/>
        </w:rPr>
        <w:t>消融-无开阔度（A1）：距离+方向对齐</w:t>
      </w:r>
    </w:p>
    <w:p>
      <w:pPr>
        <w:pStyle w:val="ListBullet"/>
      </w:pPr>
      <w:r>
        <w:rPr>
          <w:rFonts w:ascii="宋体" w:hAnsi="宋体" w:eastAsia="宋体"/>
          <w:b w:val="0"/>
          <w:sz w:val="24"/>
        </w:rPr>
        <w:t>消融-无方向对齐（A2）：距离+开阔度</w:t>
      </w:r>
    </w:p>
    <w:p>
      <w:pPr>
        <w:pStyle w:val="ListBullet"/>
      </w:pPr>
      <w:r>
        <w:rPr>
          <w:rFonts w:ascii="宋体" w:hAnsi="宋体" w:eastAsia="宋体"/>
          <w:b w:val="0"/>
          <w:sz w:val="24"/>
        </w:rPr>
        <w:t>CAT+耦合（E2）：CAT网络 + 耦合奖励</w:t>
      </w:r>
    </w:p>
    <w:p>
      <w:pPr>
        <w:pStyle w:val="ListBullet"/>
      </w:pPr>
      <w:r>
        <w:rPr>
          <w:rFonts w:ascii="宋体" w:hAnsi="宋体" w:eastAsia="宋体"/>
          <w:b w:val="0"/>
          <w:sz w:val="24"/>
        </w:rPr>
        <w:t>三合一（E1AC）：CAT + 耦合奖励 + ASGS（完整方法）</w:t>
      </w:r>
    </w:p>
    <w:p>
      <w:r>
        <w:rPr>
          <w:rFonts w:ascii="宋体" w:hAnsi="宋体" w:eastAsia="宋体"/>
          <w:b/>
          <w:sz w:val="24"/>
        </w:rPr>
        <w:t>超参数</w:t>
      </w:r>
      <w:r>
        <w:rPr>
          <w:rFonts w:ascii="宋体" w:hAnsi="宋体" w:eastAsia="宋体"/>
          <w:b w:val="0"/>
          <w:sz w:val="24"/>
        </w:rPr>
        <w:t>如下表所示：</w:t>
      </w:r>
    </w:p>
    <w:tbl>
      <w:tblPr>
        <w:tblStyle w:val="TableGrid"/>
        <w:tblW w:type="auto" w:w="0"/>
        <w:tblLook w:firstColumn="1" w:firstRow="1" w:lastColumn="0" w:lastRow="0" w:noHBand="0" w:noVBand="1" w:val="04A0"/>
      </w:tblPr>
      <w:tblGrid>
        <w:gridCol w:w="4252"/>
        <w:gridCol w:w="4252"/>
      </w:tblGrid>
      <w:tr>
        <w:tc>
          <w:tcPr>
            <w:tcW w:type="dxa" w:w="4252"/>
          </w:tcPr>
          <w:p>
            <w:r>
              <w:rPr>
                <w:b/>
              </w:rPr>
            </w:r>
            <w:r>
              <w:rPr>
                <w:rFonts w:ascii="宋体" w:hAnsi="宋体" w:eastAsia="宋体"/>
                <w:b/>
                <w:sz w:val="21"/>
              </w:rPr>
              <w:t>超参数</w:t>
            </w:r>
          </w:p>
        </w:tc>
        <w:tc>
          <w:tcPr>
            <w:tcW w:type="dxa" w:w="4252"/>
          </w:tcPr>
          <w:p>
            <w:r>
              <w:rPr>
                <w:b/>
              </w:rPr>
            </w:r>
            <w:r>
              <w:rPr>
                <w:rFonts w:ascii="宋体" w:hAnsi="宋体" w:eastAsia="宋体"/>
                <w:b/>
                <w:sz w:val="21"/>
              </w:rPr>
              <w:t>取值</w:t>
            </w:r>
          </w:p>
        </w:tc>
      </w:tr>
      <w:tr>
        <w:tc>
          <w:tcPr>
            <w:tcW w:type="dxa" w:w="4252"/>
          </w:tcPr>
          <w:p>
            <w:r/>
            <w:r>
              <w:rPr>
                <w:rFonts w:ascii="宋体" w:hAnsi="宋体" w:eastAsia="宋体"/>
                <w:b w:val="0"/>
                <w:sz w:val="21"/>
              </w:rPr>
              <w:t>学习率</w:t>
            </w:r>
          </w:p>
        </w:tc>
        <w:tc>
          <w:tcPr>
            <w:tcW w:type="dxa" w:w="4252"/>
          </w:tcPr>
          <w:p>
            <w:r/>
            <w:r>
              <w:rPr>
                <w:rFonts w:ascii="宋体" w:hAnsi="宋体" w:eastAsia="宋体"/>
                <w:b w:val="0"/>
                <w:sz w:val="21"/>
              </w:rPr>
              <w:t>0.001</w:t>
            </w:r>
          </w:p>
        </w:tc>
      </w:tr>
      <w:tr>
        <w:tc>
          <w:tcPr>
            <w:tcW w:type="dxa" w:w="4252"/>
          </w:tcPr>
          <w:p>
            <w:r/>
            <w:r>
              <w:rPr>
                <w:rFonts w:ascii="宋体" w:hAnsi="宋体" w:eastAsia="宋体"/>
                <w:b w:val="0"/>
                <w:sz w:val="21"/>
              </w:rPr>
              <w:t>批量大小</w:t>
            </w:r>
          </w:p>
        </w:tc>
        <w:tc>
          <w:tcPr>
            <w:tcW w:type="dxa" w:w="4252"/>
          </w:tcPr>
          <w:p>
            <w:r/>
            <w:r>
              <w:rPr>
                <w:rFonts w:ascii="宋体" w:hAnsi="宋体" w:eastAsia="宋体"/>
                <w:b w:val="0"/>
                <w:sz w:val="21"/>
              </w:rPr>
              <w:t>128</w:t>
            </w:r>
          </w:p>
        </w:tc>
      </w:tr>
      <w:tr>
        <w:tc>
          <w:tcPr>
            <w:tcW w:type="dxa" w:w="4252"/>
          </w:tcPr>
          <w:p>
            <w:r/>
            <w:r>
              <w:rPr>
                <w:rFonts w:ascii="宋体" w:hAnsi="宋体" w:eastAsia="宋体"/>
                <w:b w:val="0"/>
                <w:sz w:val="21"/>
              </w:rPr>
              <w:t>折扣因子 γ</w:t>
            </w:r>
          </w:p>
        </w:tc>
        <w:tc>
          <w:tcPr>
            <w:tcW w:type="dxa" w:w="4252"/>
          </w:tcPr>
          <w:p>
            <w:r/>
            <w:r>
              <w:rPr>
                <w:rFonts w:ascii="宋体" w:hAnsi="宋体" w:eastAsia="宋体"/>
                <w:b w:val="0"/>
                <w:sz w:val="21"/>
              </w:rPr>
              <w:t>0.9</w:t>
            </w:r>
          </w:p>
        </w:tc>
      </w:tr>
      <w:tr>
        <w:tc>
          <w:tcPr>
            <w:tcW w:type="dxa" w:w="4252"/>
          </w:tcPr>
          <w:p>
            <w:r/>
            <w:r>
              <w:rPr>
                <w:rFonts w:ascii="宋体" w:hAnsi="宋体" w:eastAsia="宋体"/>
                <w:b w:val="0"/>
                <w:sz w:val="21"/>
              </w:rPr>
              <w:t>epsilon 初始值</w:t>
            </w:r>
          </w:p>
        </w:tc>
        <w:tc>
          <w:tcPr>
            <w:tcW w:type="dxa" w:w="4252"/>
          </w:tcPr>
          <w:p>
            <w:r/>
            <w:r>
              <w:rPr>
                <w:rFonts w:ascii="宋体" w:hAnsi="宋体" w:eastAsia="宋体"/>
                <w:b w:val="0"/>
                <w:sz w:val="21"/>
              </w:rPr>
              <w:t>0.9</w:t>
            </w:r>
          </w:p>
        </w:tc>
      </w:tr>
      <w:tr>
        <w:tc>
          <w:tcPr>
            <w:tcW w:type="dxa" w:w="4252"/>
          </w:tcPr>
          <w:p>
            <w:r/>
            <w:r>
              <w:rPr>
                <w:rFonts w:ascii="宋体" w:hAnsi="宋体" w:eastAsia="宋体"/>
                <w:b w:val="0"/>
                <w:sz w:val="21"/>
              </w:rPr>
              <w:t>epsilon 终止值</w:t>
            </w:r>
          </w:p>
        </w:tc>
        <w:tc>
          <w:tcPr>
            <w:tcW w:type="dxa" w:w="4252"/>
          </w:tcPr>
          <w:p>
            <w:r/>
            <w:r>
              <w:rPr>
                <w:rFonts w:ascii="宋体" w:hAnsi="宋体" w:eastAsia="宋体"/>
                <w:b w:val="0"/>
                <w:sz w:val="21"/>
              </w:rPr>
              <w:t>0.05</w:t>
            </w:r>
          </w:p>
        </w:tc>
      </w:tr>
      <w:tr>
        <w:tc>
          <w:tcPr>
            <w:tcW w:type="dxa" w:w="4252"/>
          </w:tcPr>
          <w:p>
            <w:r/>
            <w:r>
              <w:rPr>
                <w:rFonts w:ascii="宋体" w:hAnsi="宋体" w:eastAsia="宋体"/>
                <w:b w:val="0"/>
                <w:sz w:val="21"/>
              </w:rPr>
              <w:t>epsilon 衰减因子</w:t>
            </w:r>
          </w:p>
        </w:tc>
        <w:tc>
          <w:tcPr>
            <w:tcW w:type="dxa" w:w="4252"/>
          </w:tcPr>
          <w:p>
            <w:r/>
            <w:r>
              <w:rPr>
                <w:rFonts w:ascii="宋体" w:hAnsi="宋体" w:eastAsia="宋体"/>
                <w:b w:val="0"/>
                <w:sz w:val="21"/>
              </w:rPr>
              <w:t>0.998</w:t>
            </w:r>
          </w:p>
        </w:tc>
      </w:tr>
      <w:tr>
        <w:tc>
          <w:tcPr>
            <w:tcW w:type="dxa" w:w="4252"/>
          </w:tcPr>
          <w:p>
            <w:r/>
            <w:r>
              <w:rPr>
                <w:rFonts w:ascii="宋体" w:hAnsi="宋体" w:eastAsia="宋体"/>
                <w:b w:val="0"/>
                <w:sz w:val="21"/>
              </w:rPr>
              <w:t>目标网络软更新系数 τ</w:t>
            </w:r>
          </w:p>
        </w:tc>
        <w:tc>
          <w:tcPr>
            <w:tcW w:type="dxa" w:w="4252"/>
          </w:tcPr>
          <w:p>
            <w:r/>
            <w:r>
              <w:rPr>
                <w:rFonts w:ascii="宋体" w:hAnsi="宋体" w:eastAsia="宋体"/>
                <w:b w:val="0"/>
                <w:sz w:val="21"/>
              </w:rPr>
              <w:t>0.005</w:t>
            </w:r>
          </w:p>
        </w:tc>
      </w:tr>
      <w:tr>
        <w:tc>
          <w:tcPr>
            <w:tcW w:type="dxa" w:w="4252"/>
          </w:tcPr>
          <w:p>
            <w:r/>
            <w:r>
              <w:rPr>
                <w:rFonts w:ascii="宋体" w:hAnsi="宋体" w:eastAsia="宋体"/>
                <w:b w:val="0"/>
                <w:sz w:val="21"/>
              </w:rPr>
              <w:t>经验回放池容量</w:t>
            </w:r>
          </w:p>
        </w:tc>
        <w:tc>
          <w:tcPr>
            <w:tcW w:type="dxa" w:w="4252"/>
          </w:tcPr>
          <w:p>
            <w:r/>
            <w:r>
              <w:rPr>
                <w:rFonts w:ascii="宋体" w:hAnsi="宋体" w:eastAsia="宋体"/>
                <w:b w:val="0"/>
                <w:sz w:val="21"/>
              </w:rPr>
              <w:t>30000</w:t>
            </w:r>
          </w:p>
        </w:tc>
      </w:tr>
      <w:tr>
        <w:tc>
          <w:tcPr>
            <w:tcW w:type="dxa" w:w="4252"/>
          </w:tcPr>
          <w:p>
            <w:r/>
            <w:r>
              <w:rPr>
                <w:rFonts w:ascii="宋体" w:hAnsi="宋体" w:eastAsia="宋体"/>
                <w:b w:val="0"/>
                <w:sz w:val="21"/>
              </w:rPr>
              <w:t>训练轮数</w:t>
            </w:r>
          </w:p>
        </w:tc>
        <w:tc>
          <w:tcPr>
            <w:tcW w:type="dxa" w:w="4252"/>
          </w:tcPr>
          <w:p>
            <w:r/>
            <w:r>
              <w:rPr>
                <w:rFonts w:ascii="宋体" w:hAnsi="宋体" w:eastAsia="宋体"/>
                <w:b w:val="0"/>
                <w:sz w:val="21"/>
              </w:rPr>
              <w:t>10000</w:t>
            </w:r>
          </w:p>
        </w:tc>
      </w:tr>
      <w:tr>
        <w:tc>
          <w:tcPr>
            <w:tcW w:type="dxa" w:w="4252"/>
          </w:tcPr>
          <w:p>
            <w:r/>
            <w:r>
              <w:rPr>
                <w:rFonts w:ascii="宋体" w:hAnsi="宋体" w:eastAsia="宋体"/>
                <w:b w:val="0"/>
                <w:sz w:val="21"/>
              </w:rPr>
              <w:t>最大步数</w:t>
            </w:r>
          </w:p>
        </w:tc>
        <w:tc>
          <w:tcPr>
            <w:tcW w:type="dxa" w:w="4252"/>
          </w:tcPr>
          <w:p>
            <w:r/>
            <w:r>
              <w:rPr>
                <w:rFonts w:ascii="宋体" w:hAnsi="宋体" w:eastAsia="宋体"/>
                <w:b w:val="0"/>
                <w:sz w:val="21"/>
              </w:rPr>
              <w:t>20×20 为 400、30×30 为 500</w:t>
            </w:r>
          </w:p>
        </w:tc>
      </w:tr>
    </w:tbl>
    <w:p/>
    <w:p>
      <w:r>
        <w:rPr>
          <w:rFonts w:ascii="宋体" w:hAnsi="宋体" w:eastAsia="宋体"/>
          <w:b/>
          <w:sz w:val="24"/>
        </w:rPr>
        <w:t>评价指标</w:t>
      </w:r>
      <w:r>
        <w:rPr>
          <w:rFonts w:ascii="宋体" w:hAnsi="宋体" w:eastAsia="宋体"/>
          <w:b w:val="0"/>
          <w:sz w:val="24"/>
        </w:rPr>
        <w:t>：训练时间（10000轮实际耗时）、收敛轮数（奖励滑动窗口达到95% Best50的最早轮数）、Best50（50轮滑动窗口最大平均奖励）、训练成功率（最后200轮中成功到达终点的比例）、测试成功率（训练完成后纯贪心策略200轮测试成功率；对ASGS方法，贪心选择时按最终lambda=15对不安全方向施加Q值软性惩罚，与算法决策规则一致）、路径长度。</w:t>
      </w:r>
    </w:p>
    <w:p>
      <w:r>
        <w:rPr>
          <w:rFonts w:ascii="宋体" w:hAnsi="宋体" w:eastAsia="宋体"/>
          <w:b/>
          <w:sz w:val="24"/>
        </w:rPr>
        <w:t>评估方式</w:t>
      </w:r>
      <w:r>
        <w:rPr>
          <w:rFonts w:ascii="宋体" w:hAnsi="宋体" w:eastAsia="宋体"/>
          <w:b w:val="0"/>
          <w:sz w:val="24"/>
        </w:rPr>
        <w:t>：核心实验采用3个不同随机种子重复训练，结果以均值±标准差表示；补充实验（S0A、E2、A1、A2）以代表性单次运行展示。</w:t>
      </w:r>
    </w:p>
    <w:p>
      <w:r>
        <w:rPr>
          <w:rFonts w:ascii="黑体" w:hAnsi="黑体" w:eastAsia="黑体"/>
          <w:b/>
          <w:sz w:val="24"/>
        </w:rPr>
        <w:t>4.2 20x20地图实验结果</w:t>
      </w:r>
    </w:p>
    <w:p>
      <w:pPr>
        <w:jc w:val="center"/>
      </w:pPr>
      <w:r>
        <w:rPr>
          <w:rFonts w:ascii="宋体" w:hAnsi="宋体" w:eastAsia="宋体"/>
          <w:b w:val="0"/>
          <w:sz w:val="21"/>
        </w:rPr>
        <w:t>表1 20x20地图实验结果（均值±标准差，3个种子）</w:t>
      </w:r>
      <w:r>
        <w:br/>
      </w:r>
      <w:r>
        <w:rPr>
          <w:rFonts w:ascii="Times New Roman" w:hAnsi="Times New Roman" w:eastAsia="Times New Roman"/>
          <w:b w:val="0"/>
          <w:sz w:val="21"/>
        </w:rPr>
        <w:t>Tab.1 Experimental results on the 20×20 map (mean±std, 3 seeds)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Pr>
                <w:b/>
              </w:rPr>
            </w:r>
            <w:r>
              <w:rPr>
                <w:rFonts w:ascii="宋体" w:hAnsi="宋体" w:eastAsia="宋体"/>
                <w:b/>
                <w:sz w:val="21"/>
              </w:rPr>
              <w:t>方法</w:t>
            </w:r>
          </w:p>
        </w:tc>
        <w:tc>
          <w:tcPr>
            <w:tcW w:type="dxa" w:w="1417"/>
          </w:tcPr>
          <w:p>
            <w:r>
              <w:rPr>
                <w:b/>
              </w:rPr>
            </w:r>
            <w:r>
              <w:rPr>
                <w:rFonts w:ascii="宋体" w:hAnsi="宋体" w:eastAsia="宋体"/>
                <w:b/>
                <w:sz w:val="21"/>
              </w:rPr>
              <w:t>收敛轮数</w:t>
            </w:r>
          </w:p>
        </w:tc>
        <w:tc>
          <w:tcPr>
            <w:tcW w:type="dxa" w:w="1417"/>
          </w:tcPr>
          <w:p>
            <w:r>
              <w:rPr>
                <w:b/>
              </w:rPr>
            </w:r>
            <w:r>
              <w:rPr>
                <w:rFonts w:ascii="宋体" w:hAnsi="宋体" w:eastAsia="宋体"/>
                <w:b/>
                <w:sz w:val="21"/>
              </w:rPr>
              <w:t>Best50奖励</w:t>
            </w:r>
          </w:p>
        </w:tc>
        <w:tc>
          <w:tcPr>
            <w:tcW w:type="dxa" w:w="1417"/>
          </w:tcPr>
          <w:p>
            <w:r>
              <w:rPr>
                <w:b/>
              </w:rPr>
            </w:r>
            <w:r>
              <w:rPr>
                <w:rFonts w:ascii="宋体" w:hAnsi="宋体" w:eastAsia="宋体"/>
                <w:b/>
                <w:sz w:val="21"/>
              </w:rPr>
              <w:t>训练成功率</w:t>
            </w:r>
          </w:p>
        </w:tc>
        <w:tc>
          <w:tcPr>
            <w:tcW w:type="dxa" w:w="1417"/>
          </w:tcPr>
          <w:p>
            <w:r>
              <w:rPr>
                <w:b/>
              </w:rPr>
            </w:r>
            <w:r>
              <w:rPr>
                <w:rFonts w:ascii="宋体" w:hAnsi="宋体" w:eastAsia="宋体"/>
                <w:b/>
                <w:sz w:val="21"/>
              </w:rPr>
              <w:t>测试成功率</w:t>
            </w:r>
          </w:p>
        </w:tc>
        <w:tc>
          <w:tcPr>
            <w:tcW w:type="dxa" w:w="1417"/>
          </w:tcPr>
          <w:p>
            <w:r>
              <w:rPr>
                <w:b/>
              </w:rPr>
            </w:r>
            <w:r>
              <w:rPr>
                <w:rFonts w:ascii="宋体" w:hAnsi="宋体" w:eastAsia="宋体"/>
                <w:b/>
                <w:sz w:val="21"/>
              </w:rPr>
              <w:t>路径长度</w:t>
            </w:r>
          </w:p>
        </w:tc>
      </w:tr>
      <w:tr>
        <w:tc>
          <w:tcPr>
            <w:tcW w:type="dxa" w:w="1417"/>
          </w:tcPr>
          <w:p>
            <w:r/>
            <w:r>
              <w:rPr>
                <w:rFonts w:ascii="宋体" w:hAnsi="宋体" w:eastAsia="宋体"/>
                <w:b w:val="0"/>
                <w:sz w:val="21"/>
              </w:rPr>
              <w:t>基准DQN</w:t>
            </w:r>
          </w:p>
        </w:tc>
        <w:tc>
          <w:tcPr>
            <w:tcW w:type="dxa" w:w="1417"/>
          </w:tcPr>
          <w:p>
            <w:r/>
            <w:r>
              <w:rPr>
                <w:rFonts w:ascii="宋体" w:hAnsi="宋体" w:eastAsia="宋体"/>
                <w:b w:val="0"/>
                <w:sz w:val="21"/>
              </w:rPr>
              <w:t>7522±706</w:t>
            </w:r>
          </w:p>
        </w:tc>
        <w:tc>
          <w:tcPr>
            <w:tcW w:type="dxa" w:w="1417"/>
          </w:tcPr>
          <w:p>
            <w:r/>
            <w:r>
              <w:rPr>
                <w:rFonts w:ascii="宋体" w:hAnsi="宋体" w:eastAsia="宋体"/>
                <w:b w:val="0"/>
                <w:sz w:val="21"/>
              </w:rPr>
              <w:t>9.2±0.5</w:t>
            </w:r>
          </w:p>
        </w:tc>
        <w:tc>
          <w:tcPr>
            <w:tcW w:type="dxa" w:w="1417"/>
          </w:tcPr>
          <w:p>
            <w:r/>
            <w:r>
              <w:rPr>
                <w:rFonts w:ascii="宋体" w:hAnsi="宋体" w:eastAsia="宋体"/>
                <w:b w:val="0"/>
                <w:sz w:val="21"/>
              </w:rPr>
              <w:t>80.7±2.6%</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22.7±0.5</w:t>
            </w:r>
          </w:p>
        </w:tc>
      </w:tr>
      <w:tr>
        <w:tc>
          <w:tcPr>
            <w:tcW w:type="dxa" w:w="1417"/>
          </w:tcPr>
          <w:p>
            <w:r/>
            <w:r>
              <w:rPr>
                <w:rFonts w:ascii="宋体" w:hAnsi="宋体" w:eastAsia="宋体"/>
                <w:b w:val="0"/>
                <w:sz w:val="21"/>
              </w:rPr>
              <w:t>基准DQN+ASGS</w:t>
            </w:r>
          </w:p>
        </w:tc>
        <w:tc>
          <w:tcPr>
            <w:tcW w:type="dxa" w:w="1417"/>
          </w:tcPr>
          <w:p>
            <w:r/>
            <w:r>
              <w:rPr>
                <w:rFonts w:ascii="宋体" w:hAnsi="宋体" w:eastAsia="宋体"/>
                <w:b w:val="0"/>
                <w:sz w:val="21"/>
              </w:rPr>
              <w:t>1869</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97.5%</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22.0</w:t>
            </w:r>
          </w:p>
        </w:tc>
      </w:tr>
      <w:tr>
        <w:tc>
          <w:tcPr>
            <w:tcW w:type="dxa" w:w="1417"/>
          </w:tcPr>
          <w:p>
            <w:r/>
            <w:r>
              <w:rPr>
                <w:rFonts w:ascii="宋体" w:hAnsi="宋体" w:eastAsia="宋体"/>
                <w:b w:val="0"/>
                <w:sz w:val="21"/>
              </w:rPr>
              <w:t>耦合奖励</w:t>
            </w:r>
          </w:p>
        </w:tc>
        <w:tc>
          <w:tcPr>
            <w:tcW w:type="dxa" w:w="1417"/>
          </w:tcPr>
          <w:p>
            <w:r/>
            <w:r>
              <w:rPr>
                <w:rFonts w:ascii="宋体" w:hAnsi="宋体" w:eastAsia="宋体"/>
                <w:b w:val="0"/>
                <w:sz w:val="21"/>
              </w:rPr>
              <w:t>1561±128</w:t>
            </w:r>
          </w:p>
        </w:tc>
        <w:tc>
          <w:tcPr>
            <w:tcW w:type="dxa" w:w="1417"/>
          </w:tcPr>
          <w:p>
            <w:r/>
            <w:r>
              <w:rPr>
                <w:rFonts w:ascii="宋体" w:hAnsi="宋体" w:eastAsia="宋体"/>
                <w:b w:val="0"/>
                <w:sz w:val="21"/>
              </w:rPr>
              <w:t>107.8±0.5</w:t>
            </w:r>
          </w:p>
        </w:tc>
        <w:tc>
          <w:tcPr>
            <w:tcW w:type="dxa" w:w="1417"/>
          </w:tcPr>
          <w:p>
            <w:r/>
            <w:r>
              <w:rPr>
                <w:rFonts w:ascii="宋体" w:hAnsi="宋体" w:eastAsia="宋体"/>
                <w:b w:val="0"/>
                <w:sz w:val="21"/>
              </w:rPr>
              <w:t>85.0±0.4%</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22.0</w:t>
            </w:r>
          </w:p>
        </w:tc>
      </w:tr>
      <w:tr>
        <w:tc>
          <w:tcPr>
            <w:tcW w:type="dxa" w:w="1417"/>
          </w:tcPr>
          <w:p>
            <w:r/>
            <w:r>
              <w:rPr>
                <w:rFonts w:ascii="宋体" w:hAnsi="宋体" w:eastAsia="宋体"/>
                <w:b/>
                <w:sz w:val="21"/>
              </w:rPr>
              <w:t>耦合+ASGS</w:t>
            </w:r>
          </w:p>
        </w:tc>
        <w:tc>
          <w:tcPr>
            <w:tcW w:type="dxa" w:w="1417"/>
          </w:tcPr>
          <w:p>
            <w:r/>
            <w:r>
              <w:rPr>
                <w:rFonts w:ascii="宋体" w:hAnsi="宋体" w:eastAsia="宋体"/>
                <w:b/>
                <w:sz w:val="21"/>
              </w:rPr>
              <w:t>926±45</w:t>
            </w:r>
          </w:p>
        </w:tc>
        <w:tc>
          <w:tcPr>
            <w:tcW w:type="dxa" w:w="1417"/>
          </w:tcPr>
          <w:p>
            <w:r/>
            <w:r>
              <w:rPr>
                <w:rFonts w:ascii="宋体" w:hAnsi="宋体" w:eastAsia="宋体"/>
                <w:b/>
                <w:sz w:val="21"/>
              </w:rPr>
              <w:t>114.2±4.0</w:t>
            </w:r>
          </w:p>
        </w:tc>
        <w:tc>
          <w:tcPr>
            <w:tcW w:type="dxa" w:w="1417"/>
          </w:tcPr>
          <w:p>
            <w:r/>
            <w:r>
              <w:rPr>
                <w:rFonts w:ascii="宋体" w:hAnsi="宋体" w:eastAsia="宋体"/>
                <w:b/>
                <w:sz w:val="21"/>
              </w:rPr>
              <w:t>97.7±0.8%</w:t>
            </w:r>
          </w:p>
        </w:tc>
        <w:tc>
          <w:tcPr>
            <w:tcW w:type="dxa" w:w="1417"/>
          </w:tcPr>
          <w:p>
            <w:r/>
            <w:r>
              <w:rPr>
                <w:rFonts w:ascii="宋体" w:hAnsi="宋体" w:eastAsia="宋体"/>
                <w:b/>
                <w:sz w:val="21"/>
              </w:rPr>
              <w:t>100%</w:t>
            </w:r>
          </w:p>
        </w:tc>
        <w:tc>
          <w:tcPr>
            <w:tcW w:type="dxa" w:w="1417"/>
          </w:tcPr>
          <w:p>
            <w:r/>
            <w:r>
              <w:rPr>
                <w:rFonts w:ascii="宋体" w:hAnsi="宋体" w:eastAsia="宋体"/>
                <w:b/>
                <w:sz w:val="21"/>
              </w:rPr>
              <w:t>22.0</w:t>
            </w:r>
          </w:p>
        </w:tc>
      </w:tr>
      <w:tr>
        <w:tc>
          <w:tcPr>
            <w:tcW w:type="dxa" w:w="1417"/>
          </w:tcPr>
          <w:p>
            <w:r/>
            <w:r>
              <w:rPr>
                <w:rFonts w:ascii="宋体" w:hAnsi="宋体" w:eastAsia="宋体"/>
                <w:b/>
                <w:sz w:val="21"/>
              </w:rPr>
              <w:t>三合一（CAT+耦合+ASGS）</w:t>
            </w:r>
          </w:p>
        </w:tc>
        <w:tc>
          <w:tcPr>
            <w:tcW w:type="dxa" w:w="1417"/>
          </w:tcPr>
          <w:p>
            <w:r/>
            <w:r>
              <w:rPr>
                <w:rFonts w:ascii="宋体" w:hAnsi="宋体" w:eastAsia="宋体"/>
                <w:b/>
                <w:sz w:val="21"/>
              </w:rPr>
              <w:t>1028±91</w:t>
            </w:r>
          </w:p>
        </w:tc>
        <w:tc>
          <w:tcPr>
            <w:tcW w:type="dxa" w:w="1417"/>
          </w:tcPr>
          <w:p>
            <w:r/>
            <w:r>
              <w:rPr>
                <w:rFonts w:ascii="宋体" w:hAnsi="宋体" w:eastAsia="宋体"/>
                <w:b/>
                <w:sz w:val="21"/>
              </w:rPr>
              <w:t>113.5±3.6</w:t>
            </w:r>
          </w:p>
        </w:tc>
        <w:tc>
          <w:tcPr>
            <w:tcW w:type="dxa" w:w="1417"/>
          </w:tcPr>
          <w:p>
            <w:r/>
            <w:r>
              <w:rPr>
                <w:rFonts w:ascii="宋体" w:hAnsi="宋体" w:eastAsia="宋体"/>
                <w:b/>
                <w:sz w:val="21"/>
              </w:rPr>
              <w:t>97.7±0.5%</w:t>
            </w:r>
          </w:p>
        </w:tc>
        <w:tc>
          <w:tcPr>
            <w:tcW w:type="dxa" w:w="1417"/>
          </w:tcPr>
          <w:p>
            <w:r/>
            <w:r>
              <w:rPr>
                <w:rFonts w:ascii="宋体" w:hAnsi="宋体" w:eastAsia="宋体"/>
                <w:b/>
                <w:sz w:val="21"/>
              </w:rPr>
              <w:t>100%</w:t>
            </w:r>
          </w:p>
        </w:tc>
        <w:tc>
          <w:tcPr>
            <w:tcW w:type="dxa" w:w="1417"/>
          </w:tcPr>
          <w:p>
            <w:r/>
            <w:r>
              <w:rPr>
                <w:rFonts w:ascii="宋体" w:hAnsi="宋体" w:eastAsia="宋体"/>
                <w:b/>
                <w:sz w:val="21"/>
              </w:rPr>
              <w:t>22.0</w:t>
            </w:r>
          </w:p>
        </w:tc>
      </w:tr>
      <w:tr>
        <w:tc>
          <w:tcPr>
            <w:tcW w:type="dxa" w:w="1417"/>
          </w:tcPr>
          <w:p>
            <w:r/>
            <w:r>
              <w:rPr>
                <w:rFonts w:ascii="宋体" w:hAnsi="宋体" w:eastAsia="宋体"/>
                <w:b w:val="0"/>
                <w:sz w:val="21"/>
              </w:rPr>
              <w:t>消融-无开阔度</w:t>
            </w:r>
          </w:p>
        </w:tc>
        <w:tc>
          <w:tcPr>
            <w:tcW w:type="dxa" w:w="1417"/>
          </w:tcPr>
          <w:p>
            <w:r/>
            <w:r>
              <w:rPr>
                <w:rFonts w:ascii="宋体" w:hAnsi="宋体" w:eastAsia="宋体"/>
                <w:b w:val="0"/>
                <w:sz w:val="21"/>
              </w:rPr>
              <w:t>2150</w:t>
            </w:r>
          </w:p>
        </w:tc>
        <w:tc>
          <w:tcPr>
            <w:tcW w:type="dxa" w:w="1417"/>
          </w:tcPr>
          <w:p>
            <w:r/>
            <w:r>
              <w:rPr>
                <w:rFonts w:ascii="宋体" w:hAnsi="宋体" w:eastAsia="宋体"/>
                <w:b w:val="0"/>
                <w:sz w:val="21"/>
              </w:rPr>
              <w:t>102.8</w:t>
            </w:r>
          </w:p>
        </w:tc>
        <w:tc>
          <w:tcPr>
            <w:tcW w:type="dxa" w:w="1417"/>
          </w:tcPr>
          <w:p>
            <w:r/>
            <w:r>
              <w:rPr>
                <w:rFonts w:ascii="宋体" w:hAnsi="宋体" w:eastAsia="宋体"/>
                <w:b w:val="0"/>
                <w:sz w:val="21"/>
              </w:rPr>
              <w:t>83.0%</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22.0</w:t>
            </w:r>
          </w:p>
        </w:tc>
      </w:tr>
      <w:tr>
        <w:tc>
          <w:tcPr>
            <w:tcW w:type="dxa" w:w="1417"/>
          </w:tcPr>
          <w:p>
            <w:r/>
            <w:r>
              <w:rPr>
                <w:rFonts w:ascii="宋体" w:hAnsi="宋体" w:eastAsia="宋体"/>
                <w:b w:val="0"/>
                <w:sz w:val="21"/>
              </w:rPr>
              <w:t>消融-无方向对齐</w:t>
            </w:r>
          </w:p>
        </w:tc>
        <w:tc>
          <w:tcPr>
            <w:tcW w:type="dxa" w:w="1417"/>
          </w:tcPr>
          <w:p>
            <w:r/>
            <w:r>
              <w:rPr>
                <w:rFonts w:ascii="宋体" w:hAnsi="宋体" w:eastAsia="宋体"/>
                <w:b w:val="0"/>
                <w:sz w:val="21"/>
              </w:rPr>
              <w:t>2006</w:t>
            </w:r>
          </w:p>
        </w:tc>
        <w:tc>
          <w:tcPr>
            <w:tcW w:type="dxa" w:w="1417"/>
          </w:tcPr>
          <w:p>
            <w:r/>
            <w:r>
              <w:rPr>
                <w:rFonts w:ascii="宋体" w:hAnsi="宋体" w:eastAsia="宋体"/>
                <w:b w:val="0"/>
                <w:sz w:val="21"/>
              </w:rPr>
              <w:t>100.8</w:t>
            </w:r>
          </w:p>
        </w:tc>
        <w:tc>
          <w:tcPr>
            <w:tcW w:type="dxa" w:w="1417"/>
          </w:tcPr>
          <w:p>
            <w:r/>
            <w:r>
              <w:rPr>
                <w:rFonts w:ascii="宋体" w:hAnsi="宋体" w:eastAsia="宋体"/>
                <w:b w:val="0"/>
                <w:sz w:val="21"/>
              </w:rPr>
              <w:t>82.0%</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22.0</w:t>
            </w:r>
          </w:p>
        </w:tc>
      </w:tr>
      <w:tr>
        <w:tc>
          <w:tcPr>
            <w:tcW w:type="dxa" w:w="1417"/>
          </w:tcPr>
          <w:p>
            <w:r/>
            <w:r>
              <w:rPr>
                <w:rFonts w:ascii="宋体" w:hAnsi="宋体" w:eastAsia="宋体"/>
                <w:b w:val="0"/>
                <w:sz w:val="21"/>
              </w:rPr>
              <w:t>CAT+耦合</w:t>
            </w:r>
          </w:p>
        </w:tc>
        <w:tc>
          <w:tcPr>
            <w:tcW w:type="dxa" w:w="1417"/>
          </w:tcPr>
          <w:p>
            <w:r/>
            <w:r>
              <w:rPr>
                <w:rFonts w:ascii="宋体" w:hAnsi="宋体" w:eastAsia="宋体"/>
                <w:b w:val="0"/>
                <w:sz w:val="21"/>
              </w:rPr>
              <w:t>1466</w:t>
            </w:r>
          </w:p>
        </w:tc>
        <w:tc>
          <w:tcPr>
            <w:tcW w:type="dxa" w:w="1417"/>
          </w:tcPr>
          <w:p>
            <w:r/>
            <w:r>
              <w:rPr>
                <w:rFonts w:ascii="宋体" w:hAnsi="宋体" w:eastAsia="宋体"/>
                <w:b w:val="0"/>
                <w:sz w:val="21"/>
              </w:rPr>
              <w:t>109.5</w:t>
            </w:r>
          </w:p>
        </w:tc>
        <w:tc>
          <w:tcPr>
            <w:tcW w:type="dxa" w:w="1417"/>
          </w:tcPr>
          <w:p>
            <w:r/>
            <w:r>
              <w:rPr>
                <w:rFonts w:ascii="宋体" w:hAnsi="宋体" w:eastAsia="宋体"/>
                <w:b w:val="0"/>
                <w:sz w:val="21"/>
              </w:rPr>
              <w:t>87.5%</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22.0</w:t>
            </w:r>
          </w:p>
        </w:tc>
      </w:tr>
    </w:tbl>
    <w:p/>
    <w:p>
      <w:r>
        <w:rPr>
          <w:rFonts w:ascii="宋体" w:hAnsi="宋体" w:eastAsia="宋体"/>
          <w:b/>
          <w:sz w:val="24"/>
        </w:rPr>
        <w:t>结论</w:t>
      </w:r>
      <w:r>
        <w:rPr>
          <w:rFonts w:ascii="宋体" w:hAnsi="宋体" w:eastAsia="宋体"/>
          <w:b w:val="0"/>
          <w:sz w:val="24"/>
        </w:rPr>
        <w:t>：核心方法（耦合+ASGS）在20x20地图上收敛最快（926轮），训练成功率为97.7%±0.8%；加入CAT后的三合一（CAT+耦合+ASGS）训练成功率为97.7%±0.5%，与E1A持平，说明CAT在干净地图上不损害性能，其价值体现在噪声鲁棒性。两者较基准DQN均提升17个百分点，较耦合奖励提升约12.7个百分点。耦合奖励较基准DQN收敛快4.8倍。</w:t>
      </w:r>
    </w:p>
    <w:p>
      <w:r>
        <w:rPr>
          <w:rFonts w:ascii="宋体" w:hAnsi="宋体" w:eastAsia="宋体"/>
          <w:b w:val="0"/>
          <w:sz w:val="24"/>
        </w:rPr>
        <w:t>各方法路径对比如图1~图7所示，各方法奖励收敛曲线如图8所示。</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_path_20x20_S0.png"/>
                    <pic:cNvPicPr/>
                  </pic:nvPicPr>
                  <pic:blipFill>
                    <a:blip r:embed="rId9"/>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图1 20×20地图 S0 Sparse 路径</w:t>
      </w:r>
      <w:r>
        <w:br/>
      </w:r>
      <w:r>
        <w:rPr>
          <w:rFonts w:ascii="Times New Roman" w:hAnsi="Times New Roman" w:eastAsia="Times New Roman"/>
          <w:b w:val="0"/>
          <w:sz w:val="21"/>
        </w:rPr>
        <w:t>Fig.1 Path of S0 Sparse on the 20×20 map</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ig_path_20x20_E1.png"/>
                    <pic:cNvPicPr/>
                  </pic:nvPicPr>
                  <pic:blipFill>
                    <a:blip r:embed="rId10"/>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图2 20×20地图 E1 Coupled 路径</w:t>
      </w:r>
      <w:r>
        <w:br/>
      </w:r>
      <w:r>
        <w:rPr>
          <w:rFonts w:ascii="Times New Roman" w:hAnsi="Times New Roman" w:eastAsia="Times New Roman"/>
          <w:b w:val="0"/>
          <w:sz w:val="21"/>
        </w:rPr>
        <w:t>Fig.2 Path of E1 Coupled on the 20×20 map</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fig_path_20x20_E1A.png"/>
                    <pic:cNvPicPr/>
                  </pic:nvPicPr>
                  <pic:blipFill>
                    <a:blip r:embed="rId11"/>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图3 20×20地图 E1A Coupled+ASGS 路径</w:t>
      </w:r>
      <w:r>
        <w:br/>
      </w:r>
      <w:r>
        <w:rPr>
          <w:rFonts w:ascii="Times New Roman" w:hAnsi="Times New Roman" w:eastAsia="Times New Roman"/>
          <w:b w:val="0"/>
          <w:sz w:val="21"/>
        </w:rPr>
        <w:t>Fig.3 Path of E1A Coupled+ASGS on the 20×20 map</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fig_path_20x20_DDQN.png"/>
                    <pic:cNvPicPr/>
                  </pic:nvPicPr>
                  <pic:blipFill>
                    <a:blip r:embed="rId12"/>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图4 20×20地图 DDQN 路径</w:t>
      </w:r>
      <w:r>
        <w:br/>
      </w:r>
      <w:r>
        <w:rPr>
          <w:rFonts w:ascii="Times New Roman" w:hAnsi="Times New Roman" w:eastAsia="Times New Roman"/>
          <w:b w:val="0"/>
          <w:sz w:val="21"/>
        </w:rPr>
        <w:t>Fig.4 Path of DDQN on the 20×20 map</w:t>
      </w:r>
    </w:p>
    <w:p>
      <w:pPr>
        <w:jc w:val="center"/>
      </w:pPr>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fig_path_20x20_Dueling.png"/>
                    <pic:cNvPicPr/>
                  </pic:nvPicPr>
                  <pic:blipFill>
                    <a:blip r:embed="rId13"/>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图5 20×20地图 Dueling DQN 路径</w:t>
      </w:r>
      <w:r>
        <w:br/>
      </w:r>
      <w:r>
        <w:rPr>
          <w:rFonts w:ascii="Times New Roman" w:hAnsi="Times New Roman" w:eastAsia="Times New Roman"/>
          <w:b w:val="0"/>
          <w:sz w:val="21"/>
        </w:rPr>
        <w:t>Fig.5 Path of Dueling DQN on the 20×20 map</w:t>
      </w:r>
    </w:p>
    <w:p>
      <w:pPr>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fig_path_20x20_PER.png"/>
                    <pic:cNvPicPr/>
                  </pic:nvPicPr>
                  <pic:blipFill>
                    <a:blip r:embed="rId14"/>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图6 20×20地图 PER DQN 路径</w:t>
      </w:r>
      <w:r>
        <w:br/>
      </w:r>
      <w:r>
        <w:rPr>
          <w:rFonts w:ascii="Times New Roman" w:hAnsi="Times New Roman" w:eastAsia="Times New Roman"/>
          <w:b w:val="0"/>
          <w:sz w:val="21"/>
        </w:rPr>
        <w:t>Fig.6 Path of PER DQN on the 20×20 map</w:t>
      </w:r>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fig_path_20x20_E1AC.png"/>
                    <pic:cNvPicPr/>
                  </pic:nvPicPr>
                  <pic:blipFill>
                    <a:blip r:embed="rId15"/>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图7 20×20地图 E1AC 三合一 路径</w:t>
      </w:r>
      <w:r>
        <w:br/>
      </w:r>
      <w:r>
        <w:rPr>
          <w:rFonts w:ascii="Times New Roman" w:hAnsi="Times New Roman" w:eastAsia="Times New Roman"/>
          <w:b w:val="0"/>
          <w:sz w:val="21"/>
        </w:rPr>
        <w:t>Fig.7 Path of E1AC on the 20×20 map</w:t>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_reward_20x20_all.png"/>
                    <pic:cNvPicPr/>
                  </pic:nvPicPr>
                  <pic:blipFill>
                    <a:blip r:embed="rId16"/>
                    <a:stretch>
                      <a:fillRect/>
                    </a:stretch>
                  </pic:blipFill>
                  <pic:spPr>
                    <a:xfrm>
                      <a:off x="0" y="0"/>
                      <a:ext cx="5486400" cy="3291840"/>
                    </a:xfrm>
                    <a:prstGeom prst="rect"/>
                  </pic:spPr>
                </pic:pic>
              </a:graphicData>
            </a:graphic>
          </wp:inline>
        </w:drawing>
      </w:r>
    </w:p>
    <w:p>
      <w:pPr>
        <w:jc w:val="center"/>
      </w:pPr>
      <w:r>
        <w:rPr>
          <w:rFonts w:ascii="宋体" w:hAnsi="宋体" w:eastAsia="宋体"/>
          <w:b w:val="0"/>
          <w:sz w:val="21"/>
        </w:rPr>
        <w:t>图8 20×20地图奖励收敛曲线</w:t>
      </w:r>
      <w:r>
        <w:br/>
      </w:r>
      <w:r>
        <w:rPr>
          <w:rFonts w:ascii="Times New Roman" w:hAnsi="Times New Roman" w:eastAsia="Times New Roman"/>
          <w:b w:val="0"/>
          <w:sz w:val="21"/>
        </w:rPr>
        <w:t>Fig.8 Reward convergence curves on the 20×20 map</w:t>
      </w:r>
    </w:p>
    <w:p>
      <w:r>
        <w:rPr>
          <w:rFonts w:ascii="黑体" w:hAnsi="黑体" w:eastAsia="黑体"/>
          <w:b/>
          <w:sz w:val="24"/>
        </w:rPr>
        <w:t>4.3 30x30地图实验结果</w:t>
      </w:r>
    </w:p>
    <w:p>
      <w:pPr>
        <w:jc w:val="center"/>
      </w:pPr>
      <w:r>
        <w:rPr>
          <w:rFonts w:ascii="宋体" w:hAnsi="宋体" w:eastAsia="宋体"/>
          <w:b w:val="0"/>
          <w:sz w:val="21"/>
        </w:rPr>
        <w:t>表2 30x30地图实验结果（均值±标准差，3个种子）</w:t>
      </w:r>
      <w:r>
        <w:br/>
      </w:r>
      <w:r>
        <w:rPr>
          <w:rFonts w:ascii="Times New Roman" w:hAnsi="Times New Roman" w:eastAsia="Times New Roman"/>
          <w:b w:val="0"/>
          <w:sz w:val="21"/>
        </w:rPr>
        <w:t>Tab.2 Experimental results on the 30×30 map (mean±std, 3 seeds)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Pr>
                <w:b/>
              </w:rPr>
            </w:r>
            <w:r>
              <w:rPr>
                <w:rFonts w:ascii="宋体" w:hAnsi="宋体" w:eastAsia="宋体"/>
                <w:b/>
                <w:sz w:val="21"/>
              </w:rPr>
              <w:t>方法</w:t>
            </w:r>
          </w:p>
        </w:tc>
        <w:tc>
          <w:tcPr>
            <w:tcW w:type="dxa" w:w="1417"/>
          </w:tcPr>
          <w:p>
            <w:r>
              <w:rPr>
                <w:b/>
              </w:rPr>
            </w:r>
            <w:r>
              <w:rPr>
                <w:rFonts w:ascii="宋体" w:hAnsi="宋体" w:eastAsia="宋体"/>
                <w:b/>
                <w:sz w:val="21"/>
              </w:rPr>
              <w:t>收敛轮数</w:t>
            </w:r>
          </w:p>
        </w:tc>
        <w:tc>
          <w:tcPr>
            <w:tcW w:type="dxa" w:w="1417"/>
          </w:tcPr>
          <w:p>
            <w:r>
              <w:rPr>
                <w:b/>
              </w:rPr>
            </w:r>
            <w:r>
              <w:rPr>
                <w:rFonts w:ascii="宋体" w:hAnsi="宋体" w:eastAsia="宋体"/>
                <w:b/>
                <w:sz w:val="21"/>
              </w:rPr>
              <w:t>Best50奖励</w:t>
            </w:r>
          </w:p>
        </w:tc>
        <w:tc>
          <w:tcPr>
            <w:tcW w:type="dxa" w:w="1417"/>
          </w:tcPr>
          <w:p>
            <w:r>
              <w:rPr>
                <w:b/>
              </w:rPr>
            </w:r>
            <w:r>
              <w:rPr>
                <w:rFonts w:ascii="宋体" w:hAnsi="宋体" w:eastAsia="宋体"/>
                <w:b/>
                <w:sz w:val="21"/>
              </w:rPr>
              <w:t>训练成功率</w:t>
            </w:r>
          </w:p>
        </w:tc>
        <w:tc>
          <w:tcPr>
            <w:tcW w:type="dxa" w:w="1417"/>
          </w:tcPr>
          <w:p>
            <w:r>
              <w:rPr>
                <w:b/>
              </w:rPr>
            </w:r>
            <w:r>
              <w:rPr>
                <w:rFonts w:ascii="宋体" w:hAnsi="宋体" w:eastAsia="宋体"/>
                <w:b/>
                <w:sz w:val="21"/>
              </w:rPr>
              <w:t>测试成功率</w:t>
            </w:r>
          </w:p>
        </w:tc>
        <w:tc>
          <w:tcPr>
            <w:tcW w:type="dxa" w:w="1417"/>
          </w:tcPr>
          <w:p>
            <w:r>
              <w:rPr>
                <w:b/>
              </w:rPr>
            </w:r>
            <w:r>
              <w:rPr>
                <w:rFonts w:ascii="宋体" w:hAnsi="宋体" w:eastAsia="宋体"/>
                <w:b/>
                <w:sz w:val="21"/>
              </w:rPr>
              <w:t>路径长度</w:t>
            </w:r>
          </w:p>
        </w:tc>
      </w:tr>
      <w:tr>
        <w:tc>
          <w:tcPr>
            <w:tcW w:type="dxa" w:w="1417"/>
          </w:tcPr>
          <w:p>
            <w:r/>
            <w:r>
              <w:rPr>
                <w:rFonts w:ascii="宋体" w:hAnsi="宋体" w:eastAsia="宋体"/>
                <w:b w:val="0"/>
                <w:sz w:val="21"/>
              </w:rPr>
              <w:t>基准DQN</w:t>
            </w:r>
          </w:p>
        </w:tc>
        <w:tc>
          <w:tcPr>
            <w:tcW w:type="dxa" w:w="1417"/>
          </w:tcPr>
          <w:p>
            <w:r/>
            <w:r>
              <w:rPr>
                <w:rFonts w:ascii="宋体" w:hAnsi="宋体" w:eastAsia="宋体"/>
                <w:b w:val="0"/>
                <w:sz w:val="21"/>
              </w:rPr>
              <w:t>7243±1600</w:t>
            </w:r>
          </w:p>
        </w:tc>
        <w:tc>
          <w:tcPr>
            <w:tcW w:type="dxa" w:w="1417"/>
          </w:tcPr>
          <w:p>
            <w:r/>
            <w:r>
              <w:rPr>
                <w:rFonts w:ascii="宋体" w:hAnsi="宋体" w:eastAsia="宋体"/>
                <w:b w:val="0"/>
                <w:sz w:val="21"/>
              </w:rPr>
              <w:t>6.0±4.2</w:t>
            </w:r>
          </w:p>
        </w:tc>
        <w:tc>
          <w:tcPr>
            <w:tcW w:type="dxa" w:w="1417"/>
          </w:tcPr>
          <w:p>
            <w:r/>
            <w:r>
              <w:rPr>
                <w:rFonts w:ascii="宋体" w:hAnsi="宋体" w:eastAsia="宋体"/>
                <w:b w:val="0"/>
                <w:sz w:val="21"/>
              </w:rPr>
              <w:t>46.8±34.4%</w:t>
            </w:r>
          </w:p>
        </w:tc>
        <w:tc>
          <w:tcPr>
            <w:tcW w:type="dxa" w:w="1417"/>
          </w:tcPr>
          <w:p>
            <w:r/>
            <w:r>
              <w:rPr>
                <w:rFonts w:ascii="宋体" w:hAnsi="宋体" w:eastAsia="宋体"/>
                <w:b w:val="0"/>
                <w:sz w:val="21"/>
              </w:rPr>
              <w:t>66.7±47.1%</w:t>
            </w:r>
          </w:p>
        </w:tc>
        <w:tc>
          <w:tcPr>
            <w:tcW w:type="dxa" w:w="1417"/>
          </w:tcPr>
          <w:p>
            <w:r/>
            <w:r>
              <w:rPr>
                <w:rFonts w:ascii="宋体" w:hAnsi="宋体" w:eastAsia="宋体"/>
                <w:b w:val="0"/>
                <w:sz w:val="21"/>
              </w:rPr>
              <w:t>23.0±16.3</w:t>
            </w:r>
          </w:p>
        </w:tc>
      </w:tr>
      <w:tr>
        <w:tc>
          <w:tcPr>
            <w:tcW w:type="dxa" w:w="1417"/>
          </w:tcPr>
          <w:p>
            <w:r/>
            <w:r>
              <w:rPr>
                <w:rFonts w:ascii="宋体" w:hAnsi="宋体" w:eastAsia="宋体"/>
                <w:b w:val="0"/>
                <w:sz w:val="21"/>
              </w:rPr>
              <w:t>基准DQN+ASGS</w:t>
            </w:r>
          </w:p>
        </w:tc>
        <w:tc>
          <w:tcPr>
            <w:tcW w:type="dxa" w:w="1417"/>
          </w:tcPr>
          <w:p>
            <w:r/>
            <w:r>
              <w:rPr>
                <w:rFonts w:ascii="宋体" w:hAnsi="宋体" w:eastAsia="宋体"/>
                <w:b w:val="0"/>
                <w:sz w:val="21"/>
              </w:rPr>
              <w:t>7731</w:t>
            </w:r>
          </w:p>
        </w:tc>
        <w:tc>
          <w:tcPr>
            <w:tcW w:type="dxa" w:w="1417"/>
          </w:tcPr>
          <w:p>
            <w:r/>
            <w:r>
              <w:rPr>
                <w:rFonts w:ascii="宋体" w:hAnsi="宋体" w:eastAsia="宋体"/>
                <w:b w:val="0"/>
                <w:sz w:val="21"/>
              </w:rPr>
              <w:t>4.1</w:t>
            </w:r>
          </w:p>
        </w:tc>
        <w:tc>
          <w:tcPr>
            <w:tcW w:type="dxa" w:w="1417"/>
          </w:tcPr>
          <w:p>
            <w:r/>
            <w:r>
              <w:rPr>
                <w:rFonts w:ascii="宋体" w:hAnsi="宋体" w:eastAsia="宋体"/>
                <w:b w:val="0"/>
                <w:sz w:val="21"/>
              </w:rPr>
              <w:t>1.5%</w:t>
            </w:r>
          </w:p>
        </w:tc>
        <w:tc>
          <w:tcPr>
            <w:tcW w:type="dxa" w:w="1417"/>
          </w:tcPr>
          <w:p>
            <w:r/>
            <w:r>
              <w:rPr>
                <w:rFonts w:ascii="宋体" w:hAnsi="宋体" w:eastAsia="宋体"/>
                <w:b w:val="0"/>
                <w:sz w:val="21"/>
              </w:rPr>
              <w:t>0%</w:t>
            </w:r>
          </w:p>
        </w:tc>
        <w:tc>
          <w:tcPr>
            <w:tcW w:type="dxa" w:w="1417"/>
          </w:tcPr>
          <w:p>
            <w:r/>
            <w:r>
              <w:rPr>
                <w:rFonts w:ascii="宋体" w:hAnsi="宋体" w:eastAsia="宋体"/>
                <w:b w:val="0"/>
                <w:sz w:val="21"/>
              </w:rPr>
              <w:t>失败</w:t>
            </w:r>
          </w:p>
        </w:tc>
      </w:tr>
      <w:tr>
        <w:tc>
          <w:tcPr>
            <w:tcW w:type="dxa" w:w="1417"/>
          </w:tcPr>
          <w:p>
            <w:r/>
            <w:r>
              <w:rPr>
                <w:rFonts w:ascii="宋体" w:hAnsi="宋体" w:eastAsia="宋体"/>
                <w:b w:val="0"/>
                <w:sz w:val="21"/>
              </w:rPr>
              <w:t>耦合奖励</w:t>
            </w:r>
          </w:p>
        </w:tc>
        <w:tc>
          <w:tcPr>
            <w:tcW w:type="dxa" w:w="1417"/>
          </w:tcPr>
          <w:p>
            <w:r/>
            <w:r>
              <w:rPr>
                <w:rFonts w:ascii="宋体" w:hAnsi="宋体" w:eastAsia="宋体"/>
                <w:b w:val="0"/>
                <w:sz w:val="21"/>
              </w:rPr>
              <w:t>2766±530</w:t>
            </w:r>
          </w:p>
        </w:tc>
        <w:tc>
          <w:tcPr>
            <w:tcW w:type="dxa" w:w="1417"/>
          </w:tcPr>
          <w:p>
            <w:r/>
            <w:r>
              <w:rPr>
                <w:rFonts w:ascii="宋体" w:hAnsi="宋体" w:eastAsia="宋体"/>
                <w:b w:val="0"/>
                <w:sz w:val="21"/>
              </w:rPr>
              <w:t>137.1±5.0</w:t>
            </w:r>
          </w:p>
        </w:tc>
        <w:tc>
          <w:tcPr>
            <w:tcW w:type="dxa" w:w="1417"/>
          </w:tcPr>
          <w:p>
            <w:r/>
            <w:r>
              <w:rPr>
                <w:rFonts w:ascii="宋体" w:hAnsi="宋体" w:eastAsia="宋体"/>
                <w:b w:val="0"/>
                <w:sz w:val="21"/>
              </w:rPr>
              <w:t>75.2±4.9%</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33.7±0.9</w:t>
            </w:r>
          </w:p>
        </w:tc>
      </w:tr>
      <w:tr>
        <w:tc>
          <w:tcPr>
            <w:tcW w:type="dxa" w:w="1417"/>
          </w:tcPr>
          <w:p>
            <w:r/>
            <w:r>
              <w:rPr>
                <w:rFonts w:ascii="宋体" w:hAnsi="宋体" w:eastAsia="宋体"/>
                <w:b/>
                <w:sz w:val="21"/>
              </w:rPr>
              <w:t>耦合+ASGS</w:t>
            </w:r>
          </w:p>
        </w:tc>
        <w:tc>
          <w:tcPr>
            <w:tcW w:type="dxa" w:w="1417"/>
          </w:tcPr>
          <w:p>
            <w:r/>
            <w:r>
              <w:rPr>
                <w:rFonts w:ascii="宋体" w:hAnsi="宋体" w:eastAsia="宋体"/>
                <w:b/>
                <w:sz w:val="21"/>
              </w:rPr>
              <w:t>3663±2528</w:t>
            </w:r>
          </w:p>
        </w:tc>
        <w:tc>
          <w:tcPr>
            <w:tcW w:type="dxa" w:w="1417"/>
          </w:tcPr>
          <w:p>
            <w:r/>
            <w:r>
              <w:rPr>
                <w:rFonts w:ascii="宋体" w:hAnsi="宋体" w:eastAsia="宋体"/>
                <w:b/>
                <w:sz w:val="21"/>
              </w:rPr>
              <w:t>206.4±45.7</w:t>
            </w:r>
          </w:p>
        </w:tc>
        <w:tc>
          <w:tcPr>
            <w:tcW w:type="dxa" w:w="1417"/>
          </w:tcPr>
          <w:p>
            <w:r/>
            <w:r>
              <w:rPr>
                <w:rFonts w:ascii="宋体" w:hAnsi="宋体" w:eastAsia="宋体"/>
                <w:b/>
                <w:sz w:val="21"/>
              </w:rPr>
              <w:t>96.8±0.5%</w:t>
            </w:r>
          </w:p>
        </w:tc>
        <w:tc>
          <w:tcPr>
            <w:tcW w:type="dxa" w:w="1417"/>
          </w:tcPr>
          <w:p>
            <w:r/>
            <w:r>
              <w:rPr>
                <w:rFonts w:ascii="宋体" w:hAnsi="宋体" w:eastAsia="宋体"/>
                <w:b/>
                <w:sz w:val="21"/>
              </w:rPr>
              <w:t>100%</w:t>
            </w:r>
          </w:p>
        </w:tc>
        <w:tc>
          <w:tcPr>
            <w:tcW w:type="dxa" w:w="1417"/>
          </w:tcPr>
          <w:p>
            <w:r/>
            <w:r>
              <w:rPr>
                <w:rFonts w:ascii="宋体" w:hAnsi="宋体" w:eastAsia="宋体"/>
                <w:b/>
                <w:sz w:val="21"/>
              </w:rPr>
              <w:t>33.7±0.9</w:t>
            </w:r>
          </w:p>
        </w:tc>
      </w:tr>
      <w:tr>
        <w:tc>
          <w:tcPr>
            <w:tcW w:type="dxa" w:w="1417"/>
          </w:tcPr>
          <w:p>
            <w:r/>
            <w:r>
              <w:rPr>
                <w:rFonts w:ascii="宋体" w:hAnsi="宋体" w:eastAsia="宋体"/>
                <w:b/>
                <w:sz w:val="21"/>
              </w:rPr>
              <w:t>三合一（CAT+耦合+ASGS）</w:t>
            </w:r>
          </w:p>
        </w:tc>
        <w:tc>
          <w:tcPr>
            <w:tcW w:type="dxa" w:w="1417"/>
          </w:tcPr>
          <w:p>
            <w:r/>
            <w:r>
              <w:rPr>
                <w:rFonts w:ascii="宋体" w:hAnsi="宋体" w:eastAsia="宋体"/>
                <w:b/>
                <w:sz w:val="21"/>
              </w:rPr>
              <w:t>1547±211</w:t>
            </w:r>
          </w:p>
        </w:tc>
        <w:tc>
          <w:tcPr>
            <w:tcW w:type="dxa" w:w="1417"/>
          </w:tcPr>
          <w:p>
            <w:r/>
            <w:r>
              <w:rPr>
                <w:rFonts w:ascii="宋体" w:hAnsi="宋体" w:eastAsia="宋体"/>
                <w:b/>
                <w:sz w:val="21"/>
              </w:rPr>
              <w:t>271.5±67.9</w:t>
            </w:r>
          </w:p>
        </w:tc>
        <w:tc>
          <w:tcPr>
            <w:tcW w:type="dxa" w:w="1417"/>
          </w:tcPr>
          <w:p>
            <w:r/>
            <w:r>
              <w:rPr>
                <w:rFonts w:ascii="宋体" w:hAnsi="宋体" w:eastAsia="宋体"/>
                <w:b/>
                <w:sz w:val="21"/>
              </w:rPr>
              <w:t>95.2±1.6%</w:t>
            </w:r>
          </w:p>
        </w:tc>
        <w:tc>
          <w:tcPr>
            <w:tcW w:type="dxa" w:w="1417"/>
          </w:tcPr>
          <w:p>
            <w:r/>
            <w:r>
              <w:rPr>
                <w:rFonts w:ascii="宋体" w:hAnsi="宋体" w:eastAsia="宋体"/>
                <w:b/>
                <w:sz w:val="21"/>
              </w:rPr>
              <w:t>100%</w:t>
            </w:r>
          </w:p>
        </w:tc>
        <w:tc>
          <w:tcPr>
            <w:tcW w:type="dxa" w:w="1417"/>
          </w:tcPr>
          <w:p>
            <w:r/>
            <w:r>
              <w:rPr>
                <w:rFonts w:ascii="宋体" w:hAnsi="宋体" w:eastAsia="宋体"/>
                <w:b/>
                <w:sz w:val="21"/>
              </w:rPr>
              <w:t>33.0</w:t>
            </w:r>
          </w:p>
        </w:tc>
      </w:tr>
      <w:tr>
        <w:tc>
          <w:tcPr>
            <w:tcW w:type="dxa" w:w="1417"/>
          </w:tcPr>
          <w:p>
            <w:r/>
            <w:r>
              <w:rPr>
                <w:rFonts w:ascii="宋体" w:hAnsi="宋体" w:eastAsia="宋体"/>
                <w:b w:val="0"/>
                <w:sz w:val="21"/>
              </w:rPr>
              <w:t>消融-无开阔度</w:t>
            </w:r>
          </w:p>
        </w:tc>
        <w:tc>
          <w:tcPr>
            <w:tcW w:type="dxa" w:w="1417"/>
          </w:tcPr>
          <w:p>
            <w:r/>
            <w:r>
              <w:rPr>
                <w:rFonts w:ascii="宋体" w:hAnsi="宋体" w:eastAsia="宋体"/>
                <w:b w:val="0"/>
                <w:sz w:val="21"/>
              </w:rPr>
              <w:t>7130</w:t>
            </w:r>
          </w:p>
        </w:tc>
        <w:tc>
          <w:tcPr>
            <w:tcW w:type="dxa" w:w="1417"/>
          </w:tcPr>
          <w:p>
            <w:r/>
            <w:r>
              <w:rPr>
                <w:rFonts w:ascii="宋体" w:hAnsi="宋体" w:eastAsia="宋体"/>
                <w:b w:val="0"/>
                <w:sz w:val="21"/>
              </w:rPr>
              <w:t>127.3</w:t>
            </w:r>
          </w:p>
        </w:tc>
        <w:tc>
          <w:tcPr>
            <w:tcW w:type="dxa" w:w="1417"/>
          </w:tcPr>
          <w:p>
            <w:r/>
            <w:r>
              <w:rPr>
                <w:rFonts w:ascii="宋体" w:hAnsi="宋体" w:eastAsia="宋体"/>
                <w:b w:val="0"/>
                <w:sz w:val="21"/>
              </w:rPr>
              <w:t>85.0%</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33.0</w:t>
            </w:r>
          </w:p>
        </w:tc>
      </w:tr>
      <w:tr>
        <w:tc>
          <w:tcPr>
            <w:tcW w:type="dxa" w:w="1417"/>
          </w:tcPr>
          <w:p>
            <w:r/>
            <w:r>
              <w:rPr>
                <w:rFonts w:ascii="宋体" w:hAnsi="宋体" w:eastAsia="宋体"/>
                <w:b w:val="0"/>
                <w:sz w:val="21"/>
              </w:rPr>
              <w:t>消融-无方向对齐</w:t>
            </w:r>
          </w:p>
        </w:tc>
        <w:tc>
          <w:tcPr>
            <w:tcW w:type="dxa" w:w="1417"/>
          </w:tcPr>
          <w:p>
            <w:r/>
            <w:r>
              <w:rPr>
                <w:rFonts w:ascii="宋体" w:hAnsi="宋体" w:eastAsia="宋体"/>
                <w:b w:val="0"/>
                <w:sz w:val="21"/>
              </w:rPr>
              <w:t>2778</w:t>
            </w:r>
          </w:p>
        </w:tc>
        <w:tc>
          <w:tcPr>
            <w:tcW w:type="dxa" w:w="1417"/>
          </w:tcPr>
          <w:p>
            <w:r/>
            <w:r>
              <w:rPr>
                <w:rFonts w:ascii="宋体" w:hAnsi="宋体" w:eastAsia="宋体"/>
                <w:b w:val="0"/>
                <w:sz w:val="21"/>
              </w:rPr>
              <w:t>130.6</w:t>
            </w:r>
          </w:p>
        </w:tc>
        <w:tc>
          <w:tcPr>
            <w:tcW w:type="dxa" w:w="1417"/>
          </w:tcPr>
          <w:p>
            <w:r/>
            <w:r>
              <w:rPr>
                <w:rFonts w:ascii="宋体" w:hAnsi="宋体" w:eastAsia="宋体"/>
                <w:b w:val="0"/>
                <w:sz w:val="21"/>
              </w:rPr>
              <w:t>82.5%</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33.0</w:t>
            </w:r>
          </w:p>
        </w:tc>
      </w:tr>
      <w:tr>
        <w:tc>
          <w:tcPr>
            <w:tcW w:type="dxa" w:w="1417"/>
          </w:tcPr>
          <w:p>
            <w:r/>
            <w:r>
              <w:rPr>
                <w:rFonts w:ascii="宋体" w:hAnsi="宋体" w:eastAsia="宋体"/>
                <w:b w:val="0"/>
                <w:sz w:val="21"/>
              </w:rPr>
              <w:t>CAT+耦合</w:t>
            </w:r>
          </w:p>
        </w:tc>
        <w:tc>
          <w:tcPr>
            <w:tcW w:type="dxa" w:w="1417"/>
          </w:tcPr>
          <w:p>
            <w:r/>
            <w:r>
              <w:rPr>
                <w:rFonts w:ascii="宋体" w:hAnsi="宋体" w:eastAsia="宋体"/>
                <w:b w:val="0"/>
                <w:sz w:val="21"/>
              </w:rPr>
              <w:t>1915</w:t>
            </w:r>
          </w:p>
        </w:tc>
        <w:tc>
          <w:tcPr>
            <w:tcW w:type="dxa" w:w="1417"/>
          </w:tcPr>
          <w:p>
            <w:r/>
            <w:r>
              <w:rPr>
                <w:rFonts w:ascii="宋体" w:hAnsi="宋体" w:eastAsia="宋体"/>
                <w:b w:val="0"/>
                <w:sz w:val="21"/>
              </w:rPr>
              <w:t>136.7</w:t>
            </w:r>
          </w:p>
        </w:tc>
        <w:tc>
          <w:tcPr>
            <w:tcW w:type="dxa" w:w="1417"/>
          </w:tcPr>
          <w:p>
            <w:r/>
            <w:r>
              <w:rPr>
                <w:rFonts w:ascii="宋体" w:hAnsi="宋体" w:eastAsia="宋体"/>
                <w:b w:val="0"/>
                <w:sz w:val="21"/>
              </w:rPr>
              <w:t>79.0%</w:t>
            </w:r>
          </w:p>
        </w:tc>
        <w:tc>
          <w:tcPr>
            <w:tcW w:type="dxa" w:w="1417"/>
          </w:tcPr>
          <w:p>
            <w:r/>
            <w:r>
              <w:rPr>
                <w:rFonts w:ascii="宋体" w:hAnsi="宋体" w:eastAsia="宋体"/>
                <w:b w:val="0"/>
                <w:sz w:val="21"/>
              </w:rPr>
              <w:t>100%</w:t>
            </w:r>
          </w:p>
        </w:tc>
        <w:tc>
          <w:tcPr>
            <w:tcW w:type="dxa" w:w="1417"/>
          </w:tcPr>
          <w:p>
            <w:r/>
            <w:r>
              <w:rPr>
                <w:rFonts w:ascii="宋体" w:hAnsi="宋体" w:eastAsia="宋体"/>
                <w:b w:val="0"/>
                <w:sz w:val="21"/>
              </w:rPr>
              <w:t>33.0</w:t>
            </w:r>
          </w:p>
        </w:tc>
      </w:tr>
    </w:tbl>
    <w:p/>
    <w:p>
      <w:r>
        <w:rPr>
          <w:rFonts w:ascii="宋体" w:hAnsi="宋体" w:eastAsia="宋体"/>
          <w:b/>
          <w:sz w:val="24"/>
        </w:rPr>
        <w:t>结论</w:t>
      </w:r>
      <w:r>
        <w:rPr>
          <w:rFonts w:ascii="宋体" w:hAnsi="宋体" w:eastAsia="宋体"/>
          <w:b w:val="0"/>
          <w:sz w:val="24"/>
        </w:rPr>
        <w:t>：30x30地图上，基准DQN极不稳定（训练成功率46.8%±34.4%，3次中有1次完全失败），而核心方法（耦合+ASGS）稳定达到96.8%±0.5%。三合一（CAT+耦合+ASGS，3个seed）训练成功率为95.2%±1.6%，与核心方法基本持平（略低1.6个百分点但保持在95%以上），验证CAT在干净地图上不损害30x30的规划性能。耦合奖励较基准DQN训练成功率提升28.4个百分点，测试成功率从66.7%提升至100%。ASGS单独与稀疏奖励结合时在复杂地图上失败，但与耦合奖励结合时效果最佳，验证了两个改进的互补性。</w:t>
      </w:r>
    </w:p>
    <w:p>
      <w:r>
        <w:rPr>
          <w:rFonts w:ascii="宋体" w:hAnsi="宋体" w:eastAsia="宋体"/>
          <w:b w:val="0"/>
          <w:sz w:val="24"/>
        </w:rPr>
        <w:t>各方法路径对比如图9~图15所示，各方法奖励收敛曲线如图16所示。</w:t>
      </w:r>
    </w:p>
    <w:p>
      <w:pPr>
        <w:jc w:val="center"/>
      </w:pPr>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fig_path_30x30_S0.png"/>
                    <pic:cNvPicPr/>
                  </pic:nvPicPr>
                  <pic:blipFill>
                    <a:blip r:embed="rId17"/>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图9 30×30地图 S0 Sparse 路径</w:t>
      </w:r>
      <w:r>
        <w:br/>
      </w:r>
      <w:r>
        <w:rPr>
          <w:rFonts w:ascii="Times New Roman" w:hAnsi="Times New Roman" w:eastAsia="Times New Roman"/>
          <w:b w:val="0"/>
          <w:sz w:val="21"/>
        </w:rPr>
        <w:t>Fig.9 Path of S0 Sparse on the 30×30 map</w:t>
      </w:r>
    </w:p>
    <w:p>
      <w:pPr>
        <w:jc w:val="center"/>
      </w:pPr>
      <w: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fig_path_30x30_E1.png"/>
                    <pic:cNvPicPr/>
                  </pic:nvPicPr>
                  <pic:blipFill>
                    <a:blip r:embed="rId18"/>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图10 30×30地图 E1 Coupled 路径</w:t>
      </w:r>
      <w:r>
        <w:br/>
      </w:r>
      <w:r>
        <w:rPr>
          <w:rFonts w:ascii="Times New Roman" w:hAnsi="Times New Roman" w:eastAsia="Times New Roman"/>
          <w:b w:val="0"/>
          <w:sz w:val="21"/>
        </w:rPr>
        <w:t>Fig.10 Path of E1 Coupled on the 30×30 map</w:t>
      </w:r>
    </w:p>
    <w:p>
      <w:pPr>
        <w:jc w:val="center"/>
      </w:pPr>
      <w: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fig_path_30x30_E1A.png"/>
                    <pic:cNvPicPr/>
                  </pic:nvPicPr>
                  <pic:blipFill>
                    <a:blip r:embed="rId19"/>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图11 30×30地图 E1A Coupled+ASGS 路径</w:t>
      </w:r>
      <w:r>
        <w:br/>
      </w:r>
      <w:r>
        <w:rPr>
          <w:rFonts w:ascii="Times New Roman" w:hAnsi="Times New Roman" w:eastAsia="Times New Roman"/>
          <w:b w:val="0"/>
          <w:sz w:val="21"/>
        </w:rPr>
        <w:t>Fig.11 Path of E1A Coupled+ASGS on the 30×30 map</w:t>
      </w:r>
    </w:p>
    <w:p>
      <w:pPr>
        <w:jc w:val="center"/>
      </w:pPr>
      <w:r>
        <w:drawing>
          <wp:inline xmlns:a="http://schemas.openxmlformats.org/drawingml/2006/main" xmlns:pic="http://schemas.openxmlformats.org/drawingml/2006/picture">
            <wp:extent cx="5486400" cy="5486400"/>
            <wp:docPr id="12" name="Picture 12"/>
            <wp:cNvGraphicFramePr>
              <a:graphicFrameLocks noChangeAspect="1"/>
            </wp:cNvGraphicFramePr>
            <a:graphic>
              <a:graphicData uri="http://schemas.openxmlformats.org/drawingml/2006/picture">
                <pic:pic>
                  <pic:nvPicPr>
                    <pic:cNvPr id="0" name="fig_path_30x30_DDQN.png"/>
                    <pic:cNvPicPr/>
                  </pic:nvPicPr>
                  <pic:blipFill>
                    <a:blip r:embed="rId20"/>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图12 30×30地图 DDQN 路径</w:t>
      </w:r>
      <w:r>
        <w:br/>
      </w:r>
      <w:r>
        <w:rPr>
          <w:rFonts w:ascii="Times New Roman" w:hAnsi="Times New Roman" w:eastAsia="Times New Roman"/>
          <w:b w:val="0"/>
          <w:sz w:val="21"/>
        </w:rPr>
        <w:t>Fig.12 Path of DDQN on the 30×30 map</w:t>
      </w:r>
    </w:p>
    <w:p>
      <w:pPr>
        <w:jc w:val="center"/>
      </w:pPr>
      <w:r>
        <w:drawing>
          <wp:inline xmlns:a="http://schemas.openxmlformats.org/drawingml/2006/main" xmlns:pic="http://schemas.openxmlformats.org/drawingml/2006/picture">
            <wp:extent cx="5486400" cy="5486400"/>
            <wp:docPr id="13" name="Picture 13"/>
            <wp:cNvGraphicFramePr>
              <a:graphicFrameLocks noChangeAspect="1"/>
            </wp:cNvGraphicFramePr>
            <a:graphic>
              <a:graphicData uri="http://schemas.openxmlformats.org/drawingml/2006/picture">
                <pic:pic>
                  <pic:nvPicPr>
                    <pic:cNvPr id="0" name="fig_path_30x30_Dueling.png"/>
                    <pic:cNvPicPr/>
                  </pic:nvPicPr>
                  <pic:blipFill>
                    <a:blip r:embed="rId21"/>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图13 30×30地图 Dueling DQN 路径</w:t>
      </w:r>
      <w:r>
        <w:br/>
      </w:r>
      <w:r>
        <w:rPr>
          <w:rFonts w:ascii="Times New Roman" w:hAnsi="Times New Roman" w:eastAsia="Times New Roman"/>
          <w:b w:val="0"/>
          <w:sz w:val="21"/>
        </w:rPr>
        <w:t>Fig.13 Path of Dueling DQN on the 30×30 map</w:t>
      </w:r>
    </w:p>
    <w:p>
      <w:pPr>
        <w:jc w:val="center"/>
      </w:pPr>
      <w:r>
        <w:drawing>
          <wp:inline xmlns:a="http://schemas.openxmlformats.org/drawingml/2006/main" xmlns:pic="http://schemas.openxmlformats.org/drawingml/2006/picture">
            <wp:extent cx="5486400" cy="5486400"/>
            <wp:docPr id="14" name="Picture 14"/>
            <wp:cNvGraphicFramePr>
              <a:graphicFrameLocks noChangeAspect="1"/>
            </wp:cNvGraphicFramePr>
            <a:graphic>
              <a:graphicData uri="http://schemas.openxmlformats.org/drawingml/2006/picture">
                <pic:pic>
                  <pic:nvPicPr>
                    <pic:cNvPr id="0" name="fig_path_30x30_PER.png"/>
                    <pic:cNvPicPr/>
                  </pic:nvPicPr>
                  <pic:blipFill>
                    <a:blip r:embed="rId22"/>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图14 30×30地图 PER DQN 路径</w:t>
      </w:r>
      <w:r>
        <w:br/>
      </w:r>
      <w:r>
        <w:rPr>
          <w:rFonts w:ascii="Times New Roman" w:hAnsi="Times New Roman" w:eastAsia="Times New Roman"/>
          <w:b w:val="0"/>
          <w:sz w:val="21"/>
        </w:rPr>
        <w:t>Fig.14 Path of PER DQN on the 30×30 map</w:t>
      </w:r>
    </w:p>
    <w:p>
      <w:pPr>
        <w:jc w:val="center"/>
      </w:pPr>
      <w:r>
        <w:drawing>
          <wp:inline xmlns:a="http://schemas.openxmlformats.org/drawingml/2006/main" xmlns:pic="http://schemas.openxmlformats.org/drawingml/2006/picture">
            <wp:extent cx="5486400" cy="5486400"/>
            <wp:docPr id="15" name="Picture 15"/>
            <wp:cNvGraphicFramePr>
              <a:graphicFrameLocks noChangeAspect="1"/>
            </wp:cNvGraphicFramePr>
            <a:graphic>
              <a:graphicData uri="http://schemas.openxmlformats.org/drawingml/2006/picture">
                <pic:pic>
                  <pic:nvPicPr>
                    <pic:cNvPr id="0" name="fig_path_30x30_E1AC.png"/>
                    <pic:cNvPicPr/>
                  </pic:nvPicPr>
                  <pic:blipFill>
                    <a:blip r:embed="rId23"/>
                    <a:stretch>
                      <a:fillRect/>
                    </a:stretch>
                  </pic:blipFill>
                  <pic:spPr>
                    <a:xfrm>
                      <a:off x="0" y="0"/>
                      <a:ext cx="5486400" cy="5486400"/>
                    </a:xfrm>
                    <a:prstGeom prst="rect"/>
                  </pic:spPr>
                </pic:pic>
              </a:graphicData>
            </a:graphic>
          </wp:inline>
        </w:drawing>
      </w:r>
    </w:p>
    <w:p>
      <w:pPr>
        <w:jc w:val="center"/>
      </w:pPr>
      <w:r>
        <w:rPr>
          <w:rFonts w:ascii="宋体" w:hAnsi="宋体" w:eastAsia="宋体"/>
          <w:b w:val="0"/>
          <w:sz w:val="21"/>
        </w:rPr>
        <w:t>图15 30×30地图 E1AC 三合一 路径</w:t>
      </w:r>
      <w:r>
        <w:br/>
      </w:r>
      <w:r>
        <w:rPr>
          <w:rFonts w:ascii="Times New Roman" w:hAnsi="Times New Roman" w:eastAsia="Times New Roman"/>
          <w:b w:val="0"/>
          <w:sz w:val="21"/>
        </w:rPr>
        <w:t>Fig.15 Path of E1AC on the 30×30 map</w:t>
      </w:r>
    </w:p>
    <w:p>
      <w:pPr>
        <w:jc w:val="center"/>
      </w:pPr>
      <w:r>
        <w:drawing>
          <wp:inline xmlns:a="http://schemas.openxmlformats.org/drawingml/2006/main" xmlns:pic="http://schemas.openxmlformats.org/drawingml/2006/picture">
            <wp:extent cx="5486400" cy="3291840"/>
            <wp:docPr id="16" name="Picture 16"/>
            <wp:cNvGraphicFramePr>
              <a:graphicFrameLocks noChangeAspect="1"/>
            </wp:cNvGraphicFramePr>
            <a:graphic>
              <a:graphicData uri="http://schemas.openxmlformats.org/drawingml/2006/picture">
                <pic:pic>
                  <pic:nvPicPr>
                    <pic:cNvPr id="0" name="fig_reward_30x30_all.png"/>
                    <pic:cNvPicPr/>
                  </pic:nvPicPr>
                  <pic:blipFill>
                    <a:blip r:embed="rId24"/>
                    <a:stretch>
                      <a:fillRect/>
                    </a:stretch>
                  </pic:blipFill>
                  <pic:spPr>
                    <a:xfrm>
                      <a:off x="0" y="0"/>
                      <a:ext cx="5486400" cy="3291840"/>
                    </a:xfrm>
                    <a:prstGeom prst="rect"/>
                  </pic:spPr>
                </pic:pic>
              </a:graphicData>
            </a:graphic>
          </wp:inline>
        </w:drawing>
      </w:r>
    </w:p>
    <w:p>
      <w:pPr>
        <w:jc w:val="center"/>
      </w:pPr>
      <w:r>
        <w:rPr>
          <w:rFonts w:ascii="宋体" w:hAnsi="宋体" w:eastAsia="宋体"/>
          <w:b w:val="0"/>
          <w:sz w:val="21"/>
        </w:rPr>
        <w:t>图16 30×30地图奖励收敛曲线</w:t>
      </w:r>
      <w:r>
        <w:br/>
      </w:r>
      <w:r>
        <w:rPr>
          <w:rFonts w:ascii="Times New Roman" w:hAnsi="Times New Roman" w:eastAsia="Times New Roman"/>
          <w:b w:val="0"/>
          <w:sz w:val="21"/>
        </w:rPr>
        <w:t>Fig.16 Reward convergence curves on the 30×30 map</w:t>
      </w:r>
    </w:p>
    <w:p>
      <w:r>
        <w:rPr>
          <w:rFonts w:ascii="黑体" w:hAnsi="黑体" w:eastAsia="黑体"/>
          <w:b/>
          <w:sz w:val="24"/>
        </w:rPr>
        <w:t>4.4 与改进DQN算法对比</w:t>
      </w:r>
    </w:p>
    <w:p>
      <w:r>
        <w:rPr>
          <w:rFonts w:ascii="宋体" w:hAnsi="宋体" w:eastAsia="宋体"/>
          <w:b w:val="0"/>
          <w:sz w:val="24"/>
        </w:rPr>
        <w:t>为验证核心方法（E1A）相对于主流DQN改进算法的性能，在20x20和30x30地图上将其与DDQN、Dueling DQN和PER DQN进行对比。所有对比方法均采用与本文一致的耦合奖励和MLP网络，每种方法使用3个随机种子重复训练，对比指标为训练时间、收敛轮数、训练成功率和路径长度，结果如表3所示。</w:t>
      </w:r>
    </w:p>
    <w:p>
      <w:pPr>
        <w:jc w:val="center"/>
      </w:pPr>
      <w:r>
        <w:rPr>
          <w:rFonts w:ascii="宋体" w:hAnsi="宋体" w:eastAsia="宋体"/>
          <w:b w:val="0"/>
          <w:sz w:val="21"/>
        </w:rPr>
        <w:t>表3 与改进DQN算法对比（均值±标准差，3个种子）</w:t>
      </w:r>
      <w:r>
        <w:br/>
      </w:r>
      <w:r>
        <w:rPr>
          <w:rFonts w:ascii="Times New Roman" w:hAnsi="Times New Roman" w:eastAsia="Times New Roman"/>
          <w:b w:val="0"/>
          <w:sz w:val="21"/>
        </w:rPr>
        <w:t>Tab.3 Comparison with improved DQN algorithms (mean±std, 3 seeds)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Pr>
                <w:b/>
              </w:rPr>
            </w:r>
            <w:r>
              <w:rPr>
                <w:rFonts w:ascii="宋体" w:hAnsi="宋体" w:eastAsia="宋体"/>
                <w:b/>
                <w:sz w:val="21"/>
              </w:rPr>
              <w:t>地图</w:t>
            </w:r>
          </w:p>
        </w:tc>
        <w:tc>
          <w:tcPr>
            <w:tcW w:type="dxa" w:w="1417"/>
          </w:tcPr>
          <w:p>
            <w:r>
              <w:rPr>
                <w:b/>
              </w:rPr>
            </w:r>
            <w:r>
              <w:rPr>
                <w:rFonts w:ascii="宋体" w:hAnsi="宋体" w:eastAsia="宋体"/>
                <w:b/>
                <w:sz w:val="21"/>
              </w:rPr>
              <w:t>算法</w:t>
            </w:r>
          </w:p>
        </w:tc>
        <w:tc>
          <w:tcPr>
            <w:tcW w:type="dxa" w:w="1417"/>
          </w:tcPr>
          <w:p>
            <w:r>
              <w:rPr>
                <w:b/>
              </w:rPr>
            </w:r>
            <w:r>
              <w:rPr>
                <w:rFonts w:ascii="宋体" w:hAnsi="宋体" w:eastAsia="宋体"/>
                <w:b/>
                <w:sz w:val="21"/>
              </w:rPr>
              <w:t>训练时间(s)</w:t>
            </w:r>
          </w:p>
        </w:tc>
        <w:tc>
          <w:tcPr>
            <w:tcW w:type="dxa" w:w="1417"/>
          </w:tcPr>
          <w:p>
            <w:r>
              <w:rPr>
                <w:b/>
              </w:rPr>
            </w:r>
            <w:r>
              <w:rPr>
                <w:rFonts w:ascii="宋体" w:hAnsi="宋体" w:eastAsia="宋体"/>
                <w:b/>
                <w:sz w:val="21"/>
              </w:rPr>
              <w:t>收敛轮数</w:t>
            </w:r>
          </w:p>
        </w:tc>
        <w:tc>
          <w:tcPr>
            <w:tcW w:type="dxa" w:w="1417"/>
          </w:tcPr>
          <w:p>
            <w:r>
              <w:rPr>
                <w:b/>
              </w:rPr>
            </w:r>
            <w:r>
              <w:rPr>
                <w:rFonts w:ascii="宋体" w:hAnsi="宋体" w:eastAsia="宋体"/>
                <w:b/>
                <w:sz w:val="21"/>
              </w:rPr>
              <w:t>训练成功率</w:t>
            </w:r>
          </w:p>
        </w:tc>
        <w:tc>
          <w:tcPr>
            <w:tcW w:type="dxa" w:w="1417"/>
          </w:tcPr>
          <w:p>
            <w:r>
              <w:rPr>
                <w:b/>
              </w:rPr>
            </w:r>
            <w:r>
              <w:rPr>
                <w:rFonts w:ascii="宋体" w:hAnsi="宋体" w:eastAsia="宋体"/>
                <w:b/>
                <w:sz w:val="21"/>
              </w:rPr>
              <w:t>路径长度</w:t>
            </w:r>
          </w:p>
        </w:tc>
      </w:tr>
      <w:tr>
        <w:tc>
          <w:tcPr>
            <w:tcW w:type="dxa" w:w="1417"/>
          </w:tcPr>
          <w:p>
            <w:r/>
            <w:r>
              <w:rPr>
                <w:rFonts w:ascii="宋体" w:hAnsi="宋体" w:eastAsia="宋体"/>
                <w:b w:val="0"/>
                <w:sz w:val="21"/>
              </w:rPr>
              <w:t>20x20</w:t>
            </w:r>
          </w:p>
        </w:tc>
        <w:tc>
          <w:tcPr>
            <w:tcW w:type="dxa" w:w="1417"/>
          </w:tcPr>
          <w:p>
            <w:r/>
            <w:r>
              <w:rPr>
                <w:rFonts w:ascii="宋体" w:hAnsi="宋体" w:eastAsia="宋体"/>
                <w:b w:val="0"/>
                <w:sz w:val="21"/>
              </w:rPr>
              <w:t>基准DQN</w:t>
            </w:r>
          </w:p>
        </w:tc>
        <w:tc>
          <w:tcPr>
            <w:tcW w:type="dxa" w:w="1417"/>
          </w:tcPr>
          <w:p>
            <w:r/>
            <w:r>
              <w:rPr>
                <w:rFonts w:ascii="宋体" w:hAnsi="宋体" w:eastAsia="宋体"/>
                <w:b w:val="0"/>
                <w:sz w:val="21"/>
              </w:rPr>
              <w:t>798</w:t>
            </w:r>
          </w:p>
        </w:tc>
        <w:tc>
          <w:tcPr>
            <w:tcW w:type="dxa" w:w="1417"/>
          </w:tcPr>
          <w:p>
            <w:r/>
            <w:r>
              <w:rPr>
                <w:rFonts w:ascii="宋体" w:hAnsi="宋体" w:eastAsia="宋体"/>
                <w:b w:val="0"/>
                <w:sz w:val="21"/>
              </w:rPr>
              <w:t>7522±706</w:t>
            </w:r>
          </w:p>
        </w:tc>
        <w:tc>
          <w:tcPr>
            <w:tcW w:type="dxa" w:w="1417"/>
          </w:tcPr>
          <w:p>
            <w:r/>
            <w:r>
              <w:rPr>
                <w:rFonts w:ascii="宋体" w:hAnsi="宋体" w:eastAsia="宋体"/>
                <w:b w:val="0"/>
                <w:sz w:val="21"/>
              </w:rPr>
              <w:t>80.7±2.6%</w:t>
            </w:r>
          </w:p>
        </w:tc>
        <w:tc>
          <w:tcPr>
            <w:tcW w:type="dxa" w:w="1417"/>
          </w:tcPr>
          <w:p>
            <w:r/>
            <w:r>
              <w:rPr>
                <w:rFonts w:ascii="宋体" w:hAnsi="宋体" w:eastAsia="宋体"/>
                <w:b w:val="0"/>
                <w:sz w:val="21"/>
              </w:rPr>
              <w:t>22.7</w:t>
            </w:r>
          </w:p>
        </w:tc>
      </w:tr>
      <w:tr>
        <w:tc>
          <w:tcPr>
            <w:tcW w:type="dxa" w:w="1417"/>
          </w:tcPr>
          <w:p>
            <w:r/>
            <w:r>
              <w:rPr>
                <w:rFonts w:ascii="宋体" w:hAnsi="宋体" w:eastAsia="宋体"/>
                <w:b w:val="0"/>
                <w:sz w:val="21"/>
              </w:rPr>
              <w:t>20x20</w:t>
            </w:r>
          </w:p>
        </w:tc>
        <w:tc>
          <w:tcPr>
            <w:tcW w:type="dxa" w:w="1417"/>
          </w:tcPr>
          <w:p>
            <w:r/>
            <w:r>
              <w:rPr>
                <w:rFonts w:ascii="宋体" w:hAnsi="宋体" w:eastAsia="宋体"/>
                <w:b w:val="0"/>
                <w:sz w:val="21"/>
              </w:rPr>
              <w:t>耦合奖励</w:t>
            </w:r>
          </w:p>
        </w:tc>
        <w:tc>
          <w:tcPr>
            <w:tcW w:type="dxa" w:w="1417"/>
          </w:tcPr>
          <w:p>
            <w:r/>
            <w:r>
              <w:rPr>
                <w:rFonts w:ascii="宋体" w:hAnsi="宋体" w:eastAsia="宋体"/>
                <w:b w:val="0"/>
                <w:sz w:val="21"/>
              </w:rPr>
              <w:t>346</w:t>
            </w:r>
          </w:p>
        </w:tc>
        <w:tc>
          <w:tcPr>
            <w:tcW w:type="dxa" w:w="1417"/>
          </w:tcPr>
          <w:p>
            <w:r/>
            <w:r>
              <w:rPr>
                <w:rFonts w:ascii="宋体" w:hAnsi="宋体" w:eastAsia="宋体"/>
                <w:b w:val="0"/>
                <w:sz w:val="21"/>
              </w:rPr>
              <w:t>1561±128</w:t>
            </w:r>
          </w:p>
        </w:tc>
        <w:tc>
          <w:tcPr>
            <w:tcW w:type="dxa" w:w="1417"/>
          </w:tcPr>
          <w:p>
            <w:r/>
            <w:r>
              <w:rPr>
                <w:rFonts w:ascii="宋体" w:hAnsi="宋体" w:eastAsia="宋体"/>
                <w:b w:val="0"/>
                <w:sz w:val="21"/>
              </w:rPr>
              <w:t>85.0±0.4%</w:t>
            </w:r>
          </w:p>
        </w:tc>
        <w:tc>
          <w:tcPr>
            <w:tcW w:type="dxa" w:w="1417"/>
          </w:tcPr>
          <w:p>
            <w:r/>
            <w:r>
              <w:rPr>
                <w:rFonts w:ascii="宋体" w:hAnsi="宋体" w:eastAsia="宋体"/>
                <w:b w:val="0"/>
                <w:sz w:val="21"/>
              </w:rPr>
              <w:t>22.0</w:t>
            </w:r>
          </w:p>
        </w:tc>
      </w:tr>
      <w:tr>
        <w:tc>
          <w:tcPr>
            <w:tcW w:type="dxa" w:w="1417"/>
          </w:tcPr>
          <w:p>
            <w:r/>
            <w:r>
              <w:rPr>
                <w:rFonts w:ascii="宋体" w:hAnsi="宋体" w:eastAsia="宋体"/>
                <w:b w:val="0"/>
                <w:sz w:val="21"/>
              </w:rPr>
              <w:t>20x20</w:t>
            </w:r>
          </w:p>
        </w:tc>
        <w:tc>
          <w:tcPr>
            <w:tcW w:type="dxa" w:w="1417"/>
          </w:tcPr>
          <w:p>
            <w:r/>
            <w:r>
              <w:rPr>
                <w:rFonts w:ascii="宋体" w:hAnsi="宋体" w:eastAsia="宋体"/>
                <w:b/>
                <w:sz w:val="21"/>
              </w:rPr>
              <w:t>耦合+ASGS（E1A）</w:t>
            </w:r>
          </w:p>
        </w:tc>
        <w:tc>
          <w:tcPr>
            <w:tcW w:type="dxa" w:w="1417"/>
          </w:tcPr>
          <w:p>
            <w:r/>
            <w:r>
              <w:rPr>
                <w:rFonts w:ascii="宋体" w:hAnsi="宋体" w:eastAsia="宋体"/>
                <w:b/>
                <w:sz w:val="21"/>
              </w:rPr>
              <w:t>443</w:t>
            </w:r>
          </w:p>
        </w:tc>
        <w:tc>
          <w:tcPr>
            <w:tcW w:type="dxa" w:w="1417"/>
          </w:tcPr>
          <w:p>
            <w:r/>
            <w:r>
              <w:rPr>
                <w:rFonts w:ascii="宋体" w:hAnsi="宋体" w:eastAsia="宋体"/>
                <w:b/>
                <w:sz w:val="21"/>
              </w:rPr>
              <w:t>926±45</w:t>
            </w:r>
          </w:p>
        </w:tc>
        <w:tc>
          <w:tcPr>
            <w:tcW w:type="dxa" w:w="1417"/>
          </w:tcPr>
          <w:p>
            <w:r/>
            <w:r>
              <w:rPr>
                <w:rFonts w:ascii="宋体" w:hAnsi="宋体" w:eastAsia="宋体"/>
                <w:b/>
                <w:sz w:val="21"/>
              </w:rPr>
              <w:t>97.7±0.8%</w:t>
            </w:r>
          </w:p>
        </w:tc>
        <w:tc>
          <w:tcPr>
            <w:tcW w:type="dxa" w:w="1417"/>
          </w:tcPr>
          <w:p>
            <w:r/>
            <w:r>
              <w:rPr>
                <w:rFonts w:ascii="宋体" w:hAnsi="宋体" w:eastAsia="宋体"/>
                <w:b/>
                <w:sz w:val="21"/>
              </w:rPr>
              <w:t>22.0</w:t>
            </w:r>
          </w:p>
        </w:tc>
      </w:tr>
      <w:tr>
        <w:tc>
          <w:tcPr>
            <w:tcW w:type="dxa" w:w="1417"/>
          </w:tcPr>
          <w:p>
            <w:r/>
            <w:r>
              <w:rPr>
                <w:rFonts w:ascii="宋体" w:hAnsi="宋体" w:eastAsia="宋体"/>
                <w:b w:val="0"/>
                <w:sz w:val="21"/>
              </w:rPr>
              <w:t>20x20</w:t>
            </w:r>
          </w:p>
        </w:tc>
        <w:tc>
          <w:tcPr>
            <w:tcW w:type="dxa" w:w="1417"/>
          </w:tcPr>
          <w:p>
            <w:r/>
            <w:r>
              <w:rPr>
                <w:rFonts w:ascii="宋体" w:hAnsi="宋体" w:eastAsia="宋体"/>
                <w:b/>
                <w:sz w:val="21"/>
              </w:rPr>
              <w:t>三合一（E1AC）</w:t>
            </w:r>
          </w:p>
        </w:tc>
        <w:tc>
          <w:tcPr>
            <w:tcW w:type="dxa" w:w="1417"/>
          </w:tcPr>
          <w:p>
            <w:r/>
            <w:r>
              <w:rPr>
                <w:rFonts w:ascii="宋体" w:hAnsi="宋体" w:eastAsia="宋体"/>
                <w:b/>
                <w:sz w:val="21"/>
              </w:rPr>
              <w:t>4665</w:t>
            </w:r>
          </w:p>
        </w:tc>
        <w:tc>
          <w:tcPr>
            <w:tcW w:type="dxa" w:w="1417"/>
          </w:tcPr>
          <w:p>
            <w:r/>
            <w:r>
              <w:rPr>
                <w:rFonts w:ascii="宋体" w:hAnsi="宋体" w:eastAsia="宋体"/>
                <w:b/>
                <w:sz w:val="21"/>
              </w:rPr>
              <w:t>1028±91</w:t>
            </w:r>
          </w:p>
        </w:tc>
        <w:tc>
          <w:tcPr>
            <w:tcW w:type="dxa" w:w="1417"/>
          </w:tcPr>
          <w:p>
            <w:r/>
            <w:r>
              <w:rPr>
                <w:rFonts w:ascii="宋体" w:hAnsi="宋体" w:eastAsia="宋体"/>
                <w:b/>
                <w:sz w:val="21"/>
              </w:rPr>
              <w:t>97.7±0.5%</w:t>
            </w:r>
          </w:p>
        </w:tc>
        <w:tc>
          <w:tcPr>
            <w:tcW w:type="dxa" w:w="1417"/>
          </w:tcPr>
          <w:p>
            <w:r/>
            <w:r>
              <w:rPr>
                <w:rFonts w:ascii="宋体" w:hAnsi="宋体" w:eastAsia="宋体"/>
                <w:b/>
                <w:sz w:val="21"/>
              </w:rPr>
              <w:t>22.0</w:t>
            </w:r>
          </w:p>
        </w:tc>
      </w:tr>
      <w:tr>
        <w:tc>
          <w:tcPr>
            <w:tcW w:type="dxa" w:w="1417"/>
          </w:tcPr>
          <w:p>
            <w:r/>
            <w:r>
              <w:rPr>
                <w:rFonts w:ascii="宋体" w:hAnsi="宋体" w:eastAsia="宋体"/>
                <w:b w:val="0"/>
                <w:sz w:val="21"/>
              </w:rPr>
              <w:t>20x20</w:t>
            </w:r>
          </w:p>
        </w:tc>
        <w:tc>
          <w:tcPr>
            <w:tcW w:type="dxa" w:w="1417"/>
          </w:tcPr>
          <w:p>
            <w:r/>
            <w:r>
              <w:rPr>
                <w:rFonts w:ascii="宋体" w:hAnsi="宋体" w:eastAsia="宋体"/>
                <w:b w:val="0"/>
                <w:sz w:val="21"/>
              </w:rPr>
              <w:t>DDQN</w:t>
            </w:r>
          </w:p>
        </w:tc>
        <w:tc>
          <w:tcPr>
            <w:tcW w:type="dxa" w:w="1417"/>
          </w:tcPr>
          <w:p>
            <w:r/>
            <w:r>
              <w:rPr>
                <w:rFonts w:ascii="宋体" w:hAnsi="宋体" w:eastAsia="宋体"/>
                <w:b w:val="0"/>
                <w:sz w:val="21"/>
              </w:rPr>
              <w:t>329</w:t>
            </w:r>
          </w:p>
        </w:tc>
        <w:tc>
          <w:tcPr>
            <w:tcW w:type="dxa" w:w="1417"/>
          </w:tcPr>
          <w:p>
            <w:r/>
            <w:r>
              <w:rPr>
                <w:rFonts w:ascii="宋体" w:hAnsi="宋体" w:eastAsia="宋体"/>
                <w:b w:val="0"/>
                <w:sz w:val="21"/>
              </w:rPr>
              <w:t>2094±452</w:t>
            </w:r>
          </w:p>
        </w:tc>
        <w:tc>
          <w:tcPr>
            <w:tcW w:type="dxa" w:w="1417"/>
          </w:tcPr>
          <w:p>
            <w:r/>
            <w:r>
              <w:rPr>
                <w:rFonts w:ascii="宋体" w:hAnsi="宋体" w:eastAsia="宋体"/>
                <w:b w:val="0"/>
                <w:sz w:val="21"/>
              </w:rPr>
              <w:t>83.5±1.9%</w:t>
            </w:r>
          </w:p>
        </w:tc>
        <w:tc>
          <w:tcPr>
            <w:tcW w:type="dxa" w:w="1417"/>
          </w:tcPr>
          <w:p>
            <w:r/>
            <w:r>
              <w:rPr>
                <w:rFonts w:ascii="宋体" w:hAnsi="宋体" w:eastAsia="宋体"/>
                <w:b w:val="0"/>
                <w:sz w:val="21"/>
              </w:rPr>
              <w:t>22.0</w:t>
            </w:r>
          </w:p>
        </w:tc>
      </w:tr>
      <w:tr>
        <w:tc>
          <w:tcPr>
            <w:tcW w:type="dxa" w:w="1417"/>
          </w:tcPr>
          <w:p>
            <w:r/>
            <w:r>
              <w:rPr>
                <w:rFonts w:ascii="宋体" w:hAnsi="宋体" w:eastAsia="宋体"/>
                <w:b w:val="0"/>
                <w:sz w:val="21"/>
              </w:rPr>
              <w:t>20x20</w:t>
            </w:r>
          </w:p>
        </w:tc>
        <w:tc>
          <w:tcPr>
            <w:tcW w:type="dxa" w:w="1417"/>
          </w:tcPr>
          <w:p>
            <w:r/>
            <w:r>
              <w:rPr>
                <w:rFonts w:ascii="宋体" w:hAnsi="宋体" w:eastAsia="宋体"/>
                <w:b w:val="0"/>
                <w:sz w:val="21"/>
              </w:rPr>
              <w:t>Dueling DQN</w:t>
            </w:r>
          </w:p>
        </w:tc>
        <w:tc>
          <w:tcPr>
            <w:tcW w:type="dxa" w:w="1417"/>
          </w:tcPr>
          <w:p>
            <w:r/>
            <w:r>
              <w:rPr>
                <w:rFonts w:ascii="宋体" w:hAnsi="宋体" w:eastAsia="宋体"/>
                <w:b w:val="0"/>
                <w:sz w:val="21"/>
              </w:rPr>
              <w:t>396</w:t>
            </w:r>
          </w:p>
        </w:tc>
        <w:tc>
          <w:tcPr>
            <w:tcW w:type="dxa" w:w="1417"/>
          </w:tcPr>
          <w:p>
            <w:r/>
            <w:r>
              <w:rPr>
                <w:rFonts w:ascii="宋体" w:hAnsi="宋体" w:eastAsia="宋体"/>
                <w:b w:val="0"/>
                <w:sz w:val="21"/>
              </w:rPr>
              <w:t>1649±206</w:t>
            </w:r>
          </w:p>
        </w:tc>
        <w:tc>
          <w:tcPr>
            <w:tcW w:type="dxa" w:w="1417"/>
          </w:tcPr>
          <w:p>
            <w:r/>
            <w:r>
              <w:rPr>
                <w:rFonts w:ascii="宋体" w:hAnsi="宋体" w:eastAsia="宋体"/>
                <w:b w:val="0"/>
                <w:sz w:val="21"/>
              </w:rPr>
              <w:t>81.2±1.0%</w:t>
            </w:r>
          </w:p>
        </w:tc>
        <w:tc>
          <w:tcPr>
            <w:tcW w:type="dxa" w:w="1417"/>
          </w:tcPr>
          <w:p>
            <w:r/>
            <w:r>
              <w:rPr>
                <w:rFonts w:ascii="宋体" w:hAnsi="宋体" w:eastAsia="宋体"/>
                <w:b w:val="0"/>
                <w:sz w:val="21"/>
              </w:rPr>
              <w:t>22.0</w:t>
            </w:r>
          </w:p>
        </w:tc>
      </w:tr>
      <w:tr>
        <w:tc>
          <w:tcPr>
            <w:tcW w:type="dxa" w:w="1417"/>
          </w:tcPr>
          <w:p>
            <w:r/>
            <w:r>
              <w:rPr>
                <w:rFonts w:ascii="宋体" w:hAnsi="宋体" w:eastAsia="宋体"/>
                <w:b w:val="0"/>
                <w:sz w:val="21"/>
              </w:rPr>
              <w:t>20x20</w:t>
            </w:r>
          </w:p>
        </w:tc>
        <w:tc>
          <w:tcPr>
            <w:tcW w:type="dxa" w:w="1417"/>
          </w:tcPr>
          <w:p>
            <w:r/>
            <w:r>
              <w:rPr>
                <w:rFonts w:ascii="宋体" w:hAnsi="宋体" w:eastAsia="宋体"/>
                <w:b w:val="0"/>
                <w:sz w:val="21"/>
              </w:rPr>
              <w:t>PER DQN</w:t>
            </w:r>
          </w:p>
        </w:tc>
        <w:tc>
          <w:tcPr>
            <w:tcW w:type="dxa" w:w="1417"/>
          </w:tcPr>
          <w:p>
            <w:r/>
            <w:r>
              <w:rPr>
                <w:rFonts w:ascii="宋体" w:hAnsi="宋体" w:eastAsia="宋体"/>
                <w:b w:val="0"/>
                <w:sz w:val="21"/>
              </w:rPr>
              <w:t>769</w:t>
            </w:r>
          </w:p>
        </w:tc>
        <w:tc>
          <w:tcPr>
            <w:tcW w:type="dxa" w:w="1417"/>
          </w:tcPr>
          <w:p>
            <w:r/>
            <w:r>
              <w:rPr>
                <w:rFonts w:ascii="宋体" w:hAnsi="宋体" w:eastAsia="宋体"/>
                <w:b w:val="0"/>
                <w:sz w:val="21"/>
              </w:rPr>
              <w:t>1899±565</w:t>
            </w:r>
          </w:p>
        </w:tc>
        <w:tc>
          <w:tcPr>
            <w:tcW w:type="dxa" w:w="1417"/>
          </w:tcPr>
          <w:p>
            <w:r/>
            <w:r>
              <w:rPr>
                <w:rFonts w:ascii="宋体" w:hAnsi="宋体" w:eastAsia="宋体"/>
                <w:b w:val="0"/>
                <w:sz w:val="21"/>
              </w:rPr>
              <w:t>84.7±1.4%</w:t>
            </w:r>
          </w:p>
        </w:tc>
        <w:tc>
          <w:tcPr>
            <w:tcW w:type="dxa" w:w="1417"/>
          </w:tcPr>
          <w:p>
            <w:r/>
            <w:r>
              <w:rPr>
                <w:rFonts w:ascii="宋体" w:hAnsi="宋体" w:eastAsia="宋体"/>
                <w:b w:val="0"/>
                <w:sz w:val="21"/>
              </w:rPr>
              <w:t>22.0</w:t>
            </w:r>
          </w:p>
        </w:tc>
      </w:tr>
      <w:tr>
        <w:tc>
          <w:tcPr>
            <w:tcW w:type="dxa" w:w="1417"/>
          </w:tcPr>
          <w:p>
            <w:r/>
            <w:r>
              <w:rPr>
                <w:rFonts w:ascii="宋体" w:hAnsi="宋体" w:eastAsia="宋体"/>
                <w:b w:val="0"/>
                <w:sz w:val="21"/>
              </w:rPr>
              <w:t>30x30</w:t>
            </w:r>
          </w:p>
        </w:tc>
        <w:tc>
          <w:tcPr>
            <w:tcW w:type="dxa" w:w="1417"/>
          </w:tcPr>
          <w:p>
            <w:r/>
            <w:r>
              <w:rPr>
                <w:rFonts w:ascii="宋体" w:hAnsi="宋体" w:eastAsia="宋体"/>
                <w:b w:val="0"/>
                <w:sz w:val="21"/>
              </w:rPr>
              <w:t>基准DQN</w:t>
            </w:r>
          </w:p>
        </w:tc>
        <w:tc>
          <w:tcPr>
            <w:tcW w:type="dxa" w:w="1417"/>
          </w:tcPr>
          <w:p>
            <w:r/>
            <w:r>
              <w:rPr>
                <w:rFonts w:ascii="宋体" w:hAnsi="宋体" w:eastAsia="宋体"/>
                <w:b w:val="0"/>
                <w:sz w:val="21"/>
              </w:rPr>
              <w:t>958</w:t>
            </w:r>
          </w:p>
        </w:tc>
        <w:tc>
          <w:tcPr>
            <w:tcW w:type="dxa" w:w="1417"/>
          </w:tcPr>
          <w:p>
            <w:r/>
            <w:r>
              <w:rPr>
                <w:rFonts w:ascii="宋体" w:hAnsi="宋体" w:eastAsia="宋体"/>
                <w:b w:val="0"/>
                <w:sz w:val="21"/>
              </w:rPr>
              <w:t>7243±1600</w:t>
            </w:r>
          </w:p>
        </w:tc>
        <w:tc>
          <w:tcPr>
            <w:tcW w:type="dxa" w:w="1417"/>
          </w:tcPr>
          <w:p>
            <w:r/>
            <w:r>
              <w:rPr>
                <w:rFonts w:ascii="宋体" w:hAnsi="宋体" w:eastAsia="宋体"/>
                <w:b w:val="0"/>
                <w:sz w:val="21"/>
              </w:rPr>
              <w:t>46.8±34.4%</w:t>
            </w:r>
          </w:p>
        </w:tc>
        <w:tc>
          <w:tcPr>
            <w:tcW w:type="dxa" w:w="1417"/>
          </w:tcPr>
          <w:p>
            <w:r/>
            <w:r>
              <w:rPr>
                <w:rFonts w:ascii="宋体" w:hAnsi="宋体" w:eastAsia="宋体"/>
                <w:b w:val="0"/>
                <w:sz w:val="21"/>
              </w:rPr>
              <w:t>36.0</w:t>
            </w:r>
          </w:p>
        </w:tc>
      </w:tr>
      <w:tr>
        <w:tc>
          <w:tcPr>
            <w:tcW w:type="dxa" w:w="1417"/>
          </w:tcPr>
          <w:p>
            <w:r/>
            <w:r>
              <w:rPr>
                <w:rFonts w:ascii="宋体" w:hAnsi="宋体" w:eastAsia="宋体"/>
                <w:b w:val="0"/>
                <w:sz w:val="21"/>
              </w:rPr>
              <w:t>30x30</w:t>
            </w:r>
          </w:p>
        </w:tc>
        <w:tc>
          <w:tcPr>
            <w:tcW w:type="dxa" w:w="1417"/>
          </w:tcPr>
          <w:p>
            <w:r/>
            <w:r>
              <w:rPr>
                <w:rFonts w:ascii="宋体" w:hAnsi="宋体" w:eastAsia="宋体"/>
                <w:b w:val="0"/>
                <w:sz w:val="21"/>
              </w:rPr>
              <w:t>耦合奖励</w:t>
            </w:r>
          </w:p>
        </w:tc>
        <w:tc>
          <w:tcPr>
            <w:tcW w:type="dxa" w:w="1417"/>
          </w:tcPr>
          <w:p>
            <w:r/>
            <w:r>
              <w:rPr>
                <w:rFonts w:ascii="宋体" w:hAnsi="宋体" w:eastAsia="宋体"/>
                <w:b w:val="0"/>
                <w:sz w:val="21"/>
              </w:rPr>
              <w:t>516</w:t>
            </w:r>
          </w:p>
        </w:tc>
        <w:tc>
          <w:tcPr>
            <w:tcW w:type="dxa" w:w="1417"/>
          </w:tcPr>
          <w:p>
            <w:r/>
            <w:r>
              <w:rPr>
                <w:rFonts w:ascii="宋体" w:hAnsi="宋体" w:eastAsia="宋体"/>
                <w:b w:val="0"/>
                <w:sz w:val="21"/>
              </w:rPr>
              <w:t>2766±530</w:t>
            </w:r>
          </w:p>
        </w:tc>
        <w:tc>
          <w:tcPr>
            <w:tcW w:type="dxa" w:w="1417"/>
          </w:tcPr>
          <w:p>
            <w:r/>
            <w:r>
              <w:rPr>
                <w:rFonts w:ascii="宋体" w:hAnsi="宋体" w:eastAsia="宋体"/>
                <w:b w:val="0"/>
                <w:sz w:val="21"/>
              </w:rPr>
              <w:t>75.2±4.9%</w:t>
            </w:r>
          </w:p>
        </w:tc>
        <w:tc>
          <w:tcPr>
            <w:tcW w:type="dxa" w:w="1417"/>
          </w:tcPr>
          <w:p>
            <w:r/>
            <w:r>
              <w:rPr>
                <w:rFonts w:ascii="宋体" w:hAnsi="宋体" w:eastAsia="宋体"/>
                <w:b w:val="0"/>
                <w:sz w:val="21"/>
              </w:rPr>
              <w:t>33.7</w:t>
            </w:r>
          </w:p>
        </w:tc>
      </w:tr>
      <w:tr>
        <w:tc>
          <w:tcPr>
            <w:tcW w:type="dxa" w:w="1417"/>
          </w:tcPr>
          <w:p>
            <w:r/>
            <w:r>
              <w:rPr>
                <w:rFonts w:ascii="宋体" w:hAnsi="宋体" w:eastAsia="宋体"/>
                <w:b w:val="0"/>
                <w:sz w:val="21"/>
              </w:rPr>
              <w:t>30x30</w:t>
            </w:r>
          </w:p>
        </w:tc>
        <w:tc>
          <w:tcPr>
            <w:tcW w:type="dxa" w:w="1417"/>
          </w:tcPr>
          <w:p>
            <w:r/>
            <w:r>
              <w:rPr>
                <w:rFonts w:ascii="宋体" w:hAnsi="宋体" w:eastAsia="宋体"/>
                <w:b/>
                <w:sz w:val="21"/>
              </w:rPr>
              <w:t>耦合+ASGS（E1A）</w:t>
            </w:r>
          </w:p>
        </w:tc>
        <w:tc>
          <w:tcPr>
            <w:tcW w:type="dxa" w:w="1417"/>
          </w:tcPr>
          <w:p>
            <w:r/>
            <w:r>
              <w:rPr>
                <w:rFonts w:ascii="宋体" w:hAnsi="宋体" w:eastAsia="宋体"/>
                <w:b/>
                <w:sz w:val="21"/>
              </w:rPr>
              <w:t>677</w:t>
            </w:r>
          </w:p>
        </w:tc>
        <w:tc>
          <w:tcPr>
            <w:tcW w:type="dxa" w:w="1417"/>
          </w:tcPr>
          <w:p>
            <w:r/>
            <w:r>
              <w:rPr>
                <w:rFonts w:ascii="宋体" w:hAnsi="宋体" w:eastAsia="宋体"/>
                <w:b/>
                <w:sz w:val="21"/>
              </w:rPr>
              <w:t>3663±2528</w:t>
            </w:r>
          </w:p>
        </w:tc>
        <w:tc>
          <w:tcPr>
            <w:tcW w:type="dxa" w:w="1417"/>
          </w:tcPr>
          <w:p>
            <w:r/>
            <w:r>
              <w:rPr>
                <w:rFonts w:ascii="宋体" w:hAnsi="宋体" w:eastAsia="宋体"/>
                <w:b/>
                <w:sz w:val="21"/>
              </w:rPr>
              <w:t>96.8±0.5%</w:t>
            </w:r>
          </w:p>
        </w:tc>
        <w:tc>
          <w:tcPr>
            <w:tcW w:type="dxa" w:w="1417"/>
          </w:tcPr>
          <w:p>
            <w:r/>
            <w:r>
              <w:rPr>
                <w:rFonts w:ascii="宋体" w:hAnsi="宋体" w:eastAsia="宋体"/>
                <w:b/>
                <w:sz w:val="21"/>
              </w:rPr>
              <w:t>33.7</w:t>
            </w:r>
          </w:p>
        </w:tc>
      </w:tr>
      <w:tr>
        <w:tc>
          <w:tcPr>
            <w:tcW w:type="dxa" w:w="1417"/>
          </w:tcPr>
          <w:p>
            <w:r/>
            <w:r>
              <w:rPr>
                <w:rFonts w:ascii="宋体" w:hAnsi="宋体" w:eastAsia="宋体"/>
                <w:b w:val="0"/>
                <w:sz w:val="21"/>
              </w:rPr>
              <w:t>30x30</w:t>
            </w:r>
          </w:p>
        </w:tc>
        <w:tc>
          <w:tcPr>
            <w:tcW w:type="dxa" w:w="1417"/>
          </w:tcPr>
          <w:p>
            <w:r/>
            <w:r>
              <w:rPr>
                <w:rFonts w:ascii="宋体" w:hAnsi="宋体" w:eastAsia="宋体"/>
                <w:b/>
                <w:sz w:val="21"/>
              </w:rPr>
              <w:t>三合一（E1AC）</w:t>
            </w:r>
          </w:p>
        </w:tc>
        <w:tc>
          <w:tcPr>
            <w:tcW w:type="dxa" w:w="1417"/>
          </w:tcPr>
          <w:p>
            <w:r/>
            <w:r>
              <w:rPr>
                <w:rFonts w:ascii="宋体" w:hAnsi="宋体" w:eastAsia="宋体"/>
                <w:b/>
                <w:sz w:val="21"/>
              </w:rPr>
              <w:t>10851±2889</w:t>
            </w:r>
          </w:p>
        </w:tc>
        <w:tc>
          <w:tcPr>
            <w:tcW w:type="dxa" w:w="1417"/>
          </w:tcPr>
          <w:p>
            <w:r/>
            <w:r>
              <w:rPr>
                <w:rFonts w:ascii="宋体" w:hAnsi="宋体" w:eastAsia="宋体"/>
                <w:b/>
                <w:sz w:val="21"/>
              </w:rPr>
              <w:t>1547±211</w:t>
            </w:r>
          </w:p>
        </w:tc>
        <w:tc>
          <w:tcPr>
            <w:tcW w:type="dxa" w:w="1417"/>
          </w:tcPr>
          <w:p>
            <w:r/>
            <w:r>
              <w:rPr>
                <w:rFonts w:ascii="宋体" w:hAnsi="宋体" w:eastAsia="宋体"/>
                <w:b/>
                <w:sz w:val="21"/>
              </w:rPr>
              <w:t>95.2±1.6%</w:t>
            </w:r>
          </w:p>
        </w:tc>
        <w:tc>
          <w:tcPr>
            <w:tcW w:type="dxa" w:w="1417"/>
          </w:tcPr>
          <w:p>
            <w:r/>
            <w:r>
              <w:rPr>
                <w:rFonts w:ascii="宋体" w:hAnsi="宋体" w:eastAsia="宋体"/>
                <w:b/>
                <w:sz w:val="21"/>
              </w:rPr>
              <w:t>33.0</w:t>
            </w:r>
          </w:p>
        </w:tc>
      </w:tr>
      <w:tr>
        <w:tc>
          <w:tcPr>
            <w:tcW w:type="dxa" w:w="1417"/>
          </w:tcPr>
          <w:p>
            <w:r/>
            <w:r>
              <w:rPr>
                <w:rFonts w:ascii="宋体" w:hAnsi="宋体" w:eastAsia="宋体"/>
                <w:b w:val="0"/>
                <w:sz w:val="21"/>
              </w:rPr>
              <w:t>30x30</w:t>
            </w:r>
          </w:p>
        </w:tc>
        <w:tc>
          <w:tcPr>
            <w:tcW w:type="dxa" w:w="1417"/>
          </w:tcPr>
          <w:p>
            <w:r/>
            <w:r>
              <w:rPr>
                <w:rFonts w:ascii="宋体" w:hAnsi="宋体" w:eastAsia="宋体"/>
                <w:b w:val="0"/>
                <w:sz w:val="21"/>
              </w:rPr>
              <w:t>DDQN</w:t>
            </w:r>
          </w:p>
        </w:tc>
        <w:tc>
          <w:tcPr>
            <w:tcW w:type="dxa" w:w="1417"/>
          </w:tcPr>
          <w:p>
            <w:r/>
            <w:r>
              <w:rPr>
                <w:rFonts w:ascii="宋体" w:hAnsi="宋体" w:eastAsia="宋体"/>
                <w:b w:val="0"/>
                <w:sz w:val="21"/>
              </w:rPr>
              <w:t>657</w:t>
            </w:r>
          </w:p>
        </w:tc>
        <w:tc>
          <w:tcPr>
            <w:tcW w:type="dxa" w:w="1417"/>
          </w:tcPr>
          <w:p>
            <w:r/>
            <w:r>
              <w:rPr>
                <w:rFonts w:ascii="宋体" w:hAnsi="宋体" w:eastAsia="宋体"/>
                <w:b w:val="0"/>
                <w:sz w:val="21"/>
              </w:rPr>
              <w:t>2565±148</w:t>
            </w:r>
          </w:p>
        </w:tc>
        <w:tc>
          <w:tcPr>
            <w:tcW w:type="dxa" w:w="1417"/>
          </w:tcPr>
          <w:p>
            <w:r/>
            <w:r>
              <w:rPr>
                <w:rFonts w:ascii="宋体" w:hAnsi="宋体" w:eastAsia="宋体"/>
                <w:b w:val="0"/>
                <w:sz w:val="21"/>
              </w:rPr>
              <w:t>83.2±2.7%</w:t>
            </w:r>
          </w:p>
        </w:tc>
        <w:tc>
          <w:tcPr>
            <w:tcW w:type="dxa" w:w="1417"/>
          </w:tcPr>
          <w:p>
            <w:r/>
            <w:r>
              <w:rPr>
                <w:rFonts w:ascii="宋体" w:hAnsi="宋体" w:eastAsia="宋体"/>
                <w:b w:val="0"/>
                <w:sz w:val="21"/>
              </w:rPr>
              <w:t>33.0</w:t>
            </w:r>
          </w:p>
        </w:tc>
      </w:tr>
      <w:tr>
        <w:tc>
          <w:tcPr>
            <w:tcW w:type="dxa" w:w="1417"/>
          </w:tcPr>
          <w:p>
            <w:r/>
            <w:r>
              <w:rPr>
                <w:rFonts w:ascii="宋体" w:hAnsi="宋体" w:eastAsia="宋体"/>
                <w:b w:val="0"/>
                <w:sz w:val="21"/>
              </w:rPr>
              <w:t>30x30</w:t>
            </w:r>
          </w:p>
        </w:tc>
        <w:tc>
          <w:tcPr>
            <w:tcW w:type="dxa" w:w="1417"/>
          </w:tcPr>
          <w:p>
            <w:r/>
            <w:r>
              <w:rPr>
                <w:rFonts w:ascii="宋体" w:hAnsi="宋体" w:eastAsia="宋体"/>
                <w:b w:val="0"/>
                <w:sz w:val="21"/>
              </w:rPr>
              <w:t>Dueling DQN</w:t>
            </w:r>
          </w:p>
        </w:tc>
        <w:tc>
          <w:tcPr>
            <w:tcW w:type="dxa" w:w="1417"/>
          </w:tcPr>
          <w:p>
            <w:r/>
            <w:r>
              <w:rPr>
                <w:rFonts w:ascii="宋体" w:hAnsi="宋体" w:eastAsia="宋体"/>
                <w:b w:val="0"/>
                <w:sz w:val="21"/>
              </w:rPr>
              <w:t>716</w:t>
            </w:r>
          </w:p>
        </w:tc>
        <w:tc>
          <w:tcPr>
            <w:tcW w:type="dxa" w:w="1417"/>
          </w:tcPr>
          <w:p>
            <w:r/>
            <w:r>
              <w:rPr>
                <w:rFonts w:ascii="宋体" w:hAnsi="宋体" w:eastAsia="宋体"/>
                <w:b w:val="0"/>
                <w:sz w:val="21"/>
              </w:rPr>
              <w:t>3133±1296</w:t>
            </w:r>
          </w:p>
        </w:tc>
        <w:tc>
          <w:tcPr>
            <w:tcW w:type="dxa" w:w="1417"/>
          </w:tcPr>
          <w:p>
            <w:r/>
            <w:r>
              <w:rPr>
                <w:rFonts w:ascii="宋体" w:hAnsi="宋体" w:eastAsia="宋体"/>
                <w:b w:val="0"/>
                <w:sz w:val="21"/>
              </w:rPr>
              <w:t>82.3±3.4%</w:t>
            </w:r>
          </w:p>
        </w:tc>
        <w:tc>
          <w:tcPr>
            <w:tcW w:type="dxa" w:w="1417"/>
          </w:tcPr>
          <w:p>
            <w:r/>
            <w:r>
              <w:rPr>
                <w:rFonts w:ascii="宋体" w:hAnsi="宋体" w:eastAsia="宋体"/>
                <w:b w:val="0"/>
                <w:sz w:val="21"/>
              </w:rPr>
              <w:t>33.0</w:t>
            </w:r>
          </w:p>
        </w:tc>
      </w:tr>
      <w:tr>
        <w:tc>
          <w:tcPr>
            <w:tcW w:type="dxa" w:w="1417"/>
          </w:tcPr>
          <w:p>
            <w:r/>
            <w:r>
              <w:rPr>
                <w:rFonts w:ascii="宋体" w:hAnsi="宋体" w:eastAsia="宋体"/>
                <w:b w:val="0"/>
                <w:sz w:val="21"/>
              </w:rPr>
              <w:t>30x30</w:t>
            </w:r>
          </w:p>
        </w:tc>
        <w:tc>
          <w:tcPr>
            <w:tcW w:type="dxa" w:w="1417"/>
          </w:tcPr>
          <w:p>
            <w:r/>
            <w:r>
              <w:rPr>
                <w:rFonts w:ascii="宋体" w:hAnsi="宋体" w:eastAsia="宋体"/>
                <w:b w:val="0"/>
                <w:sz w:val="21"/>
              </w:rPr>
              <w:t>PER DQN</w:t>
            </w:r>
          </w:p>
        </w:tc>
        <w:tc>
          <w:tcPr>
            <w:tcW w:type="dxa" w:w="1417"/>
          </w:tcPr>
          <w:p>
            <w:r/>
            <w:r>
              <w:rPr>
                <w:rFonts w:ascii="宋体" w:hAnsi="宋体" w:eastAsia="宋体"/>
                <w:b w:val="0"/>
                <w:sz w:val="21"/>
              </w:rPr>
              <w:t>1072</w:t>
            </w:r>
          </w:p>
        </w:tc>
        <w:tc>
          <w:tcPr>
            <w:tcW w:type="dxa" w:w="1417"/>
          </w:tcPr>
          <w:p>
            <w:r/>
            <w:r>
              <w:rPr>
                <w:rFonts w:ascii="宋体" w:hAnsi="宋体" w:eastAsia="宋体"/>
                <w:b w:val="0"/>
                <w:sz w:val="21"/>
              </w:rPr>
              <w:t>4279±2035</w:t>
            </w:r>
          </w:p>
        </w:tc>
        <w:tc>
          <w:tcPr>
            <w:tcW w:type="dxa" w:w="1417"/>
          </w:tcPr>
          <w:p>
            <w:r/>
            <w:r>
              <w:rPr>
                <w:rFonts w:ascii="宋体" w:hAnsi="宋体" w:eastAsia="宋体"/>
                <w:b w:val="0"/>
                <w:sz w:val="21"/>
              </w:rPr>
              <w:t>81.5±1.8%</w:t>
            </w:r>
          </w:p>
        </w:tc>
        <w:tc>
          <w:tcPr>
            <w:tcW w:type="dxa" w:w="1417"/>
          </w:tcPr>
          <w:p>
            <w:r/>
            <w:r>
              <w:rPr>
                <w:rFonts w:ascii="宋体" w:hAnsi="宋体" w:eastAsia="宋体"/>
                <w:b w:val="0"/>
                <w:sz w:val="21"/>
              </w:rPr>
              <w:t>33.0</w:t>
            </w:r>
          </w:p>
        </w:tc>
      </w:tr>
    </w:tbl>
    <w:p/>
    <w:p>
      <w:r>
        <w:rPr>
          <w:rFonts w:ascii="宋体" w:hAnsi="宋体" w:eastAsia="宋体"/>
          <w:b w:val="0"/>
          <w:sz w:val="24"/>
        </w:rPr>
        <w:t>由表3可知，核心方法E1A（以及加入CAT的三合一E1AC）的训练成功率在两张地图上均为最高：20x20地图上E1A为97.7%±0.8%，三合一E1AC为97.7%±0.5%，分别较DDQN、Dueling DQN和PER DQN提升约14.2、16.5和13.0个百分点；30x30地图上E1A为96.8%±0.5%，三合一E1AC为95.2%±1.6%，分别较三者提升约13-15个百分点，且E1A标准差仅0.5%，训练稳定性显著优于其他方法。在收敛速度方面，E1A在20x20地图上收敛最快（926±45轮），较DDQN、Dueling DQN和PER DQN分别快约2.3倍、1.8倍和2.0倍；在30x30地图上，E1A的收敛轮数均值为3663（其中两个种子约2000轮收敛，一个种子因奖励持续上升而较晚达到95%阈值），且Best50奖励（206.4±45.7）远高于所有对比方法，说明其学到了更高的价值估计。路径长度方面，E1A在两张地图上均与最短路径基本一致（22步与33.7步），三合一E1AC路径均为22步（20x20）和33步（30x30），未因加入CAT或安全引导而牺牲路径质量。综合来看，三合一在保持与E1A基本相当的规划性能的同时，通过CAT获得了稀疏障碍场景下的感知鲁棒性。</w:t>
      </w:r>
    </w:p>
    <w:p>
      <w:r>
        <w:rPr>
          <w:rFonts w:ascii="黑体" w:hAnsi="黑体" w:eastAsia="黑体"/>
          <w:b/>
          <w:sz w:val="24"/>
        </w:rPr>
        <w:t>4.5 与传统算法对比</w:t>
      </w:r>
    </w:p>
    <w:p>
      <w:r>
        <w:rPr>
          <w:rFonts w:ascii="宋体" w:hAnsi="宋体" w:eastAsia="宋体"/>
          <w:b w:val="0"/>
          <w:sz w:val="24"/>
        </w:rPr>
        <w:t>为验证本文核心方法（E1A）相对于传统路径规划算法的性能，在20x20和30x30地图上将其与RRT算法和A*算法进行比较，对比指标为路径规划步数和拐点个数，结果如表4所示。</w:t>
      </w:r>
    </w:p>
    <w:p>
      <w:pPr>
        <w:jc w:val="center"/>
      </w:pPr>
      <w:r>
        <w:rPr>
          <w:rFonts w:ascii="宋体" w:hAnsi="宋体" w:eastAsia="宋体"/>
          <w:b w:val="0"/>
          <w:sz w:val="21"/>
        </w:rPr>
        <w:t>表4 与传统算法对比</w:t>
      </w:r>
      <w:r>
        <w:br/>
      </w:r>
      <w:r>
        <w:rPr>
          <w:rFonts w:ascii="Times New Roman" w:hAnsi="Times New Roman" w:eastAsia="Times New Roman"/>
          <w:b w:val="0"/>
          <w:sz w:val="21"/>
        </w:rPr>
        <w:t>Tab.4 Comparison with traditional algorithms</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b/>
              </w:rPr>
            </w:r>
            <w:r>
              <w:rPr>
                <w:rFonts w:ascii="宋体" w:hAnsi="宋体" w:eastAsia="宋体"/>
                <w:b/>
                <w:sz w:val="21"/>
              </w:rPr>
              <w:t>地图</w:t>
            </w:r>
          </w:p>
        </w:tc>
        <w:tc>
          <w:tcPr>
            <w:tcW w:type="dxa" w:w="2126"/>
          </w:tcPr>
          <w:p>
            <w:r>
              <w:rPr>
                <w:b/>
              </w:rPr>
            </w:r>
            <w:r>
              <w:rPr>
                <w:rFonts w:ascii="宋体" w:hAnsi="宋体" w:eastAsia="宋体"/>
                <w:b/>
                <w:sz w:val="21"/>
              </w:rPr>
              <w:t>算法</w:t>
            </w:r>
          </w:p>
        </w:tc>
        <w:tc>
          <w:tcPr>
            <w:tcW w:type="dxa" w:w="2126"/>
          </w:tcPr>
          <w:p>
            <w:r>
              <w:rPr>
                <w:b/>
              </w:rPr>
            </w:r>
            <w:r>
              <w:rPr>
                <w:rFonts w:ascii="宋体" w:hAnsi="宋体" w:eastAsia="宋体"/>
                <w:b/>
                <w:sz w:val="21"/>
              </w:rPr>
              <w:t>路径步数</w:t>
            </w:r>
          </w:p>
        </w:tc>
        <w:tc>
          <w:tcPr>
            <w:tcW w:type="dxa" w:w="2126"/>
          </w:tcPr>
          <w:p>
            <w:r>
              <w:rPr>
                <w:b/>
              </w:rPr>
            </w:r>
            <w:r>
              <w:rPr>
                <w:rFonts w:ascii="宋体" w:hAnsi="宋体" w:eastAsia="宋体"/>
                <w:b/>
                <w:sz w:val="21"/>
              </w:rPr>
              <w:t>拐点个数</w:t>
            </w:r>
          </w:p>
        </w:tc>
      </w:tr>
      <w:tr>
        <w:tc>
          <w:tcPr>
            <w:tcW w:type="dxa" w:w="2126"/>
          </w:tcPr>
          <w:p>
            <w:r/>
            <w:r>
              <w:rPr>
                <w:rFonts w:ascii="宋体" w:hAnsi="宋体" w:eastAsia="宋体"/>
                <w:b w:val="0"/>
                <w:sz w:val="21"/>
              </w:rPr>
              <w:t>20x20</w:t>
            </w:r>
          </w:p>
        </w:tc>
        <w:tc>
          <w:tcPr>
            <w:tcW w:type="dxa" w:w="2126"/>
          </w:tcPr>
          <w:p>
            <w:r/>
            <w:r>
              <w:rPr>
                <w:rFonts w:ascii="宋体" w:hAnsi="宋体" w:eastAsia="宋体"/>
                <w:b w:val="0"/>
                <w:sz w:val="21"/>
              </w:rPr>
              <w:t>RRT</w:t>
            </w:r>
          </w:p>
        </w:tc>
        <w:tc>
          <w:tcPr>
            <w:tcW w:type="dxa" w:w="2126"/>
          </w:tcPr>
          <w:p>
            <w:r/>
            <w:r>
              <w:rPr>
                <w:rFonts w:ascii="宋体" w:hAnsi="宋体" w:eastAsia="宋体"/>
                <w:b w:val="0"/>
                <w:sz w:val="21"/>
              </w:rPr>
              <w:t>74.4（20次平均）</w:t>
            </w:r>
          </w:p>
        </w:tc>
        <w:tc>
          <w:tcPr>
            <w:tcW w:type="dxa" w:w="2126"/>
          </w:tcPr>
          <w:p>
            <w:r/>
            <w:r>
              <w:rPr>
                <w:rFonts w:ascii="宋体" w:hAnsi="宋体" w:eastAsia="宋体"/>
                <w:b w:val="0"/>
                <w:sz w:val="21"/>
              </w:rPr>
              <w:t>-</w:t>
            </w:r>
          </w:p>
        </w:tc>
      </w:tr>
      <w:tr>
        <w:tc>
          <w:tcPr>
            <w:tcW w:type="dxa" w:w="2126"/>
          </w:tcPr>
          <w:p>
            <w:r/>
            <w:r>
              <w:rPr>
                <w:rFonts w:ascii="宋体" w:hAnsi="宋体" w:eastAsia="宋体"/>
                <w:b w:val="0"/>
                <w:sz w:val="21"/>
              </w:rPr>
              <w:t>20x20</w:t>
            </w:r>
          </w:p>
        </w:tc>
        <w:tc>
          <w:tcPr>
            <w:tcW w:type="dxa" w:w="2126"/>
          </w:tcPr>
          <w:p>
            <w:r/>
            <w:r>
              <w:rPr>
                <w:rFonts w:ascii="宋体" w:hAnsi="宋体" w:eastAsia="宋体"/>
                <w:b w:val="0"/>
                <w:sz w:val="21"/>
              </w:rPr>
              <w:t>A*</w:t>
            </w:r>
          </w:p>
        </w:tc>
        <w:tc>
          <w:tcPr>
            <w:tcW w:type="dxa" w:w="2126"/>
          </w:tcPr>
          <w:p>
            <w:r/>
            <w:r>
              <w:rPr>
                <w:rFonts w:ascii="宋体" w:hAnsi="宋体" w:eastAsia="宋体"/>
                <w:b w:val="0"/>
                <w:sz w:val="21"/>
              </w:rPr>
              <w:t>22</w:t>
            </w:r>
          </w:p>
        </w:tc>
        <w:tc>
          <w:tcPr>
            <w:tcW w:type="dxa" w:w="2126"/>
          </w:tcPr>
          <w:p>
            <w:r/>
            <w:r>
              <w:rPr>
                <w:rFonts w:ascii="宋体" w:hAnsi="宋体" w:eastAsia="宋体"/>
                <w:b w:val="0"/>
                <w:sz w:val="21"/>
              </w:rPr>
              <w:t>4</w:t>
            </w:r>
          </w:p>
        </w:tc>
      </w:tr>
      <w:tr>
        <w:tc>
          <w:tcPr>
            <w:tcW w:type="dxa" w:w="2126"/>
          </w:tcPr>
          <w:p>
            <w:r/>
            <w:r>
              <w:rPr>
                <w:rFonts w:ascii="宋体" w:hAnsi="宋体" w:eastAsia="宋体"/>
                <w:b w:val="0"/>
                <w:sz w:val="21"/>
              </w:rPr>
              <w:t>20x20</w:t>
            </w:r>
          </w:p>
        </w:tc>
        <w:tc>
          <w:tcPr>
            <w:tcW w:type="dxa" w:w="2126"/>
          </w:tcPr>
          <w:p>
            <w:r/>
            <w:r>
              <w:rPr>
                <w:rFonts w:ascii="宋体" w:hAnsi="宋体" w:eastAsia="宋体"/>
                <w:b/>
                <w:sz w:val="21"/>
              </w:rPr>
              <w:t>E1A</w:t>
            </w:r>
          </w:p>
        </w:tc>
        <w:tc>
          <w:tcPr>
            <w:tcW w:type="dxa" w:w="2126"/>
          </w:tcPr>
          <w:p>
            <w:r/>
            <w:r>
              <w:rPr>
                <w:rFonts w:ascii="宋体" w:hAnsi="宋体" w:eastAsia="宋体"/>
                <w:b/>
                <w:sz w:val="21"/>
              </w:rPr>
              <w:t>22</w:t>
            </w:r>
          </w:p>
        </w:tc>
        <w:tc>
          <w:tcPr>
            <w:tcW w:type="dxa" w:w="2126"/>
          </w:tcPr>
          <w:p>
            <w:r/>
            <w:r>
              <w:rPr>
                <w:rFonts w:ascii="宋体" w:hAnsi="宋体" w:eastAsia="宋体"/>
                <w:b/>
                <w:sz w:val="21"/>
              </w:rPr>
              <w:t>7</w:t>
            </w:r>
          </w:p>
        </w:tc>
      </w:tr>
      <w:tr>
        <w:tc>
          <w:tcPr>
            <w:tcW w:type="dxa" w:w="2126"/>
          </w:tcPr>
          <w:p>
            <w:r/>
            <w:r>
              <w:rPr>
                <w:rFonts w:ascii="宋体" w:hAnsi="宋体" w:eastAsia="宋体"/>
                <w:b w:val="0"/>
                <w:sz w:val="21"/>
              </w:rPr>
              <w:t>30x30</w:t>
            </w:r>
          </w:p>
        </w:tc>
        <w:tc>
          <w:tcPr>
            <w:tcW w:type="dxa" w:w="2126"/>
          </w:tcPr>
          <w:p>
            <w:r/>
            <w:r>
              <w:rPr>
                <w:rFonts w:ascii="宋体" w:hAnsi="宋体" w:eastAsia="宋体"/>
                <w:b w:val="0"/>
                <w:sz w:val="21"/>
              </w:rPr>
              <w:t>RRT</w:t>
            </w:r>
          </w:p>
        </w:tc>
        <w:tc>
          <w:tcPr>
            <w:tcW w:type="dxa" w:w="2126"/>
          </w:tcPr>
          <w:p>
            <w:r/>
            <w:r>
              <w:rPr>
                <w:rFonts w:ascii="宋体" w:hAnsi="宋体" w:eastAsia="宋体"/>
                <w:b w:val="0"/>
                <w:sz w:val="21"/>
              </w:rPr>
              <w:t>103.5（20次平均）</w:t>
            </w:r>
          </w:p>
        </w:tc>
        <w:tc>
          <w:tcPr>
            <w:tcW w:type="dxa" w:w="2126"/>
          </w:tcPr>
          <w:p>
            <w:r/>
            <w:r>
              <w:rPr>
                <w:rFonts w:ascii="宋体" w:hAnsi="宋体" w:eastAsia="宋体"/>
                <w:b w:val="0"/>
                <w:sz w:val="21"/>
              </w:rPr>
              <w:t>-</w:t>
            </w:r>
          </w:p>
        </w:tc>
      </w:tr>
      <w:tr>
        <w:tc>
          <w:tcPr>
            <w:tcW w:type="dxa" w:w="2126"/>
          </w:tcPr>
          <w:p>
            <w:r/>
            <w:r>
              <w:rPr>
                <w:rFonts w:ascii="宋体" w:hAnsi="宋体" w:eastAsia="宋体"/>
                <w:b w:val="0"/>
                <w:sz w:val="21"/>
              </w:rPr>
              <w:t>30x30</w:t>
            </w:r>
          </w:p>
        </w:tc>
        <w:tc>
          <w:tcPr>
            <w:tcW w:type="dxa" w:w="2126"/>
          </w:tcPr>
          <w:p>
            <w:r/>
            <w:r>
              <w:rPr>
                <w:rFonts w:ascii="宋体" w:hAnsi="宋体" w:eastAsia="宋体"/>
                <w:b w:val="0"/>
                <w:sz w:val="21"/>
              </w:rPr>
              <w:t>A*</w:t>
            </w:r>
          </w:p>
        </w:tc>
        <w:tc>
          <w:tcPr>
            <w:tcW w:type="dxa" w:w="2126"/>
          </w:tcPr>
          <w:p>
            <w:r/>
            <w:r>
              <w:rPr>
                <w:rFonts w:ascii="宋体" w:hAnsi="宋体" w:eastAsia="宋体"/>
                <w:b w:val="0"/>
                <w:sz w:val="21"/>
              </w:rPr>
              <w:t>33</w:t>
            </w:r>
          </w:p>
        </w:tc>
        <w:tc>
          <w:tcPr>
            <w:tcW w:type="dxa" w:w="2126"/>
          </w:tcPr>
          <w:p>
            <w:r/>
            <w:r>
              <w:rPr>
                <w:rFonts w:ascii="宋体" w:hAnsi="宋体" w:eastAsia="宋体"/>
                <w:b w:val="0"/>
                <w:sz w:val="21"/>
              </w:rPr>
              <w:t>12</w:t>
            </w:r>
          </w:p>
        </w:tc>
      </w:tr>
      <w:tr>
        <w:tc>
          <w:tcPr>
            <w:tcW w:type="dxa" w:w="2126"/>
          </w:tcPr>
          <w:p>
            <w:r/>
            <w:r>
              <w:rPr>
                <w:rFonts w:ascii="宋体" w:hAnsi="宋体" w:eastAsia="宋体"/>
                <w:b w:val="0"/>
                <w:sz w:val="21"/>
              </w:rPr>
              <w:t>30x30</w:t>
            </w:r>
          </w:p>
        </w:tc>
        <w:tc>
          <w:tcPr>
            <w:tcW w:type="dxa" w:w="2126"/>
          </w:tcPr>
          <w:p>
            <w:r/>
            <w:r>
              <w:rPr>
                <w:rFonts w:ascii="宋体" w:hAnsi="宋体" w:eastAsia="宋体"/>
                <w:b/>
                <w:sz w:val="21"/>
              </w:rPr>
              <w:t>E1A</w:t>
            </w:r>
          </w:p>
        </w:tc>
        <w:tc>
          <w:tcPr>
            <w:tcW w:type="dxa" w:w="2126"/>
          </w:tcPr>
          <w:p>
            <w:r/>
            <w:r>
              <w:rPr>
                <w:rFonts w:ascii="宋体" w:hAnsi="宋体" w:eastAsia="宋体"/>
                <w:b/>
                <w:sz w:val="21"/>
              </w:rPr>
              <w:t>33</w:t>
            </w:r>
          </w:p>
        </w:tc>
        <w:tc>
          <w:tcPr>
            <w:tcW w:type="dxa" w:w="2126"/>
          </w:tcPr>
          <w:p>
            <w:r/>
            <w:r>
              <w:rPr>
                <w:rFonts w:ascii="宋体" w:hAnsi="宋体" w:eastAsia="宋体"/>
                <w:b/>
                <w:sz w:val="21"/>
              </w:rPr>
              <w:t>10</w:t>
            </w:r>
          </w:p>
        </w:tc>
      </w:tr>
    </w:tbl>
    <w:p/>
    <w:p>
      <w:r>
        <w:rPr>
          <w:rFonts w:ascii="宋体" w:hAnsi="宋体" w:eastAsia="宋体"/>
          <w:b w:val="0"/>
          <w:sz w:val="24"/>
        </w:rPr>
        <w:t>由表4可知，在20x20地图上，E1A相比RRT算法路径步数缩短70.4%；在30x30地图上，E1A相比RRT算法路径步数缩短68.1%，说明本文方法相较随机采样算法具有显著的路径质量优势。在路径步数方面，E1A在两张地图上与最优算法A*完全一致（20x20为22步、30x30为33步），达到全局最优路径长度。在路径平滑性方面，30x30地图上E1A的拐点比A*少2个（10 vs 12），路径更为平滑；20x20地图上E1A的拐点略多于A*（7 vs 4）。这一差异源于地图的路径选择空间：在障碍物稀疏的简单地图中，存在多条步数相同但平滑度不同的可行路径，仅依据距离、方向对齐和开阔度信号难以区分拐点差异；而在障碍物密集的复杂地图中，多层屏障有效约束了路径选择空间，使强化学习策略能够逼近甚至超越A*的路径平滑性。这表明本文方法在复杂环境中的路径规划质量更具优势。此外，A*算法需要完整的环境地图信息，而本文方法基于强化学习，能够在未知环境、传感器噪声和动态障碍场景下通过训练学习到的策略直接决策，无需重新规划，具备传统算法不具备的环境适应能力。</w:t>
      </w:r>
    </w:p>
    <w:p>
      <w:r>
        <w:rPr>
          <w:rFonts w:ascii="宋体" w:hAnsi="宋体" w:eastAsia="宋体"/>
          <w:b w:val="0"/>
          <w:sz w:val="24"/>
        </w:rPr>
        <w:t>20×20地图的路径对比如图17所示，30×30地图的路径对比如图18所示。</w:t>
      </w:r>
    </w:p>
    <w:p>
      <w:pPr>
        <w:jc w:val="center"/>
      </w:pPr>
      <w:r>
        <w:drawing>
          <wp:inline xmlns:a="http://schemas.openxmlformats.org/drawingml/2006/main" xmlns:pic="http://schemas.openxmlformats.org/drawingml/2006/picture">
            <wp:extent cx="5486400" cy="1828800"/>
            <wp:docPr id="17" name="Picture 17"/>
            <wp:cNvGraphicFramePr>
              <a:graphicFrameLocks noChangeAspect="1"/>
            </wp:cNvGraphicFramePr>
            <a:graphic>
              <a:graphicData uri="http://schemas.openxmlformats.org/drawingml/2006/picture">
                <pic:pic>
                  <pic:nvPicPr>
                    <pic:cNvPr id="0" name="fig_trad_compare_20x20.png"/>
                    <pic:cNvPicPr/>
                  </pic:nvPicPr>
                  <pic:blipFill>
                    <a:blip r:embed="rId25"/>
                    <a:stretch>
                      <a:fillRect/>
                    </a:stretch>
                  </pic:blipFill>
                  <pic:spPr>
                    <a:xfrm>
                      <a:off x="0" y="0"/>
                      <a:ext cx="5486400" cy="1828800"/>
                    </a:xfrm>
                    <a:prstGeom prst="rect"/>
                  </pic:spPr>
                </pic:pic>
              </a:graphicData>
            </a:graphic>
          </wp:inline>
        </w:drawing>
      </w:r>
    </w:p>
    <w:p>
      <w:pPr>
        <w:jc w:val="center"/>
      </w:pPr>
      <w:r>
        <w:rPr>
          <w:rFonts w:ascii="宋体" w:hAnsi="宋体" w:eastAsia="宋体"/>
          <w:b w:val="0"/>
          <w:sz w:val="21"/>
        </w:rPr>
        <w:t>图17 20×20地图与传统算法对比</w:t>
      </w:r>
      <w:r>
        <w:br/>
      </w:r>
      <w:r>
        <w:rPr>
          <w:rFonts w:ascii="Times New Roman" w:hAnsi="Times New Roman" w:eastAsia="Times New Roman"/>
          <w:b w:val="0"/>
          <w:sz w:val="21"/>
        </w:rPr>
        <w:t>Fig.17 Comparison with traditional algorithms on the 20×20 map</w:t>
      </w:r>
    </w:p>
    <w:p>
      <w:pPr>
        <w:jc w:val="center"/>
      </w:pPr>
      <w:r>
        <w:drawing>
          <wp:inline xmlns:a="http://schemas.openxmlformats.org/drawingml/2006/main" xmlns:pic="http://schemas.openxmlformats.org/drawingml/2006/picture">
            <wp:extent cx="5486400" cy="1828800"/>
            <wp:docPr id="18" name="Picture 18"/>
            <wp:cNvGraphicFramePr>
              <a:graphicFrameLocks noChangeAspect="1"/>
            </wp:cNvGraphicFramePr>
            <a:graphic>
              <a:graphicData uri="http://schemas.openxmlformats.org/drawingml/2006/picture">
                <pic:pic>
                  <pic:nvPicPr>
                    <pic:cNvPr id="0" name="fig_trad_compare_30x30.png"/>
                    <pic:cNvPicPr/>
                  </pic:nvPicPr>
                  <pic:blipFill>
                    <a:blip r:embed="rId26"/>
                    <a:stretch>
                      <a:fillRect/>
                    </a:stretch>
                  </pic:blipFill>
                  <pic:spPr>
                    <a:xfrm>
                      <a:off x="0" y="0"/>
                      <a:ext cx="5486400" cy="1828800"/>
                    </a:xfrm>
                    <a:prstGeom prst="rect"/>
                  </pic:spPr>
                </pic:pic>
              </a:graphicData>
            </a:graphic>
          </wp:inline>
        </w:drawing>
      </w:r>
    </w:p>
    <w:p>
      <w:pPr>
        <w:jc w:val="center"/>
      </w:pPr>
      <w:r>
        <w:rPr>
          <w:rFonts w:ascii="宋体" w:hAnsi="宋体" w:eastAsia="宋体"/>
          <w:b w:val="0"/>
          <w:sz w:val="21"/>
        </w:rPr>
        <w:t>图18 30×30地图与传统算法对比</w:t>
      </w:r>
      <w:r>
        <w:br/>
      </w:r>
      <w:r>
        <w:rPr>
          <w:rFonts w:ascii="Times New Roman" w:hAnsi="Times New Roman" w:eastAsia="Times New Roman"/>
          <w:b w:val="0"/>
          <w:sz w:val="21"/>
        </w:rPr>
        <w:t>Fig.18 Comparison with traditional algorithms on the 30×30 map</w:t>
      </w:r>
    </w:p>
    <w:p>
      <w:r>
        <w:rPr>
          <w:rFonts w:ascii="黑体" w:hAnsi="黑体" w:eastAsia="黑体"/>
          <w:b/>
          <w:sz w:val="24"/>
        </w:rPr>
        <w:t>4.6 消融实验</w:t>
      </w:r>
    </w:p>
    <w:p>
      <w:r>
        <w:rPr>
          <w:rFonts w:ascii="宋体" w:hAnsi="宋体" w:eastAsia="宋体"/>
          <w:b w:val="0"/>
          <w:sz w:val="24"/>
        </w:rPr>
        <w:t>在20x20地图上：完整耦合奖励Best50为107.8±0.5；去掉开阔度后降至102.8（下降4.3%）；去掉方向对齐后降至100.8（下降6.3%）。在30x30地图上：完整耦合奖励Best50为140.8；去掉开阔度后降至127.3（下降13.5）；去掉方向对齐后降至130.6（下降10.2）。两个奖励分量在两张地图上均对性能有正贡献，方向对齐的贡献略大于开阔度。</w:t>
      </w:r>
    </w:p>
    <w:p>
      <w:r>
        <w:rPr>
          <w:rFonts w:ascii="黑体" w:hAnsi="黑体" w:eastAsia="黑体"/>
          <w:b/>
          <w:sz w:val="24"/>
        </w:rPr>
        <w:t>4.7 噪声鲁棒性实验</w:t>
      </w:r>
    </w:p>
    <w:p>
      <w:r>
        <w:rPr>
          <w:rFonts w:ascii="宋体" w:hAnsi="宋体" w:eastAsia="宋体"/>
          <w:b w:val="0"/>
          <w:sz w:val="24"/>
        </w:rPr>
        <w:t>为验证CAT-DQN在传感器噪声下的鲁棒性，在20x20地图上使用干净训练模型，在不同噪声水平下进行200轮Greedy测试：</w:t>
      </w:r>
    </w:p>
    <w:p>
      <w:pPr>
        <w:jc w:val="center"/>
      </w:pPr>
      <w:r>
        <w:rPr>
          <w:rFonts w:ascii="宋体" w:hAnsi="宋体" w:eastAsia="宋体"/>
          <w:b w:val="0"/>
          <w:sz w:val="21"/>
        </w:rPr>
        <w:t>表5 干净训练模型在传感器噪声下的测试成功率（均值±标准差，5个随机种子，每个种子200轮Greedy测试）</w:t>
      </w:r>
      <w:r>
        <w:br/>
      </w:r>
      <w:r>
        <w:rPr>
          <w:rFonts w:ascii="Times New Roman" w:hAnsi="Times New Roman" w:eastAsia="Times New Roman"/>
          <w:b w:val="0"/>
          <w:sz w:val="21"/>
        </w:rPr>
        <w:t>Tab.5 Test success rate of clean-trained models under sensor noise (mean±std, 5 seeds, 200 greedy episodes per seed)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rPr>
            </w:r>
            <w:r>
              <w:rPr>
                <w:rFonts w:ascii="宋体" w:hAnsi="宋体" w:eastAsia="宋体"/>
                <w:b/>
                <w:sz w:val="21"/>
              </w:rPr>
              <w:t>噪声水平</w:t>
            </w:r>
          </w:p>
        </w:tc>
        <w:tc>
          <w:tcPr>
            <w:tcW w:type="dxa" w:w="2835"/>
          </w:tcPr>
          <w:p>
            <w:r>
              <w:rPr>
                <w:b/>
              </w:rPr>
            </w:r>
            <w:r>
              <w:rPr>
                <w:rFonts w:ascii="宋体" w:hAnsi="宋体" w:eastAsia="宋体"/>
                <w:b/>
                <w:sz w:val="21"/>
              </w:rPr>
              <w:t>MLP成功率</w:t>
            </w:r>
          </w:p>
        </w:tc>
        <w:tc>
          <w:tcPr>
            <w:tcW w:type="dxa" w:w="2835"/>
          </w:tcPr>
          <w:p>
            <w:r>
              <w:rPr>
                <w:b/>
              </w:rPr>
            </w:r>
            <w:r>
              <w:rPr>
                <w:rFonts w:ascii="宋体" w:hAnsi="宋体" w:eastAsia="宋体"/>
                <w:b/>
                <w:sz w:val="21"/>
              </w:rPr>
              <w:t>CAT成功率</w:t>
            </w:r>
          </w:p>
        </w:tc>
      </w:tr>
      <w:tr>
        <w:tc>
          <w:tcPr>
            <w:tcW w:type="dxa" w:w="2835"/>
          </w:tcPr>
          <w:p>
            <w:r/>
            <w:r>
              <w:rPr>
                <w:rFonts w:ascii="宋体" w:hAnsi="宋体" w:eastAsia="宋体"/>
                <w:b w:val="0"/>
                <w:sz w:val="21"/>
              </w:rPr>
              <w:t>0%</w:t>
            </w:r>
          </w:p>
        </w:tc>
        <w:tc>
          <w:tcPr>
            <w:tcW w:type="dxa" w:w="2835"/>
          </w:tcPr>
          <w:p>
            <w:r/>
            <w:r>
              <w:rPr>
                <w:rFonts w:ascii="宋体" w:hAnsi="宋体" w:eastAsia="宋体"/>
                <w:b w:val="0"/>
                <w:sz w:val="21"/>
              </w:rPr>
              <w:t>100%</w:t>
            </w:r>
          </w:p>
        </w:tc>
        <w:tc>
          <w:tcPr>
            <w:tcW w:type="dxa" w:w="2835"/>
          </w:tcPr>
          <w:p>
            <w:r/>
            <w:r>
              <w:rPr>
                <w:rFonts w:ascii="宋体" w:hAnsi="宋体" w:eastAsia="宋体"/>
                <w:b w:val="0"/>
                <w:sz w:val="21"/>
              </w:rPr>
              <w:t>100%</w:t>
            </w:r>
          </w:p>
        </w:tc>
      </w:tr>
      <w:tr>
        <w:tc>
          <w:tcPr>
            <w:tcW w:type="dxa" w:w="2835"/>
          </w:tcPr>
          <w:p>
            <w:r/>
            <w:r>
              <w:rPr>
                <w:rFonts w:ascii="宋体" w:hAnsi="宋体" w:eastAsia="宋体"/>
                <w:b w:val="0"/>
                <w:sz w:val="21"/>
              </w:rPr>
              <w:t>5%</w:t>
            </w:r>
          </w:p>
        </w:tc>
        <w:tc>
          <w:tcPr>
            <w:tcW w:type="dxa" w:w="2835"/>
          </w:tcPr>
          <w:p>
            <w:r/>
            <w:r>
              <w:rPr>
                <w:rFonts w:ascii="宋体" w:hAnsi="宋体" w:eastAsia="宋体"/>
                <w:b w:val="0"/>
                <w:sz w:val="21"/>
              </w:rPr>
              <w:t>78.4±2.0%</w:t>
            </w:r>
          </w:p>
        </w:tc>
        <w:tc>
          <w:tcPr>
            <w:tcW w:type="dxa" w:w="2835"/>
          </w:tcPr>
          <w:p>
            <w:r/>
            <w:r>
              <w:rPr>
                <w:rFonts w:ascii="宋体" w:hAnsi="宋体" w:eastAsia="宋体"/>
                <w:b w:val="0"/>
                <w:sz w:val="21"/>
              </w:rPr>
              <w:t>86.0±1.7%</w:t>
            </w:r>
          </w:p>
        </w:tc>
      </w:tr>
      <w:tr>
        <w:tc>
          <w:tcPr>
            <w:tcW w:type="dxa" w:w="2835"/>
          </w:tcPr>
          <w:p>
            <w:r/>
            <w:r>
              <w:rPr>
                <w:rFonts w:ascii="宋体" w:hAnsi="宋体" w:eastAsia="宋体"/>
                <w:b w:val="0"/>
                <w:sz w:val="21"/>
              </w:rPr>
              <w:t>10%</w:t>
            </w:r>
          </w:p>
        </w:tc>
        <w:tc>
          <w:tcPr>
            <w:tcW w:type="dxa" w:w="2835"/>
          </w:tcPr>
          <w:p>
            <w:r/>
            <w:r>
              <w:rPr>
                <w:rFonts w:ascii="宋体" w:hAnsi="宋体" w:eastAsia="宋体"/>
                <w:b w:val="0"/>
                <w:sz w:val="21"/>
              </w:rPr>
              <w:t>47.8±5.7%</w:t>
            </w:r>
          </w:p>
        </w:tc>
        <w:tc>
          <w:tcPr>
            <w:tcW w:type="dxa" w:w="2835"/>
          </w:tcPr>
          <w:p>
            <w:r/>
            <w:r>
              <w:rPr>
                <w:rFonts w:ascii="宋体" w:hAnsi="宋体" w:eastAsia="宋体"/>
                <w:b w:val="0"/>
                <w:sz w:val="21"/>
              </w:rPr>
              <w:t>65.8±4.1%</w:t>
            </w:r>
          </w:p>
        </w:tc>
      </w:tr>
      <w:tr>
        <w:tc>
          <w:tcPr>
            <w:tcW w:type="dxa" w:w="2835"/>
          </w:tcPr>
          <w:p>
            <w:r/>
            <w:r>
              <w:rPr>
                <w:rFonts w:ascii="宋体" w:hAnsi="宋体" w:eastAsia="宋体"/>
                <w:b w:val="0"/>
                <w:sz w:val="21"/>
              </w:rPr>
              <w:t>15%</w:t>
            </w:r>
          </w:p>
        </w:tc>
        <w:tc>
          <w:tcPr>
            <w:tcW w:type="dxa" w:w="2835"/>
          </w:tcPr>
          <w:p>
            <w:r/>
            <w:r>
              <w:rPr>
                <w:rFonts w:ascii="宋体" w:hAnsi="宋体" w:eastAsia="宋体"/>
                <w:b w:val="0"/>
                <w:sz w:val="21"/>
              </w:rPr>
              <w:t>20.6±3.2%</w:t>
            </w:r>
          </w:p>
        </w:tc>
        <w:tc>
          <w:tcPr>
            <w:tcW w:type="dxa" w:w="2835"/>
          </w:tcPr>
          <w:p>
            <w:r/>
            <w:r>
              <w:rPr>
                <w:rFonts w:ascii="宋体" w:hAnsi="宋体" w:eastAsia="宋体"/>
                <w:b w:val="0"/>
                <w:sz w:val="21"/>
              </w:rPr>
              <w:t>42.0±2.7%</w:t>
            </w:r>
          </w:p>
        </w:tc>
      </w:tr>
      <w:tr>
        <w:tc>
          <w:tcPr>
            <w:tcW w:type="dxa" w:w="2835"/>
          </w:tcPr>
          <w:p>
            <w:r/>
            <w:r>
              <w:rPr>
                <w:rFonts w:ascii="宋体" w:hAnsi="宋体" w:eastAsia="宋体"/>
                <w:b/>
                <w:sz w:val="21"/>
              </w:rPr>
              <w:t>20%</w:t>
            </w:r>
          </w:p>
        </w:tc>
        <w:tc>
          <w:tcPr>
            <w:tcW w:type="dxa" w:w="2835"/>
          </w:tcPr>
          <w:p>
            <w:r/>
            <w:r>
              <w:rPr>
                <w:rFonts w:ascii="宋体" w:hAnsi="宋体" w:eastAsia="宋体"/>
                <w:b/>
                <w:sz w:val="21"/>
              </w:rPr>
              <w:t>6.5±3.0%</w:t>
            </w:r>
          </w:p>
        </w:tc>
        <w:tc>
          <w:tcPr>
            <w:tcW w:type="dxa" w:w="2835"/>
          </w:tcPr>
          <w:p>
            <w:r/>
            <w:r>
              <w:rPr>
                <w:rFonts w:ascii="宋体" w:hAnsi="宋体" w:eastAsia="宋体"/>
                <w:b/>
                <w:sz w:val="21"/>
              </w:rPr>
              <w:t>23.4±2.4%</w:t>
            </w:r>
          </w:p>
        </w:tc>
      </w:tr>
      <w:tr>
        <w:tc>
          <w:tcPr>
            <w:tcW w:type="dxa" w:w="2835"/>
          </w:tcPr>
          <w:p>
            <w:r/>
            <w:r>
              <w:rPr>
                <w:rFonts w:ascii="宋体" w:hAnsi="宋体" w:eastAsia="宋体"/>
                <w:b w:val="0"/>
                <w:sz w:val="21"/>
              </w:rPr>
              <w:t>30%</w:t>
            </w:r>
          </w:p>
        </w:tc>
        <w:tc>
          <w:tcPr>
            <w:tcW w:type="dxa" w:w="2835"/>
          </w:tcPr>
          <w:p>
            <w:r/>
            <w:r>
              <w:rPr>
                <w:rFonts w:ascii="宋体" w:hAnsi="宋体" w:eastAsia="宋体"/>
                <w:b w:val="0"/>
                <w:sz w:val="21"/>
              </w:rPr>
              <w:t>0.5±0.3%</w:t>
            </w:r>
          </w:p>
        </w:tc>
        <w:tc>
          <w:tcPr>
            <w:tcW w:type="dxa" w:w="2835"/>
          </w:tcPr>
          <w:p>
            <w:r/>
            <w:r>
              <w:rPr>
                <w:rFonts w:ascii="宋体" w:hAnsi="宋体" w:eastAsia="宋体"/>
                <w:b w:val="0"/>
                <w:sz w:val="21"/>
              </w:rPr>
              <w:t>3.7±1.9%</w:t>
            </w:r>
          </w:p>
        </w:tc>
      </w:tr>
    </w:tbl>
    <w:p/>
    <w:p>
      <w:r>
        <w:rPr>
          <w:rFonts w:ascii="宋体" w:hAnsi="宋体" w:eastAsia="宋体"/>
          <w:b/>
          <w:sz w:val="24"/>
        </w:rPr>
        <w:t>结论</w:t>
      </w:r>
      <w:r>
        <w:rPr>
          <w:rFonts w:ascii="宋体" w:hAnsi="宋体" w:eastAsia="宋体"/>
          <w:b w:val="0"/>
          <w:sz w:val="24"/>
        </w:rPr>
        <w:t>：随着噪声水平增加，MLP成功率急剧下降，在20%噪声下仅6.5%；而CAT凭借5步历史信息有效过滤噪声干扰，保持23.4%的成功率，较MLP提升约17个百分点，验证了CAT-DQN的噪声鲁棒性优势。</w:t>
      </w:r>
    </w:p>
    <w:p>
      <w:r>
        <w:rPr>
          <w:rFonts w:ascii="宋体" w:hAnsi="宋体" w:eastAsia="宋体"/>
          <w:b w:val="0"/>
          <w:sz w:val="24"/>
        </w:rPr>
        <w:t>进一步地，在20%噪声环境中训练模型后，30%噪声下CAT（98.0%）仍比MLP（94.5%）高3.5个百分点。</w:t>
      </w:r>
    </w:p>
    <w:p>
      <w:r>
        <w:rPr>
          <w:rFonts w:ascii="宋体" w:hAnsi="宋体" w:eastAsia="宋体"/>
          <w:b w:val="0"/>
          <w:sz w:val="24"/>
        </w:rPr>
        <w:t>为考察地图障碍密度对抗噪增益的影响，在障碍密集的30×30地图上采用相同协议（E1 MLP与E2 CAT，均不含ASGS，5个种子）进行了噪声测试。结果表明，CAT与MLP在噪声下的测试成功率基本相当（20%噪声下分别为10.0%与10.9%），未观察到CAT的抗噪增益；且两者在噪声下均以碰撞为主要失效方式。其原因在于：稀疏地图中传感器噪声是影响规划的主要因素，CAT的5步历史可有效滤除噪声干扰；而密集地图中障碍避让本身成为主导瓶颈，历史滤波不再带来额外增益。这表明CAT的抗噪增益与地图障碍密度相关，其在障碍稀疏场景下效果最为显著。噪声鲁棒性对比如图19所示。</w:t>
      </w:r>
    </w:p>
    <w:p>
      <w:pPr>
        <w:jc w:val="center"/>
      </w:pPr>
      <w:r>
        <w:drawing>
          <wp:inline xmlns:a="http://schemas.openxmlformats.org/drawingml/2006/main" xmlns:pic="http://schemas.openxmlformats.org/drawingml/2006/picture">
            <wp:extent cx="5486400" cy="1959429"/>
            <wp:docPr id="19" name="Picture 19"/>
            <wp:cNvGraphicFramePr>
              <a:graphicFrameLocks noChangeAspect="1"/>
            </wp:cNvGraphicFramePr>
            <a:graphic>
              <a:graphicData uri="http://schemas.openxmlformats.org/drawingml/2006/picture">
                <pic:pic>
                  <pic:nvPicPr>
                    <pic:cNvPr id="0" name="fig_noise_robustness.png"/>
                    <pic:cNvPicPr/>
                  </pic:nvPicPr>
                  <pic:blipFill>
                    <a:blip r:embed="rId27"/>
                    <a:stretch>
                      <a:fillRect/>
                    </a:stretch>
                  </pic:blipFill>
                  <pic:spPr>
                    <a:xfrm>
                      <a:off x="0" y="0"/>
                      <a:ext cx="5486400" cy="1959429"/>
                    </a:xfrm>
                    <a:prstGeom prst="rect"/>
                  </pic:spPr>
                </pic:pic>
              </a:graphicData>
            </a:graphic>
          </wp:inline>
        </w:drawing>
      </w:r>
    </w:p>
    <w:p>
      <w:pPr>
        <w:jc w:val="center"/>
      </w:pPr>
      <w:r>
        <w:rPr>
          <w:rFonts w:ascii="宋体" w:hAnsi="宋体" w:eastAsia="宋体"/>
          <w:b w:val="0"/>
          <w:sz w:val="21"/>
        </w:rPr>
        <w:t>图19 噪声鲁棒性对比</w:t>
      </w:r>
      <w:r>
        <w:br/>
      </w:r>
      <w:r>
        <w:rPr>
          <w:rFonts w:ascii="Times New Roman" w:hAnsi="Times New Roman" w:eastAsia="Times New Roman"/>
          <w:b w:val="0"/>
          <w:sz w:val="21"/>
        </w:rPr>
        <w:t>Fig.19 Noise robustness comparison</w:t>
      </w:r>
    </w:p>
    <w:p>
      <w:r>
        <w:rPr>
          <w:rFonts w:ascii="黑体" w:hAnsi="黑体" w:eastAsia="黑体"/>
          <w:b/>
          <w:sz w:val="28"/>
        </w:rPr>
        <w:t>5 结论</w:t>
      </w:r>
    </w:p>
    <w:p>
      <w:r>
        <w:rPr>
          <w:rFonts w:ascii="宋体" w:hAnsi="宋体" w:eastAsia="宋体"/>
          <w:b w:val="0"/>
          <w:sz w:val="24"/>
        </w:rPr>
        <w:t>本文针对传统DQN在栅格路径规划中奖励引导不足、探索效率低以及噪声环境下感知能力弱的问题，提出了耦合奖励函数、Cross-Attention Transformer网络结构和自适应安全引导策略三个改进。实验结果表明：</w:t>
      </w:r>
    </w:p>
    <w:p>
      <w:r>
        <w:rPr>
          <w:rFonts w:ascii="宋体" w:hAnsi="宋体" w:eastAsia="宋体"/>
          <w:b w:val="0"/>
          <w:sz w:val="24"/>
        </w:rPr>
        <w:t>（1）耦合奖励通过融合距离进度、方向对齐和局部开阔度三个信号，显著提升了DQN的收敛速度和训练稳定性，在20x20和30x30地图上较基准DQN收敛速度分别提升约4.8倍和2.6倍。</w:t>
      </w:r>
    </w:p>
    <w:p>
      <w:r>
        <w:rPr>
          <w:rFonts w:ascii="宋体" w:hAnsi="宋体" w:eastAsia="宋体"/>
          <w:b w:val="0"/>
          <w:sz w:val="24"/>
        </w:rPr>
        <w:t>（2）核心方法（耦合+ASGS）在两张地图上的训练成功率分别达到97.7%±0.8%和96.8%±0.5%，测试成功率稳定达到100%，较基准DQN分别提升17和50个百分点；在此基础上加入CAT的完整方法在干净地图上与核心方法基本持平（20×20为97.7%±0.5%、30×30为95.2%±1.6%），验证了CAT作为感知增强模块的即插即用性。消融实验验证了方向对齐与开阔度两个奖励分量的有效性。</w:t>
      </w:r>
    </w:p>
    <w:p>
      <w:r>
        <w:rPr>
          <w:rFonts w:ascii="宋体" w:hAnsi="宋体" w:eastAsia="宋体"/>
          <w:b w:val="0"/>
          <w:sz w:val="24"/>
        </w:rPr>
        <w:t>（3）CAT-DQN通过双分支交叉注意力架构，在20×20地图的20%传感器噪声下测试成功率较传统MLP提升约17个百分点，展现出面向稀疏障碍场景的感知鲁棒性。</w:t>
      </w:r>
    </w:p>
    <w:p>
      <w:r>
        <w:rPr>
          <w:rFonts w:ascii="宋体" w:hAnsi="宋体" w:eastAsia="宋体"/>
          <w:b w:val="0"/>
          <w:sz w:val="24"/>
        </w:rPr>
        <w:t>本文方法目前以静态栅格地图为主要验证场景，且CAT的抗噪增益主要在障碍稀疏地图上得到验证。未来工作将把所提方法扩展到动态障碍物环境和部分可观测场景，探索在障碍密集场景下进一步提升噪声鲁棒性的方法，并研究与其他深度强化学习算法（如Dueling DQN、Double DQN）的结合。</w:t>
      </w:r>
    </w:p>
    <w:p>
      <w:r>
        <w:rPr>
          <w:rFonts w:ascii="黑体" w:hAnsi="黑体" w:eastAsia="黑体"/>
          <w:b/>
          <w:sz w:val="28"/>
        </w:rPr>
        <w:t>参考文献</w:t>
      </w:r>
    </w:p>
    <w:p>
      <w:r>
        <w:rPr>
          <w:rFonts w:ascii="宋体" w:hAnsi="宋体" w:eastAsia="宋体"/>
          <w:b w:val="0"/>
          <w:sz w:val="24"/>
        </w:rPr>
        <w:t>[1] 吴锦涛. 移动机器人路径规划算法研究综述[J]. (2025).</w:t>
      </w:r>
    </w:p>
    <w:p>
      <w:r>
        <w:rPr>
          <w:rFonts w:ascii="宋体" w:hAnsi="宋体" w:eastAsia="宋体"/>
          <w:b w:val="0"/>
          <w:sz w:val="24"/>
        </w:rPr>
        <w:t>[2] Dijkstra E W. A note on two problems in connexion with graphs[J]. Numerische Mathematik, 1959, 1(1): 269-271.</w:t>
      </w:r>
    </w:p>
    <w:p>
      <w:r>
        <w:rPr>
          <w:rFonts w:ascii="宋体" w:hAnsi="宋体" w:eastAsia="宋体"/>
          <w:b w:val="0"/>
          <w:sz w:val="24"/>
        </w:rPr>
        <w:t>[3] Hart P E, Nilsson N J, Raphael B. A formal basis for the heuristic determination of minimum cost paths[J]. IEEE Transactions on Systems Science and Cybernetics, 1968, 4(2): 100-107.</w:t>
      </w:r>
    </w:p>
    <w:p>
      <w:r>
        <w:rPr>
          <w:rFonts w:ascii="宋体" w:hAnsi="宋体" w:eastAsia="宋体"/>
          <w:b w:val="0"/>
          <w:sz w:val="24"/>
        </w:rPr>
        <w:t>[4] LaValle S M. Rapidly-exploring random trees: A new tool for path planning[R]. Iowa State University, 1998.</w:t>
      </w:r>
    </w:p>
    <w:p>
      <w:r>
        <w:rPr>
          <w:rFonts w:ascii="宋体" w:hAnsi="宋体" w:eastAsia="宋体"/>
          <w:b w:val="0"/>
          <w:sz w:val="24"/>
        </w:rPr>
        <w:t>[5] 李海亮. 基于蚁群算法引导深度Q网络的移动机器人路径规划算法[J]. (2025).</w:t>
      </w:r>
    </w:p>
    <w:p>
      <w:r>
        <w:rPr>
          <w:rFonts w:ascii="宋体" w:hAnsi="宋体" w:eastAsia="宋体"/>
          <w:b w:val="0"/>
          <w:sz w:val="24"/>
        </w:rPr>
        <w:t>[6] 黄鑫. 基于深度强化学习的路径规划算法综述[J]. (2024).</w:t>
      </w:r>
    </w:p>
    <w:p>
      <w:r>
        <w:rPr>
          <w:rFonts w:ascii="宋体" w:hAnsi="宋体" w:eastAsia="宋体"/>
          <w:b w:val="0"/>
          <w:sz w:val="24"/>
        </w:rPr>
        <w:t>[7] Mnih V, Kavukcuoglu K, Silver D, et al. Human-level control through deep reinforcement learning[J]. Nature, 2015, 518(7540): 529-533.</w:t>
      </w:r>
    </w:p>
    <w:p>
      <w:r>
        <w:rPr>
          <w:rFonts w:ascii="宋体" w:hAnsi="宋体" w:eastAsia="宋体"/>
          <w:b w:val="0"/>
          <w:sz w:val="24"/>
        </w:rPr>
        <w:t>[8] 谢天. 基于改进深度Q网络的移动机器人路径规划算法[J]. (2023).</w:t>
      </w:r>
    </w:p>
    <w:p>
      <w:r>
        <w:rPr>
          <w:rFonts w:ascii="宋体" w:hAnsi="宋体" w:eastAsia="宋体"/>
          <w:b w:val="0"/>
          <w:sz w:val="24"/>
        </w:rPr>
        <w:t>[9] 于效民. 基于改进DQN算法的移动机器人路径规划[J]. (2024).</w:t>
      </w:r>
    </w:p>
    <w:p>
      <w:r>
        <w:rPr>
          <w:rFonts w:ascii="宋体" w:hAnsi="宋体" w:eastAsia="宋体"/>
          <w:b w:val="0"/>
          <w:sz w:val="24"/>
        </w:rPr>
        <w:t>[10] 桑垚, 马骁龙. 改进奖励函数的深度强化学习路径规划方法[J]. 计算机应用与软件, 2025, 42(1).</w:t>
      </w:r>
    </w:p>
    <w:p>
      <w:r>
        <w:rPr>
          <w:rFonts w:ascii="宋体" w:hAnsi="宋体" w:eastAsia="宋体"/>
          <w:b w:val="0"/>
          <w:sz w:val="24"/>
        </w:rPr>
        <w:t>[11] 田箫源, 董秀成. 基于改进DQN的移动机器人避障路径规划[J]. 中国惯性技术学报, 2024, 32(4): 406-416.</w:t>
      </w:r>
    </w:p>
    <w:p>
      <w:r>
        <w:rPr>
          <w:rFonts w:ascii="宋体" w:hAnsi="宋体" w:eastAsia="宋体"/>
          <w:b w:val="0"/>
          <w:sz w:val="24"/>
        </w:rPr>
        <w:t>[12] 温海骏, 李欣. 基于改进融合DQN算法的机器人路径规划[J]. 计算机应用与软件, 2026.</w:t>
      </w:r>
    </w:p>
    <w:p>
      <w:r>
        <w:rPr>
          <w:rFonts w:ascii="宋体" w:hAnsi="宋体" w:eastAsia="宋体"/>
          <w:b w:val="0"/>
          <w:sz w:val="24"/>
        </w:rPr>
        <w:t>[13] 马海杰, 薛安宏. 基于深度注意力Q网络的机器人路径规划研究[J]. 传感器与微系统, 2024, 43(12): 66-70.</w:t>
      </w:r>
    </w:p>
    <w:p>
      <w:r>
        <w:rPr>
          <w:rFonts w:ascii="宋体" w:hAnsi="宋体" w:eastAsia="宋体"/>
          <w:b w:val="0"/>
          <w:sz w:val="24"/>
        </w:rPr>
        <w:t>[14] Sharma H, Tiwari R, Shukla S, et al. Transformer-Enhanced Deep Q-Learning for robotic path planning[J]. Cluster Computing, 2026, 29: 271.</w:t>
      </w:r>
    </w:p>
    <w:p>
      <w:r>
        <w:rPr>
          <w:rFonts w:ascii="宋体" w:hAnsi="宋体" w:eastAsia="宋体"/>
          <w:b w:val="0"/>
          <w:sz w:val="24"/>
        </w:rPr>
        <w:t>[15] Zhang J, Guo Y, Ding F. 基于人工势场信息与改进深度Q学习的机器人路径规划方法[J]. 小型微型计算机系统, 2025.</w:t>
      </w:r>
    </w:p>
    <w:p>
      <w:r>
        <w:rPr>
          <w:rFonts w:ascii="宋体" w:hAnsi="宋体" w:eastAsia="宋体"/>
          <w:b w:val="0"/>
          <w:sz w:val="24"/>
        </w:rPr>
        <w:t>[16] 李奇儒, 闫凯. 基于改进DQN算法的机器人路径规划[J]. 计算机工程, 2023, 49(12): 111-120.</w:t>
      </w:r>
    </w:p>
    <w:p>
      <w:r>
        <w:rPr>
          <w:rFonts w:ascii="宋体" w:hAnsi="宋体" w:eastAsia="宋体"/>
          <w:b w:val="0"/>
          <w:sz w:val="24"/>
        </w:rPr>
        <w:t>[17] 赵威. 基于改进深度强化学习算法的农业机器人路径规划[J]. (2024).</w:t>
      </w:r>
    </w:p>
    <w:p>
      <w:r>
        <w:rPr>
          <w:rFonts w:ascii="宋体" w:hAnsi="宋体" w:eastAsia="宋体"/>
          <w:b w:val="0"/>
          <w:sz w:val="24"/>
        </w:rPr>
        <w:t>[18] 白泽琨. 复杂环境下基于强化学习的自主移动机器人路径规划算法研究[D]. (2025).</w:t>
      </w:r>
    </w:p>
    <w:p>
      <w:r>
        <w:rPr>
          <w:rFonts w:ascii="宋体" w:hAnsi="宋体" w:eastAsia="宋体"/>
          <w:b w:val="0"/>
          <w:sz w:val="24"/>
        </w:rPr>
        <w:t>[19] 倪培龙. 基于改进A-DDQN算法的机器人路径规划[J]. (2025).</w:t>
      </w:r>
    </w:p>
    <w:p>
      <w:r>
        <w:rPr>
          <w:rFonts w:ascii="宋体" w:hAnsi="宋体" w:eastAsia="宋体"/>
          <w:b w:val="0"/>
          <w:sz w:val="24"/>
        </w:rPr>
        <w:t>[20] 付文浩. 基于改进Dueling-DQN的多无人机路径规划算法[J]. (2024).</w:t>
      </w:r>
    </w:p>
    <w:p>
      <w:r>
        <w:rPr>
          <w:rFonts w:ascii="宋体" w:hAnsi="宋体" w:eastAsia="宋体"/>
          <w:b w:val="0"/>
          <w:sz w:val="24"/>
        </w:rPr>
        <w:t>[21] Van Hasselt H, Guez A, Silver D. Deep reinforcement learning with double Q-learning[C]. Proceedings of the AAAI Conference on Artificial Intelligence, 2016, 30(1): 2094-2100.</w:t>
      </w:r>
    </w:p>
    <w:p>
      <w:r>
        <w:rPr>
          <w:rFonts w:ascii="宋体" w:hAnsi="宋体" w:eastAsia="宋体"/>
          <w:b w:val="0"/>
          <w:sz w:val="24"/>
        </w:rPr>
        <w:t>[22] Wang Z, Schaul T, Hessel M, et al. Dueling network architectures for deep reinforcement learning[C]. Proceedings of the 33rd International Conference on Machine Learning, 2016: 1995-2003.</w:t>
      </w:r>
    </w:p>
    <w:p>
      <w:r>
        <w:rPr>
          <w:rFonts w:ascii="宋体" w:hAnsi="宋体" w:eastAsia="宋体"/>
          <w:b w:val="0"/>
          <w:sz w:val="24"/>
        </w:rPr>
        <w:t>[23] Schaul T, Quan J, Antonoglou I, et al. Prioritized experience replay[C]. Proceedings of the 4th International Conference on Learning Representations, 2016.</w:t>
      </w:r>
    </w:p>
    <w:p>
      <w:r>
        <w:rPr>
          <w:rFonts w:ascii="宋体" w:hAnsi="宋体" w:eastAsia="宋体"/>
          <w:b w:val="0"/>
          <w:sz w:val="24"/>
        </w:rPr>
        <w:t>[24] 张磊. 基于改进深度双Q网络的移动机器人路径规划算法[J]. (2024).</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