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耦合奖励、交叉注意力与安全引导增强的深度Q网络及其在栅格路径规划中的应用</w:t>
      </w:r>
    </w:p>
    <w:p>
      <w:r>
        <w:rPr>
          <w:rFonts w:ascii="黑体" w:hAnsi="黑体" w:eastAsia="黑体"/>
          <w:b/>
          <w:sz w:val="28"/>
        </w:rPr>
        <w:t>摘要</w:t>
      </w:r>
    </w:p>
    <w:p>
      <w:r>
        <w:rPr>
          <w:rFonts w:ascii="宋体" w:hAnsi="宋体" w:eastAsia="宋体"/>
          <w:b w:val="0"/>
          <w:sz w:val="24"/>
        </w:rPr>
        <w:t>针对传统深度Q网络（DQN）在栅格路径规划中奖励引导不足、噪声环境下感知能力弱以及探索效率低的问题，本文提出耦合奖励函数、双分支交叉注意力网络与自适应安全引导策略三种改进，并将其集成为完整方法（CR-ASGS-CAT-DQN）。首先，设计耦合奖励函数，将距离进度奖励、方向对齐奖励与局部开阔度奖励三者耦合，从趋近性、方向性和安全性三个维度为价值更新提供密集且精确的引导信号；其次，提出双分支交叉注意力网络（CAT-DQN），将目标信息与障碍物信息分离编码并通过交叉注意力融合，借助5步历史信息增强噪声环境下的感知鲁棒性；最后，提出自适应安全引导策略（ASGS），通过安全加权探索与随训练进度增强的Q值软性惩罚降低无效碰撞。在20×20和30×30栅格地图上的实验表明，耦合奖励与ASGS结合的核心方法将训练成功率分别提升至97.7%±0.8%和96.8%±0.5%（较稀疏基线提升17和50个百分点），规划成功率稳定达到100%，路径长度与最优算法A*一致；加入CAT后的完整方法在干净地图上与核心方法基本持平，而在20×20地图的20%传感器噪声下CAT-DQN的规划成功率较传统MLP提升约17个百分点。消融实验验证了方向对齐与开阔度两个奖励分量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1 引言</w:t>
      </w:r>
    </w:p>
    <w:p>
      <w:r>
        <w:rPr>
          <w:rFonts w:ascii="宋体" w:hAnsi="宋体" w:eastAsia="宋体"/>
          <w:b w:val="0"/>
          <w:sz w:val="24"/>
        </w:rPr>
        <w:t>移动机器人已在工业制造、物流仓储、医疗服务等领域获得广泛应用。路径规划作为移动机器人自主导航的核心技术之一，要求在存在障碍物的环境中，从起点到目标点找出一条安全无碰撞的路径。传统的路径规划算法如Dijkstra算法[2]、A*算法[3]、快速扩展随机树（RRT）算法[4]以及蚁群算法[5]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DQN）[7]作为深度强化学习的代表性算法，利用经验回放和目标网络机制有效解决了Q-learning在复杂状态空间中的收敛问题，已被成功应用于移动机器人的路径规划任务[8-9]。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以下缺陷：首先，它仅关注是否接近目标，而忽略了移动方向是否正确这一关键信息，导致机器人可能出现远离目标再折返的迂回路径；其次，它未考虑局部障碍物分布，在障碍物密集区域，距离奖励仍可能为正，引导机器人走向不安全的区域；最后，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和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epsilon-greedy策略：以概率epsilon随机选择动作，以概率1-epsilon选择当前Q值最大的动作。在路径规划中，状态向量包含8个方向的障碍标志obs_i，直接反映了各方向的可通行性。然而，传统epsilon-greedy策略在随机探索时对所有动作等概率采样，无视obs_i提供的信息。这意味着即使obs_i=1（第i个方向有障碍物），该方向仍以1/8的概率被选中，导致大量无效碰撞。田箫源等[11]设计了一种动态探索因子，根据训练进度调整epsilon值，在训练后期侧重利用已有知识，但其改进作用于epsilon值本身，未解决随机探索中方向选择的无偏性问题。温海骏等[12]和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三个改进分别针对奖励引导不足、感知能力弱和探索效率低三个关键问题，彼此互补、共同提升DQN在栅格路径规划中的性能。</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2.6%和46.8%±34.4%提升至85.0%±0.4%和75.2%±4.9%，收敛轮数分别缩短约4.8倍和2.6倍；消融实验表明方向对齐与开阔度两个分量均具有正贡献。</w:t>
      </w:r>
    </w:p>
    <w:p>
      <w:r>
        <w:rPr>
          <w:rFonts w:ascii="宋体" w:hAnsi="宋体" w:eastAsia="宋体"/>
          <w:b w:val="0"/>
          <w:sz w:val="24"/>
        </w:rPr>
        <w:t>（2）提出双分支交叉注意力网络（Cross-Attention Transformer DQN, CAT-DQN），解决传感器噪声环境下感知能力弱的问题。将状态空间中的目标信息（dx, dy, dist）与障碍物信息（obs0~obs7）拆分为两个独立分支，分别通过自注意力编码各自时序变化，再由交叉注意力融合：Agent-Goal分支作为Query主动查询Obstacle分支的障碍物分布，实现目标导向与障碍规避的差异化推理。该结构区别于现有方法[13-14]的单通路自注意力架构。CAT-DQN在干净地图上与MLP性能相当，在20×20地图的20%传感器噪声下将规划成功率由6.5%提升至23.4%（提升约17个百分点）、在30%噪声下由0.5%提升至3.7%，展现出面向稀疏障碍场景的感知鲁棒性优势；在障碍密集的30×30地图上该增益减弱，表明其抗噪能力与地图障碍密度相关。</w:t>
      </w:r>
    </w:p>
    <w:p>
      <w:r>
        <w:rPr>
          <w:rFonts w:ascii="宋体" w:hAnsi="宋体" w:eastAsia="宋体"/>
          <w:b w:val="0"/>
          <w:sz w:val="24"/>
        </w:rPr>
        <w:t>（3）提出自适应安全引导策略（Adaptive Safety-Guided Strategy, ASGS），解决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0.5%，较耦合奖励提升21.6个百分点，较稀疏基线提升50.0个百分点，标准差由34.4%降至0.5%，显著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最优规划性能的同时获得噪声环境下的感知鲁棒性。在20×20地图上，三合一（CAT+耦合+ASGS）训练成功率为97.7%±0.5%（3个种子），与CRF+ASGS（97.7%±0.8%）持平；在30×30地图上为95.2%±1.6%（3个种子），与CRF+ASGS（96.8%±0.5%）基本持平；Greedy成功率均稳定为100%。CAT作为可插拔模块，在不损害干净地图规划质量的前提下，在稀疏障碍地图（20×20）的噪声环境下将感知鲁棒性提升约17个百分点。</w:t>
      </w:r>
    </w:p>
    <w:p>
      <w:r>
        <w:rPr>
          <w:rFonts w:ascii="宋体" w:hAnsi="宋体" w:eastAsia="宋体"/>
          <w:b w:val="0"/>
          <w:sz w:val="24"/>
        </w:rPr>
        <w:t>本文的组织结构如下：第2节介绍相关工作和DQN算法的基本原理；第3节详细阐述耦合奖励函数、Cross-Attention Transformer网络结构和自适应安全引导策略三个改进方法的设计细节；第4节给出仿真实验设置、对比结果和消融分析；第5节总结全文并展望未来工作。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深度强化学习将感知与决策相结合，已在栅格路径规划中得到广泛应用。Mnih等[7]提出的DQN通过经验回放与目标网络解决了Q-learning在复杂状态空间中的收敛问题；Van Hasselt等[21]提出的Double DQN通过解耦动作选择与价值评估降低Q值过估计；Wang等[22]提出的Dueling DQN将Q值分解为状态价值与动作优势，提升了价值估计的稳定性；Schaul等[23]提出的优先经验回放（PER）按时序差分误差采样，提高样本利用效率。在国内研究中，谢天等[8]、于效民等[9]分别将改进DQN应用于移动机器人路径规划，验证了深度强化学习方法在未知环境下学习策略的可行性；张磊等[24]通过改进深度双Q网络提升了栅格环境下的路径规划成功率；倪培龙等[19]将A*启发信息与Double DQN结合，改善了早期探索效率。上述方法主要从算法框架层面改进，未系统考虑奖励引导、感知表征与探索策略三者之间的协同。</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一致性与局部开阔度引入奖励信号，使DQN不仅学习“更接近目标”，还学习“沿正确方向、在开阔区域接近目标”。</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epsilon，温海骏等[12]与张君等[15]利用人工势场引导动作选取，但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gamma)。其中状态空间S包含11维特征：目标相对位置(dx, dy)、目标距离(dist)以及8个方向的障碍标志(obs0~obs7)；动作空间A包含8个方向（上、下、左、右及四个对角方向）；P为状态转移概率；R为奖励函数；gamma为折扣因子。</w:t>
      </w:r>
    </w:p>
    <w:p>
      <w:r>
        <w:rPr>
          <w:rFonts w:ascii="宋体" w:hAnsi="宋体" w:eastAsia="宋体"/>
          <w:b w:val="0"/>
          <w:sz w:val="24"/>
        </w:rPr>
        <w:t>DQN利用深度神经网络Q(s,a;theta)逼近最优动作价值函数，通过最小化时序差分误差更新网络参数。其中theta-为目标网络参数，周期性地从当前网络复制。</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r>
        <w:rPr>
          <w:rFonts w:ascii="宋体" w:hAnsi="宋体" w:eastAsia="宋体"/>
          <w:b w:val="0"/>
          <w:sz w:val="24"/>
        </w:rPr>
        <w:t>R_total = r_dist + r_align + r_open</w:t>
      </w:r>
    </w:p>
    <w:p>
      <w:r>
        <w:rPr>
          <w:rFonts w:ascii="黑体" w:hAnsi="黑体" w:eastAsia="黑体"/>
          <w:b/>
          <w:sz w:val="24"/>
        </w:rPr>
        <w:t>3.2.1 距离进度奖励</w:t>
      </w:r>
    </w:p>
    <w:p>
      <w:r>
        <w:rPr>
          <w:rFonts w:ascii="宋体" w:hAnsi="宋体" w:eastAsia="宋体"/>
          <w:b w:val="0"/>
          <w:sz w:val="24"/>
        </w:rPr>
        <w:t>r_dist = (d_{t-1} - d_t) * beta</w:t>
      </w:r>
    </w:p>
    <w:p>
      <w:r>
        <w:rPr>
          <w:rFonts w:ascii="宋体" w:hAnsi="宋体" w:eastAsia="宋体"/>
          <w:b w:val="0"/>
          <w:sz w:val="24"/>
        </w:rPr>
        <w:t>其中d_t为t时刻机器人与目标点的欧氏距离，beta=2.0为距离奖励系数。该奖励保留传统距离奖励的核心思想，鼓励机器人趋近目标。</w:t>
      </w:r>
    </w:p>
    <w:p>
      <w:r>
        <w:rPr>
          <w:rFonts w:ascii="黑体" w:hAnsi="黑体" w:eastAsia="黑体"/>
          <w:b/>
          <w:sz w:val="24"/>
        </w:rPr>
        <w:t>3.2.2 方向对齐奖励</w:t>
      </w:r>
    </w:p>
    <w:p>
      <w:r>
        <w:rPr>
          <w:rFonts w:ascii="宋体" w:hAnsi="宋体" w:eastAsia="宋体"/>
          <w:b w:val="0"/>
          <w:sz w:val="24"/>
        </w:rPr>
        <w:t>r_align = alpha * cos(theta - theta_goal)</w:t>
      </w:r>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theta_goal)约等于1，获得正向奖励；当机器人背离子目标方向移动时，获得负向奖励。与距离奖励的区别在于：距离奖励只关注"是否更近"，而方向对齐奖励关注"是否走对了方向"。</w:t>
      </w:r>
    </w:p>
    <w:p>
      <w:r>
        <w:rPr>
          <w:rFonts w:ascii="黑体" w:hAnsi="黑体" w:eastAsia="黑体"/>
          <w:b/>
          <w:sz w:val="24"/>
        </w:rPr>
        <w:t>3.2.3 局部开阔度奖励</w:t>
      </w:r>
    </w:p>
    <w:p>
      <w:r>
        <w:rPr>
          <w:rFonts w:ascii="宋体" w:hAnsi="宋体" w:eastAsia="宋体"/>
          <w:b w:val="0"/>
          <w:sz w:val="24"/>
        </w:rPr>
        <w:t>r_open = gamma * (1 - N_obs / 9)</w:t>
      </w:r>
    </w:p>
    <w:p>
      <w:r>
        <w:rPr>
          <w:rFonts w:ascii="宋体" w:hAnsi="宋体" w:eastAsia="宋体"/>
          <w:b w:val="0"/>
          <w:sz w:val="24"/>
        </w:rPr>
        <w:t>其中gamma=0.3为开阔度系数；N_obs为子目标周围3x3邻域内的障碍物网格数。当子目标周围无障碍物时，openness=1，获得最大奖励0.3；当子目标周围充满障碍物时，openness=0，奖励为零。该奖励引导机器人选择"虽然当前步距离变化不大，但下一步选择更多"的安全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传统MLP将目标信息与障碍信息混合在同一特征空间，难以区分两个本质不同的推理任务。为此，本文提出CAT-DQN，其结构如下：</w:t>
      </w:r>
    </w:p>
    <w:p>
      <w:r>
        <w:rPr>
          <w:rFonts w:ascii="宋体" w:hAnsi="宋体" w:eastAsia="宋体"/>
          <w:b w:val="0"/>
          <w:sz w:val="24"/>
        </w:rPr>
        <w:t>（1）双分支输入：将11维状态拆分为目标分支（dx, dy, dist）和障碍分支（obs0~obs7）。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（3）交叉注意力融合：Agent-Goal分支作为Query，主动查询Obstacle分支的障碍物分布（Key/Value），实现目标导向与障碍规避的协同决策。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该双分支交叉注意力结构通过分离编码与交叉融合，使网络能够分别学习"目标在哪里"与"哪条路被挡住"两类推理，更符合路径规划的认知逻辑，并在噪声环境下借助5步历史信息纠正传感器噪声干扰。</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在探索阶段，传统epsilon-greedy对所有方向等概率随机选择，无视障碍信息。本文根据各方向的安全程度分配选择概率：</w:t>
      </w:r>
    </w:p>
    <w:p>
      <w:r>
        <w:rPr>
          <w:rFonts w:ascii="宋体" w:hAnsi="宋体" w:eastAsia="宋体"/>
          <w:b w:val="0"/>
          <w:sz w:val="24"/>
        </w:rPr>
        <w:t>P(a_i) = w_i / sum(w_j),  w_i = 0.1 if obs_i = 1 else 1.0</w:t>
      </w:r>
    </w:p>
    <w:p>
      <w:r>
        <w:rPr>
          <w:rFonts w:ascii="宋体" w:hAnsi="宋体" w:eastAsia="宋体"/>
          <w:b w:val="0"/>
          <w:sz w:val="24"/>
        </w:rPr>
        <w:t>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r>
        <w:rPr>
          <w:rFonts w:ascii="宋体" w:hAnsi="宋体" w:eastAsia="宋体"/>
          <w:b w:val="0"/>
          <w:sz w:val="24"/>
        </w:rPr>
        <w:t>Q'(s, a_i) = Q(s, a_i) - lambda * obs_i</w:t>
      </w:r>
    </w:p>
    <w:p>
      <w:r>
        <w:rPr>
          <w:rFonts w:ascii="宋体" w:hAnsi="宋体" w:eastAsia="宋体"/>
          <w:b w:val="0"/>
          <w:sz w:val="24"/>
        </w:rPr>
        <w:t>其中lambda为修正强度系数，其取值根据训练进度动态调整：</w:t>
      </w:r>
    </w:p>
    <w:p>
      <w:r>
        <w:rPr>
          <w:rFonts w:ascii="宋体" w:hAnsi="宋体" w:eastAsia="宋体"/>
          <w:b w:val="0"/>
          <w:sz w:val="24"/>
        </w:rPr>
        <w:t>lambda = 5.0 + 10.0 * (k / K)</w:t>
      </w:r>
    </w:p>
    <w:p>
      <w:r>
        <w:rPr>
          <w:rFonts w:ascii="宋体" w:hAnsi="宋体" w:eastAsia="宋体"/>
          <w:b w:val="0"/>
          <w:sz w:val="24"/>
        </w:rPr>
        <w:t>其中k为当前训练轮数，K为总训练轮数。训练前期，网络对环境认识尚不充分，lambda取值较小（约5），允许选择不安全方向进行必要的探索；训练后期，网络已基本收敛，lambda取值较大（约15），有效压制不安全方向，确保最终策略的安全性。</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lambda（默认15.0）的Q值修正，与训练利用阶段的决策规则一致。</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：采用20x20和30x30两种栅格地图。20x20地图包含38个障碍物（密度9.5%），起点(1,1)，终点(18,18)；30x30地图包含135个障碍物（密度15%，含三层屏障），起点(2,2)，终点(28,28)。</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稀疏基线（S0）：稀疏奖励（到达+10/碰撞-1/其他0），MLP网络</w:t>
      </w:r>
    </w:p>
    <w:p>
      <w:pPr>
        <w:pStyle w:val="ListBullet"/>
      </w:pPr>
      <w:r>
        <w:rPr>
          <w:rFonts w:ascii="宋体" w:hAnsi="宋体" w:eastAsia="宋体"/>
          <w:b w:val="0"/>
          <w:sz w:val="24"/>
        </w:rPr>
        <w:t>稀疏+ASGS（S0A）：稀疏奖励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耦合+ASGS（E1A）：核心方法（不含CAT）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三合一（E1AC）：CAT + 耦合奖励 + ASGS（完整方法）</w:t>
      </w:r>
    </w:p>
    <w:p>
      <w:r>
        <w:rPr>
          <w:rFonts w:ascii="宋体" w:hAnsi="宋体" w:eastAsia="宋体"/>
          <w:b/>
          <w:sz w:val="24"/>
        </w:rPr>
        <w:t>超参数</w:t>
      </w:r>
      <w:r>
        <w:rPr>
          <w:rFonts w:ascii="宋体" w:hAnsi="宋体" w:eastAsia="宋体"/>
          <w:b w:val="0"/>
          <w:sz w:val="24"/>
        </w:rPr>
        <w:t>：学习率0.001，批量大小128，折扣因子0.9，epsilon从0.9衰减至0.05（衰减因子0.997），目标网络软更新系数0.005，经验回放池容量30000，训练轮数10000，最大步数20x20为400、30x30为500。</w:t>
      </w:r>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即论文中的规划成功率）、测试成功率（训练完成后纯贪心策略200轮测试成功率；对ASGS方法，贪心选择时按最终lambda=15对不安全方向施加Q值软性惩罚，与算法决策规则一致）、路径长度。</w:t>
      </w:r>
    </w:p>
    <w:p>
      <w:r>
        <w:rPr>
          <w:rFonts w:ascii="宋体" w:hAnsi="宋体" w:eastAsia="宋体"/>
          <w:b/>
          <w:sz w:val="24"/>
        </w:rPr>
        <w:t>评估方式</w:t>
      </w:r>
      <w:r>
        <w:rPr>
          <w:rFonts w:ascii="宋体" w:hAnsi="宋体" w:eastAsia="宋体"/>
          <w:b w:val="0"/>
          <w:sz w:val="24"/>
        </w:rPr>
        <w:t>：核心实验采用3个不同随机种子重复训练，结果以均值±标准差表示；补充实验（S0A、E2、A1、A2）以代表性单次运行展示。</w:t>
      </w:r>
    </w:p>
    <w:p>
      <w:r>
        <w:rPr>
          <w:rFonts w:ascii="黑体" w:hAnsi="黑体" w:eastAsia="黑体"/>
          <w:b/>
          <w:sz w:val="24"/>
        </w:rPr>
        <w:t>4.2 20x20地图实验结果</w:t>
      </w:r>
    </w:p>
    <w:p>
      <w:r>
        <w:rPr>
          <w:rFonts w:ascii="宋体" w:hAnsi="宋体" w:eastAsia="宋体"/>
          <w:b w:val="0"/>
          <w:sz w:val="24"/>
        </w:rPr>
        <w:t>表1 20x20地图实验结果（均值±标准差，3个种子）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稀疏+ASGS</w:t>
            </w:r>
          </w:p>
        </w:tc>
        <w:tc>
          <w:tcPr>
            <w:tcW w:type="dxa" w:w="1417"/>
          </w:tcPr>
          <w:p>
            <w:r/>
            <w:r>
              <w:rPr>
                <w:rFonts w:ascii="宋体" w:hAnsi="宋体" w:eastAsia="宋体"/>
                <w:b w:val="0"/>
                <w:sz w:val="21"/>
              </w:rPr>
              <w:t>1869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97.5%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2150</w:t>
            </w:r>
          </w:p>
        </w:tc>
        <w:tc>
          <w:tcPr>
            <w:tcW w:type="dxa" w:w="1417"/>
          </w:tcPr>
          <w:p>
            <w:r/>
            <w:r>
              <w:rPr>
                <w:rFonts w:ascii="宋体" w:hAnsi="宋体" w:eastAsia="宋体"/>
                <w:b w:val="0"/>
                <w:sz w:val="21"/>
              </w:rPr>
              <w:t>102.8</w:t>
            </w:r>
          </w:p>
        </w:tc>
        <w:tc>
          <w:tcPr>
            <w:tcW w:type="dxa" w:w="1417"/>
          </w:tcPr>
          <w:p>
            <w:r/>
            <w:r>
              <w:rPr>
                <w:rFonts w:ascii="宋体" w:hAnsi="宋体" w:eastAsia="宋体"/>
                <w:b w:val="0"/>
                <w:sz w:val="21"/>
              </w:rPr>
              <w:t>83.0%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2006</w:t>
            </w:r>
          </w:p>
        </w:tc>
        <w:tc>
          <w:tcPr>
            <w:tcW w:type="dxa" w:w="1417"/>
          </w:tcPr>
          <w:p>
            <w:r/>
            <w:r>
              <w:rPr>
                <w:rFonts w:ascii="宋体" w:hAnsi="宋体" w:eastAsia="宋体"/>
                <w:b w:val="0"/>
                <w:sz w:val="21"/>
              </w:rPr>
              <w:t>100.8</w:t>
            </w:r>
          </w:p>
        </w:tc>
        <w:tc>
          <w:tcPr>
            <w:tcW w:type="dxa" w:w="1417"/>
          </w:tcPr>
          <w:p>
            <w:r/>
            <w:r>
              <w:rPr>
                <w:rFonts w:ascii="宋体" w:hAnsi="宋体" w:eastAsia="宋体"/>
                <w:b w:val="0"/>
                <w:sz w:val="21"/>
              </w:rPr>
              <w:t>82.0%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1466</w:t>
            </w:r>
          </w:p>
        </w:tc>
        <w:tc>
          <w:tcPr>
            <w:tcW w:type="dxa" w:w="1417"/>
          </w:tcPr>
          <w:p>
            <w:r/>
            <w:r>
              <w:rPr>
                <w:rFonts w:ascii="宋体" w:hAnsi="宋体" w:eastAsia="宋体"/>
                <w:b w:val="0"/>
                <w:sz w:val="21"/>
              </w:rPr>
              <w:t>109.5</w:t>
            </w:r>
          </w:p>
        </w:tc>
        <w:tc>
          <w:tcPr>
            <w:tcW w:type="dxa" w:w="1417"/>
          </w:tcPr>
          <w:p>
            <w:r/>
            <w:r>
              <w:rPr>
                <w:rFonts w:ascii="宋体" w:hAnsi="宋体" w:eastAsia="宋体"/>
                <w:b w:val="0"/>
                <w:sz w:val="21"/>
              </w:rPr>
              <w:t>87.5%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x20地图上收敛最快（926轮），训练成功率为97.7%±0.8%；加入CAT后的三合一（CAT+耦合+ASGS）训练成功率为97.7%±0.5%，与E1A持平，说明CAT在干净地图上不损害性能，其价值体现在噪声鲁棒性。两者较稀疏基线均提升17个百分点，较耦合奖励提升约12.7个百分点。耦合奖励较稀疏基线收敛快4.8倍。</w:t>
      </w:r>
    </w:p>
    <w:p>
      <w:r>
        <w:rPr>
          <w:rFonts w:ascii="宋体" w:hAnsi="宋体" w:eastAsia="宋体"/>
          <w:b w:val="0"/>
          <w:sz w:val="24"/>
        </w:rPr>
        <w:t>各方法路径对比与奖励收敛曲线分别如图1、图2所示。</w:t>
      </w:r>
    </w:p>
    <w:p>
      <w:pPr>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fig_paths_20x20_all.png"/>
                    <pic:cNvPicPr/>
                  </pic:nvPicPr>
                  <pic:blipFill>
                    <a:blip r:embed="rId9"/>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图1 20×20地图各方法路径对比</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_reward_20x20_all.png"/>
                    <pic:cNvPicPr/>
                  </pic:nvPicPr>
                  <pic:blipFill>
                    <a:blip r:embed="rId10"/>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图2 20×20地图奖励收敛曲线</w:t>
      </w:r>
    </w:p>
    <w:p>
      <w:r>
        <w:rPr>
          <w:rFonts w:ascii="黑体" w:hAnsi="黑体" w:eastAsia="黑体"/>
          <w:b/>
          <w:sz w:val="24"/>
        </w:rPr>
        <w:t>4.3 30x30地图实验结果</w:t>
      </w:r>
    </w:p>
    <w:p>
      <w:r>
        <w:rPr>
          <w:rFonts w:ascii="宋体" w:hAnsi="宋体" w:eastAsia="宋体"/>
          <w:b w:val="0"/>
          <w:sz w:val="24"/>
        </w:rPr>
        <w:t>表2 30x30地图实验结果（均值±标准差，3个种子）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稀疏+ASGS</w:t>
            </w:r>
          </w:p>
        </w:tc>
        <w:tc>
          <w:tcPr>
            <w:tcW w:type="dxa" w:w="1417"/>
          </w:tcPr>
          <w:p>
            <w:r/>
            <w:r>
              <w:rPr>
                <w:rFonts w:ascii="宋体" w:hAnsi="宋体" w:eastAsia="宋体"/>
                <w:b w:val="0"/>
                <w:sz w:val="21"/>
              </w:rPr>
              <w:t>7731</w:t>
            </w:r>
          </w:p>
        </w:tc>
        <w:tc>
          <w:tcPr>
            <w:tcW w:type="dxa" w:w="1417"/>
          </w:tcPr>
          <w:p>
            <w:r/>
            <w:r>
              <w:rPr>
                <w:rFonts w:ascii="宋体" w:hAnsi="宋体" w:eastAsia="宋体"/>
                <w:b w:val="0"/>
                <w:sz w:val="21"/>
              </w:rPr>
              <w:t>4.1</w:t>
            </w:r>
          </w:p>
        </w:tc>
        <w:tc>
          <w:tcPr>
            <w:tcW w:type="dxa" w:w="1417"/>
          </w:tcPr>
          <w:p>
            <w:r/>
            <w:r>
              <w:rPr>
                <w:rFonts w:ascii="宋体" w:hAnsi="宋体" w:eastAsia="宋体"/>
                <w:b w:val="0"/>
                <w:sz w:val="21"/>
              </w:rPr>
              <w:t>1.5%</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7130</w:t>
            </w:r>
          </w:p>
        </w:tc>
        <w:tc>
          <w:tcPr>
            <w:tcW w:type="dxa" w:w="1417"/>
          </w:tcPr>
          <w:p>
            <w:r/>
            <w:r>
              <w:rPr>
                <w:rFonts w:ascii="宋体" w:hAnsi="宋体" w:eastAsia="宋体"/>
                <w:b w:val="0"/>
                <w:sz w:val="21"/>
              </w:rPr>
              <w:t>127.3</w:t>
            </w:r>
          </w:p>
        </w:tc>
        <w:tc>
          <w:tcPr>
            <w:tcW w:type="dxa" w:w="1417"/>
          </w:tcPr>
          <w:p>
            <w:r/>
            <w:r>
              <w:rPr>
                <w:rFonts w:ascii="宋体" w:hAnsi="宋体" w:eastAsia="宋体"/>
                <w:b w:val="0"/>
                <w:sz w:val="21"/>
              </w:rPr>
              <w:t>85.0%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2778</w:t>
            </w:r>
          </w:p>
        </w:tc>
        <w:tc>
          <w:tcPr>
            <w:tcW w:type="dxa" w:w="1417"/>
          </w:tcPr>
          <w:p>
            <w:r/>
            <w:r>
              <w:rPr>
                <w:rFonts w:ascii="宋体" w:hAnsi="宋体" w:eastAsia="宋体"/>
                <w:b w:val="0"/>
                <w:sz w:val="21"/>
              </w:rPr>
              <w:t>130.6</w:t>
            </w:r>
          </w:p>
        </w:tc>
        <w:tc>
          <w:tcPr>
            <w:tcW w:type="dxa" w:w="1417"/>
          </w:tcPr>
          <w:p>
            <w:r/>
            <w:r>
              <w:rPr>
                <w:rFonts w:ascii="宋体" w:hAnsi="宋体" w:eastAsia="宋体"/>
                <w:b w:val="0"/>
                <w:sz w:val="21"/>
              </w:rPr>
              <w:t>82.5%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1915</w:t>
            </w:r>
          </w:p>
        </w:tc>
        <w:tc>
          <w:tcPr>
            <w:tcW w:type="dxa" w:w="1417"/>
          </w:tcPr>
          <w:p>
            <w:r/>
            <w:r>
              <w:rPr>
                <w:rFonts w:ascii="宋体" w:hAnsi="宋体" w:eastAsia="宋体"/>
                <w:b w:val="0"/>
                <w:sz w:val="21"/>
              </w:rPr>
              <w:t>136.7</w:t>
            </w:r>
          </w:p>
        </w:tc>
        <w:tc>
          <w:tcPr>
            <w:tcW w:type="dxa" w:w="1417"/>
          </w:tcPr>
          <w:p>
            <w:r/>
            <w:r>
              <w:rPr>
                <w:rFonts w:ascii="宋体" w:hAnsi="宋体" w:eastAsia="宋体"/>
                <w:b w:val="0"/>
                <w:sz w:val="21"/>
              </w:rPr>
              <w:t>79.0%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x30地图上，稀疏基线极不稳定（训练成功率46.8%±34.4%，3次中有1次完全失败），而核心方法（耦合+ASGS）稳定达到96.8%±0.5%。三合一（CAT+耦合+ASGS，3个seed）训练成功率为95.2%±1.6%，与核心方法基本持平（略低1.6个百分点但保持在95%以上），验证CAT在干净地图上不损害30x30的规划性能。耦合奖励较稀疏基线训练成功率提升28.4个百分点，测试成功率从66.7%提升至100%。ASGS单独与稀疏奖励结合时在复杂地图上失败，但与耦合奖励结合时效果最佳，验证了两个改进的互补性。</w:t>
      </w:r>
    </w:p>
    <w:p>
      <w:r>
        <w:rPr>
          <w:rFonts w:ascii="宋体" w:hAnsi="宋体" w:eastAsia="宋体"/>
          <w:b w:val="0"/>
          <w:sz w:val="24"/>
        </w:rPr>
        <w:t>各方法路径对比如图3所示，各方法奖励收敛曲线如图4所示。</w:t>
      </w:r>
    </w:p>
    <w:p>
      <w:pPr>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fig_paths_30x30_all.png"/>
                    <pic:cNvPicPr/>
                  </pic:nvPicPr>
                  <pic:blipFill>
                    <a:blip r:embed="rId11"/>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图3 30×30地图各方法路径对比</w:t>
      </w:r>
    </w:p>
    <w:p>
      <w:pPr>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fig_reward_30x30_all.png"/>
                    <pic:cNvPicPr/>
                  </pic:nvPicPr>
                  <pic:blipFill>
                    <a:blip r:embed="rId12"/>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图4 30×30地图奖励收敛曲线</w:t>
      </w:r>
    </w:p>
    <w:p>
      <w:r>
        <w:rPr>
          <w:rFonts w:ascii="黑体" w:hAnsi="黑体" w:eastAsia="黑体"/>
          <w:b/>
          <w:sz w:val="24"/>
        </w:rPr>
        <w:t>4.4 与改进DQN算法对比</w:t>
      </w:r>
    </w:p>
    <w:p>
      <w:r>
        <w:rPr>
          <w:rFonts w:ascii="宋体" w:hAnsi="宋体" w:eastAsia="宋体"/>
          <w:b w:val="0"/>
          <w:sz w:val="24"/>
        </w:rPr>
        <w:t>为验证核心方法（E1A）相对于主流DQN改进算法的性能，在20x20和30x30地图上将其与DDQN、Dueling DQN和PER DQN进行对比。所有对比方法均采用与本文一致的耦合奖励和MLP网络，每种方法使用3个随机种子重复训练，对比指标为训练时间、收敛轮数、规划成功率和路径长度，结果如表3所示。</w:t>
      </w:r>
    </w:p>
    <w:p>
      <w:r>
        <w:rPr>
          <w:rFonts w:ascii="宋体" w:hAnsi="宋体" w:eastAsia="宋体"/>
          <w:b w:val="0"/>
          <w:sz w:val="24"/>
        </w:rPr>
        <w:t>表3 与改进DQN算法对比（均值±标准差，3个种子）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规划成功率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36.0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由表3可知，核心方法E1A（以及加入CAT的三合一E1AC）的规划成功率在两张地图上均为最高：20x20地图上E1A为97.7%±0.8%，三合一E1AC为97.7%±0.5%，分别较DDQN、Dueling DQN和PER DQN提升约14.2、16.5和13.0个百分点；30x30地图上E1A为96.8%±0.5%，三合一E1AC为95.2%±1.6%，分别较三者提升约13-15个百分点，且E1A标准差仅0.5%，训练稳定性显著优于其他方法。在收敛速度方面，E1A在20x20地图上收敛最快（926±45轮），较DDQN、Dueling DQN和PER DQN分别快约2.3倍、1.8倍和2.0倍；在30x30地图上，E1A的收敛轮数均值为3663（其中两个种子约2000轮收敛，一个种子因奖励持续上升而较晚达到95%阈值），且Best50奖励（206.4±45.7）远高于所有对比方法，说明其学到了更高的价值估计。路径长度方面，E1A在两张地图上均与最短路径基本一致（22步与33.7步），三合一E1AC路径均为22步（20x20）和33步（30x30），未因加入CAT或安全引导而牺牲路径质量。综合来看，三合一在保持与E1A基本相当的规划性能的同时，通过CAT获得了噪声环境下的感知鲁棒性。</w:t>
      </w:r>
    </w:p>
    <w:p>
      <w:r>
        <w:rPr>
          <w:rFonts w:ascii="黑体" w:hAnsi="黑体" w:eastAsia="黑体"/>
          <w:b/>
          <w:sz w:val="24"/>
        </w:rPr>
        <w:t>4.5 与传统算法对比</w:t>
      </w:r>
    </w:p>
    <w:p>
      <w:r>
        <w:rPr>
          <w:rFonts w:ascii="宋体" w:hAnsi="宋体" w:eastAsia="宋体"/>
          <w:b w:val="0"/>
          <w:sz w:val="24"/>
        </w:rPr>
        <w:t>为验证本文核心方法（E1A）相对于传统路径规划算法的性能，在20x20和30x30地图上将其与RRT算法和A*算法进行比较，对比指标为路径规划步数和拐点个数，结果如表4所示。</w:t>
      </w:r>
    </w:p>
    <w:p>
      <w:r>
        <w:rPr>
          <w:rFonts w:ascii="宋体" w:hAnsi="宋体" w:eastAsia="宋体"/>
          <w:b w:val="0"/>
          <w:sz w:val="24"/>
        </w:rPr>
        <w:t>表4 与传统算法对比</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20x20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30x30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x20地图上，E1A相比RRT算法路径步数缩短70.4%；在30x30地图上，E1A相比RRT算法路径步数缩短68.1%，说明本文方法相较随机采样算法具有显著的路径质量优势。在路径步数方面，E1A在两张地图上与最优算法A*完全一致（20x20为22步、30x30为33步），达到全局最优路径长度。在路径平滑性方面，30x30地图上E1A的拐点比A*少2个（10 vs 12），路径更为平滑；20x20地图上E1A的拐点略多于A*（7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强化学习，能够在未知环境、传感器噪声和动态障碍场景下通过训练学习到的策略直接决策，无需重新规划，具备传统算法不具备的环境适应能力。</w:t>
      </w:r>
    </w:p>
    <w:p>
      <w:r>
        <w:rPr>
          <w:rFonts w:ascii="宋体" w:hAnsi="宋体" w:eastAsia="宋体"/>
          <w:b w:val="0"/>
          <w:sz w:val="24"/>
        </w:rPr>
        <w:t>路径对比如图5所示。</w:t>
      </w:r>
    </w:p>
    <w:p>
      <w:pPr>
        <w:jc w:val="center"/>
      </w:pPr>
      <w:r>
        <w:drawing>
          <wp:inline xmlns:a="http://schemas.openxmlformats.org/drawingml/2006/main" xmlns:pic="http://schemas.openxmlformats.org/drawingml/2006/picture">
            <wp:extent cx="5486400" cy="1828800"/>
            <wp:docPr id="5" name="Picture 5"/>
            <wp:cNvGraphicFramePr>
              <a:graphicFrameLocks noChangeAspect="1"/>
            </wp:cNvGraphicFramePr>
            <a:graphic>
              <a:graphicData uri="http://schemas.openxmlformats.org/drawingml/2006/picture">
                <pic:pic>
                  <pic:nvPicPr>
                    <pic:cNvPr id="0" name="fig_trad_compare_20x20.png"/>
                    <pic:cNvPicPr/>
                  </pic:nvPicPr>
                  <pic:blipFill>
                    <a:blip r:embed="rId13"/>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图5(a) 20×20地图与传统算法对比</w:t>
      </w:r>
    </w:p>
    <w:p>
      <w:pPr>
        <w:jc w:val="center"/>
      </w:pPr>
      <w:r>
        <w:drawing>
          <wp:inline xmlns:a="http://schemas.openxmlformats.org/drawingml/2006/main" xmlns:pic="http://schemas.openxmlformats.org/drawingml/2006/picture">
            <wp:extent cx="5486400" cy="1828800"/>
            <wp:docPr id="6" name="Picture 6"/>
            <wp:cNvGraphicFramePr>
              <a:graphicFrameLocks noChangeAspect="1"/>
            </wp:cNvGraphicFramePr>
            <a:graphic>
              <a:graphicData uri="http://schemas.openxmlformats.org/drawingml/2006/picture">
                <pic:pic>
                  <pic:nvPicPr>
                    <pic:cNvPr id="0" name="fig_trad_compare_30x30.png"/>
                    <pic:cNvPicPr/>
                  </pic:nvPicPr>
                  <pic:blipFill>
                    <a:blip r:embed="rId14"/>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图5(b) 30×30地图与传统算法对比</w:t>
      </w:r>
    </w:p>
    <w:p>
      <w:r>
        <w:rPr>
          <w:rFonts w:ascii="黑体" w:hAnsi="黑体" w:eastAsia="黑体"/>
          <w:b/>
          <w:sz w:val="24"/>
        </w:rPr>
        <w:t>4.6 消融实验</w:t>
      </w:r>
    </w:p>
    <w:p>
      <w:r>
        <w:rPr>
          <w:rFonts w:ascii="宋体" w:hAnsi="宋体" w:eastAsia="宋体"/>
          <w:b w:val="0"/>
          <w:sz w:val="24"/>
        </w:rPr>
        <w:t>在20x20地图上：完整耦合奖励Best50为107.8±0.5；去掉开阔度后降至102.8（下降4.3%）；去掉方向对齐后降至100.8（下降6.3%）。在30x30地图上：完整耦合奖励Best50为140.8；去掉开阔度后降至127.3（下降13.5）；去掉方向对齐后降至130.6（下降10.2）。两个奖励分量在两张地图上均对性能有正贡献，方向对齐的贡献略大于开阔度。</w:t>
      </w:r>
    </w:p>
    <w:p>
      <w:r>
        <w:rPr>
          <w:rFonts w:ascii="黑体" w:hAnsi="黑体" w:eastAsia="黑体"/>
          <w:b/>
          <w:sz w:val="24"/>
        </w:rPr>
        <w:t>4.7 噪声鲁棒性实验</w:t>
      </w:r>
    </w:p>
    <w:p>
      <w:r>
        <w:rPr>
          <w:rFonts w:ascii="宋体" w:hAnsi="宋体" w:eastAsia="宋体"/>
          <w:b w:val="0"/>
          <w:sz w:val="24"/>
        </w:rPr>
        <w:t>为验证CAT-DQN在传感器噪声下的鲁棒性，在20x20地图上使用干净训练模型，在不同噪声水平下进行200轮Greedy测试：</w:t>
      </w:r>
    </w:p>
    <w:p>
      <w:r>
        <w:rPr>
          <w:rFonts w:ascii="宋体" w:hAnsi="宋体" w:eastAsia="宋体"/>
          <w:b w:val="0"/>
          <w:sz w:val="24"/>
        </w:rPr>
        <w:t>表5 干净训练模型在传感器噪声下的规划成功率（均值±标准差，5个随机种子，每个种子200轮Greedy测试）</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进一步地，在20%噪声环境中训练模型后，30%噪声下CAT（98.0%）仍比MLP（94.5%）高3.5个百分点。噪声鲁棒性对比如图6所示。</w:t>
      </w:r>
    </w:p>
    <w:p>
      <w:pPr>
        <w:jc w:val="center"/>
      </w:pPr>
      <w:r>
        <w:drawing>
          <wp:inline xmlns:a="http://schemas.openxmlformats.org/drawingml/2006/main" xmlns:pic="http://schemas.openxmlformats.org/drawingml/2006/picture">
            <wp:extent cx="5486400" cy="1959429"/>
            <wp:docPr id="7" name="Picture 7"/>
            <wp:cNvGraphicFramePr>
              <a:graphicFrameLocks noChangeAspect="1"/>
            </wp:cNvGraphicFramePr>
            <a:graphic>
              <a:graphicData uri="http://schemas.openxmlformats.org/drawingml/2006/picture">
                <pic:pic>
                  <pic:nvPicPr>
                    <pic:cNvPr id="0" name="fig_noise_robustness.png"/>
                    <pic:cNvPicPr/>
                  </pic:nvPicPr>
                  <pic:blipFill>
                    <a:blip r:embed="rId15"/>
                    <a:stretch>
                      <a:fillRect/>
                    </a:stretch>
                  </pic:blipFill>
                  <pic:spPr>
                    <a:xfrm>
                      <a:off x="0" y="0"/>
                      <a:ext cx="5486400" cy="1959429"/>
                    </a:xfrm>
                    <a:prstGeom prst="rect"/>
                  </pic:spPr>
                </pic:pic>
              </a:graphicData>
            </a:graphic>
          </wp:inline>
        </w:drawing>
      </w:r>
    </w:p>
    <w:p>
      <w:pPr>
        <w:jc w:val="center"/>
      </w:pPr>
      <w:r>
        <w:rPr>
          <w:rFonts w:ascii="宋体" w:hAnsi="宋体" w:eastAsia="宋体"/>
          <w:b w:val="0"/>
          <w:sz w:val="21"/>
        </w:rPr>
        <w:t>图6 噪声鲁棒性对比</w:t>
      </w:r>
    </w:p>
    <w:p>
      <w:r>
        <w:rPr>
          <w:rFonts w:ascii="宋体" w:hAnsi="宋体" w:eastAsia="宋体"/>
          <w:b w:val="0"/>
          <w:sz w:val="24"/>
        </w:rPr>
        <w:t>为考察地图障碍密度对抗噪增益的影响，在障碍密集的30×30地图上采用相同协议（E1 MLP与E2 CAT，均不含ASGS，5个种子）进行了噪声测试。结果表明，CAT与MLP在噪声下的规划成功率基本相当（20%噪声下分别为10.0%与10.9%），未观察到CAT的抗噪增益；且两者在噪声下均以碰撞为主要失效方式。其原因在于：稀疏地图中传感器噪声是影响规划的主要因素，CAT的5步历史可有效滤除噪声干扰；而密集地图中障碍避让本身成为主导瓶颈，历史滤波不再带来额外增益。这表明CAT的抗噪增益与地图障碍密度相关，其在障碍稀疏场景下效果最为显著。</w:t>
      </w:r>
    </w:p>
    <w:p>
      <w:r>
        <w:rPr>
          <w:rFonts w:ascii="黑体" w:hAnsi="黑体" w:eastAsia="黑体"/>
          <w:b/>
          <w:sz w:val="28"/>
        </w:rPr>
        <w:t>5 结论</w:t>
      </w:r>
    </w:p>
    <w:p>
      <w:r>
        <w:rPr>
          <w:rFonts w:ascii="宋体" w:hAnsi="宋体" w:eastAsia="宋体"/>
          <w:b w:val="0"/>
          <w:sz w:val="24"/>
        </w:rPr>
        <w:t>本文针对传统DQN在栅格路径规划中奖励引导不足、探索效率低以及噪声环境下感知能力弱的问题，提出了耦合奖励函数、Cross-Attention Transformer网络结构和自适应安全引导策略三个改进。实验结果表明：</w:t>
      </w:r>
    </w:p>
    <w:p>
      <w:r>
        <w:rPr>
          <w:rFonts w:ascii="宋体" w:hAnsi="宋体" w:eastAsia="宋体"/>
          <w:b w:val="0"/>
          <w:sz w:val="24"/>
        </w:rPr>
        <w:t>（1）耦合奖励通过融合距离进度、方向对齐和局部开阔度三个信号，显著提升了DQN的收敛速度和训练稳定性，在20x20和30x30地图上较稀疏基线收敛速度分别提升约4.8倍和2.6倍。</w:t>
      </w:r>
    </w:p>
    <w:p>
      <w:r>
        <w:rPr>
          <w:rFonts w:ascii="宋体" w:hAnsi="宋体" w:eastAsia="宋体"/>
          <w:b w:val="0"/>
          <w:sz w:val="24"/>
        </w:rPr>
        <w:t>（2）核心方法（耦合+ASGS）在两张地图上的训练成功率分别达到97.7%±0.8%和96.8%±0.5%，规划成功率稳定达到100%，较稀疏基线分别提升17和50个百分点；在此基础上加入CAT的完整方法在干净地图上与核心方法基本持平（20×20为97.7%±0.5%、30×30为95.2%±1.6%），验证了CAT作为感知增强模块的即插即用性。消融实验验证了方向对齐与开阔度两个奖励分量的有效性。</w:t>
      </w:r>
    </w:p>
    <w:p>
      <w:r>
        <w:rPr>
          <w:rFonts w:ascii="宋体" w:hAnsi="宋体" w:eastAsia="宋体"/>
          <w:b w:val="0"/>
          <w:sz w:val="24"/>
        </w:rPr>
        <w:t>（3）CAT-DQN通过双分支交叉注意力架构，在20×20地图的20%传感器噪声下规划成功率较传统MLP提升约17个百分点，展现出面向稀疏障碍场景的感知鲁棒性。</w:t>
      </w:r>
    </w:p>
    <w:p>
      <w:r>
        <w:rPr>
          <w:rFonts w:ascii="宋体" w:hAnsi="宋体" w:eastAsia="宋体"/>
          <w:b w:val="0"/>
          <w:sz w:val="24"/>
        </w:rPr>
        <w:t>本文方法目前以静态栅格地图为主要验证场景，且CAT的抗噪增益主要在障碍稀疏地图上得到验证。未来工作将把所提方法扩展到动态障碍物环境和部分可观测场景，探索在障碍密集场景下进一步提升噪声鲁棒性的方法，并研究与其他深度强化学习算法（如Dueling DQN、Double DQN）的结合。</w:t>
      </w:r>
    </w:p>
    <w:p>
      <w:r>
        <w:rPr>
          <w:rFonts w:ascii="黑体" w:hAnsi="黑体" w:eastAsia="黑体"/>
          <w:b/>
          <w:sz w:val="28"/>
        </w:rPr>
        <w:t>参考文献</w:t>
      </w:r>
    </w:p>
    <w:p>
      <w:r>
        <w:rPr>
          <w:rFonts w:ascii="宋体" w:hAnsi="宋体" w:eastAsia="宋体"/>
          <w:b w:val="0"/>
          <w:sz w:val="24"/>
        </w:rPr>
        <w:t>[1] 吴锦涛. 移动机器人路径规划算法研究综述[J]. (2025).</w:t>
      </w:r>
    </w:p>
    <w:p>
      <w:r>
        <w:rPr>
          <w:rFonts w:ascii="宋体" w:hAnsi="宋体" w:eastAsia="宋体"/>
          <w:b w:val="0"/>
          <w:sz w:val="24"/>
        </w:rPr>
        <w:t>[2] Dijkstra E W. A note on two problems in connexion with graphs[J]. Numerische Mathematik, 1959, 1(1): 269-271.</w:t>
      </w:r>
    </w:p>
    <w:p>
      <w:r>
        <w:rPr>
          <w:rFonts w:ascii="宋体" w:hAnsi="宋体" w:eastAsia="宋体"/>
          <w:b w:val="0"/>
          <w:sz w:val="24"/>
        </w:rPr>
        <w:t>[3] Hart P E, Nilsson N J, Raphael B. A formal basis for the heuristic determination of minimum cost paths[J]. IEEE Transactions on Systems Science and Cybernetics, 1968, 4(2): 100-107.</w:t>
      </w:r>
    </w:p>
    <w:p>
      <w:r>
        <w:rPr>
          <w:rFonts w:ascii="宋体" w:hAnsi="宋体" w:eastAsia="宋体"/>
          <w:b w:val="0"/>
          <w:sz w:val="24"/>
        </w:rPr>
        <w:t>[4] LaValle S M. Rapidly-exploring random trees: A new tool for path planning[R]. Iowa State University, 1998.</w:t>
      </w:r>
    </w:p>
    <w:p>
      <w:r>
        <w:rPr>
          <w:rFonts w:ascii="宋体" w:hAnsi="宋体" w:eastAsia="宋体"/>
          <w:b w:val="0"/>
          <w:sz w:val="24"/>
        </w:rPr>
        <w:t>[5] 李海亮. 基于蚁群算法引导深度Q网络的移动机器人路径规划算法[J]. (2025).</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李奇儒, 闫凯. 基于改进DQN算法的机器人路径规划[J]. 计算机工程, 2023, 49(12): 111-120.</w:t>
      </w:r>
    </w:p>
    <w:p>
      <w:r>
        <w:rPr>
          <w:rFonts w:ascii="宋体" w:hAnsi="宋体" w:eastAsia="宋体"/>
          <w:b w:val="0"/>
          <w:sz w:val="24"/>
        </w:rPr>
        <w:t>[17] 赵威. 基于改进深度强化学习算法的农业机器人路径规划[J]. (2024).</w:t>
      </w:r>
    </w:p>
    <w:p>
      <w:r>
        <w:rPr>
          <w:rFonts w:ascii="宋体" w:hAnsi="宋体" w:eastAsia="宋体"/>
          <w:b w:val="0"/>
          <w:sz w:val="24"/>
        </w:rPr>
        <w:t>[18] 白泽琨. 复杂环境下基于强化学习的自主移动机器人路径规划算法研究[D]. (2025).</w:t>
      </w:r>
    </w:p>
    <w:p>
      <w:r>
        <w:rPr>
          <w:rFonts w:ascii="宋体" w:hAnsi="宋体" w:eastAsia="宋体"/>
          <w:b w:val="0"/>
          <w:sz w:val="24"/>
        </w:rPr>
        <w:t>[19] 倪培龙. 基于改进A-DDQN算法的机器人路径规划[J]. (2025).</w:t>
      </w:r>
    </w:p>
    <w:p>
      <w:r>
        <w:rPr>
          <w:rFonts w:ascii="宋体" w:hAnsi="宋体" w:eastAsia="宋体"/>
          <w:b w:val="0"/>
          <w:sz w:val="24"/>
        </w:rPr>
        <w:t>[20] 付文浩. 基于改进Dueling-DQN的多无人机路径规划算法[J]. (2024).</w:t>
      </w:r>
    </w:p>
    <w:p>
      <w:r>
        <w:rPr>
          <w:rFonts w:ascii="宋体" w:hAnsi="宋体" w:eastAsia="宋体"/>
          <w:b w:val="0"/>
          <w:sz w:val="24"/>
        </w:rPr>
        <w:t>[21] Van Hasselt H, Guez A, Silver D. Deep reinforcement learning with double Q-learning[C]. Proceedings of the AAAI Conference on Artificial Intelligence, 2016, 30(1): 2094-2100.</w:t>
      </w:r>
    </w:p>
    <w:p>
      <w:r>
        <w:rPr>
          <w:rFonts w:ascii="宋体" w:hAnsi="宋体" w:eastAsia="宋体"/>
          <w:b w:val="0"/>
          <w:sz w:val="24"/>
        </w:rPr>
        <w:t>[22] Wang Z, Schaul T, Hessel M, et al. Dueling network architectures for deep reinforcement learning[C]. Proceedings of the 33rd International Conference on Machine Learning, 2016: 1995-2003.</w:t>
      </w:r>
    </w:p>
    <w:p>
      <w:r>
        <w:rPr>
          <w:rFonts w:ascii="宋体" w:hAnsi="宋体" w:eastAsia="宋体"/>
          <w:b w:val="0"/>
          <w:sz w:val="24"/>
        </w:rPr>
        <w:t>[23] Schaul T, Quan J, Antonoglou I, et al. Prioritized experience replay[C]. Proceedings of the 4th International Conference on Learning Representations, 2016.</w:t>
      </w:r>
    </w:p>
    <w:p>
      <w:r>
        <w:rPr>
          <w:rFonts w:ascii="宋体" w:hAnsi="宋体" w:eastAsia="宋体"/>
          <w:b w:val="0"/>
          <w:sz w:val="24"/>
        </w:rPr>
        <w:t>[24] 张磊. 基于改进深度双Q网络的移动机器人路径规划算法[J]. (2024).</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