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实现GoodsVo中ProductVo的嵌套校验</w:t>
      </w:r>
      <w:r>
        <w:rPr>
          <w:rFonts w:hint="eastAsia"/>
          <w:b/>
          <w:bCs/>
          <w:lang w:eastAsia="zh-CN"/>
        </w:rPr>
        <w:t>：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  <w:lang w:eastAsia="zh-CN"/>
        </w:rPr>
        <w:t>如何启用GoodsVo中ProductVo的校验注解：</w:t>
      </w:r>
    </w:p>
    <w:p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为字段开启校验：</w:t>
      </w:r>
    </w:p>
    <w:p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@Valid</w:t>
      </w:r>
    </w:p>
    <w:p>
      <w:pPr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@ApiModelProperty(value = "商品规格")</w:t>
      </w:r>
    </w:p>
    <w:p>
      <w:pPr>
        <w:ind w:firstLine="42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private List&lt;ProductVo&gt; productList;</w:t>
      </w:r>
    </w:p>
    <w:p>
      <w:pPr>
        <w:ind w:firstLine="420"/>
        <w:rPr>
          <w:rFonts w:hint="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2.可控的合法性检查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1.添加分组接口类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2.启用注解处增加分组标记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3.注解处增加分组标记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505960" cy="420560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/>
    <w:p/>
    <w:p/>
    <w:p/>
    <w:p/>
    <w:p>
      <w:pPr>
        <w:rPr>
          <w:rFonts w:hint="eastAsia"/>
        </w:rPr>
      </w:pPr>
    </w:p>
    <w:p>
      <w:pPr>
        <w:ind w:left="840"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ControllerExceptionHandler中注入的httpServletResponse</w:t>
      </w:r>
    </w:p>
    <w:p>
      <w:pPr>
        <w:rPr>
          <w:rFonts w:hint="eastAsia"/>
        </w:rPr>
      </w:pPr>
      <w:r>
        <w:rPr>
          <w:rFonts w:hint="eastAsia"/>
        </w:rPr>
        <w:t>Controller的作用域是单例的，但是其成员变量httpServletResponse的作用域却是原型/请求的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HttpServletResponse从何而来</w:t>
      </w:r>
      <w:r>
        <w:rPr>
          <w:rFonts w:hint="eastAsia"/>
          <w:lang w:eastAsia="zh-CN"/>
        </w:rPr>
        <w:t>：从RequestContextHolder的ThreadLocal&lt;RequestAttributes&gt;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HttpServletResponse何时更新：在接收到HTTP请求后更新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ThreadLocal提供了线程内存储变量的能力，这些变量不同之处在于每一个线程读取的变量是对应的互相独立的。通过get和set方法就可以得到当前线程对应的值。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7025005" cy="3429000"/>
            <wp:effectExtent l="0" t="0" r="444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ascii="Arial" w:hAnsi="Arial" w:eastAsia="Arial" w:cs="Arial"/>
          <w:i w:val="0"/>
          <w:caps w:val="0"/>
          <w:color w:val="FF6600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  <w:t>Singleton类型的Spring容器Bean对象是如何实现并发的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线程安全问题都是由成员变量及静态变量引起的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若每个线程中对成员变量、静态变量只有读操作，而无写操作，一般来说，这个成员变量、静态变量是线程安全的；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若有多个线程同时执行写操作，一般都需要考虑线程同步，否则就可能影响线程安全。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Spring 下并发访问的线程安全性问题 ：</w:t>
      </w:r>
    </w:p>
    <w:p>
      <w:pPr>
        <w:rPr>
          <w:b/>
          <w:bCs/>
        </w:rPr>
      </w:pPr>
      <w:r>
        <w:drawing>
          <wp:inline distT="0" distB="0" distL="114300" distR="114300">
            <wp:extent cx="5264150" cy="976630"/>
            <wp:effectExtent l="0" t="0" r="1270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r>
        <w:drawing>
          <wp:inline distT="0" distB="0" distL="114300" distR="114300">
            <wp:extent cx="5267325" cy="1904365"/>
            <wp:effectExtent l="0" t="0" r="952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就是因为Spring对一些Bean（如RequestContextHolder、TransactionSynchronizationManager、LocaleContextHolder等）中非线程安全状态采用</w:t>
      </w:r>
      <w:r>
        <w:rPr>
          <w:rFonts w:hint="eastAsia"/>
          <w:b/>
          <w:bCs/>
          <w:color w:val="FF0000"/>
          <w:lang w:eastAsia="zh-CN"/>
        </w:rPr>
        <w:t>ThreadLocal</w:t>
      </w:r>
      <w:r>
        <w:rPr>
          <w:rFonts w:hint="eastAsia"/>
          <w:lang w:eastAsia="zh-CN"/>
        </w:rPr>
        <w:t>进行处理，让它们也成为线程安全的状态，因此有状态的Bean就可以在多线程中共享了。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951865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ThreadLocal为解决多线程程序的并发问题提供了一种新的思路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对于多线程资源共享的问题，</w:t>
      </w:r>
      <w:r>
        <w:rPr>
          <w:rFonts w:hint="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同步机制</w:t>
      </w:r>
      <w:r>
        <w:rPr>
          <w:rFonts w:hint="eastAsia"/>
          <w:lang w:eastAsia="zh-CN"/>
        </w:rPr>
        <w:t>采用了“</w:t>
      </w:r>
      <w:r>
        <w:rPr>
          <w:rFonts w:hint="eastAsia"/>
          <w:b/>
          <w:bCs/>
          <w:color w:val="FF0000"/>
          <w:lang w:eastAsia="zh-CN"/>
        </w:rPr>
        <w:t>以时间换空间</w:t>
      </w:r>
      <w:r>
        <w:rPr>
          <w:rFonts w:hint="eastAsia"/>
          <w:lang w:eastAsia="zh-CN"/>
        </w:rPr>
        <w:t>”的方式，而</w:t>
      </w:r>
      <w:r>
        <w:rPr>
          <w:rFonts w:hint="eastAsia"/>
          <w:b/>
          <w:bCs/>
          <w:lang w:eastAsia="zh-CN"/>
        </w:rPr>
        <w:t>ThreadLocal</w:t>
      </w:r>
      <w:r>
        <w:rPr>
          <w:rFonts w:hint="eastAsia"/>
          <w:lang w:eastAsia="zh-CN"/>
        </w:rPr>
        <w:t>采用了“</w:t>
      </w:r>
      <w:r>
        <w:rPr>
          <w:rFonts w:hint="eastAsia"/>
          <w:b/>
          <w:bCs/>
          <w:color w:val="FF0000"/>
          <w:lang w:eastAsia="zh-CN"/>
        </w:rPr>
        <w:t>以空间换时间</w:t>
      </w:r>
      <w:r>
        <w:rPr>
          <w:rFonts w:hint="eastAsia"/>
          <w:lang w:eastAsia="zh-CN"/>
        </w:rPr>
        <w:t>”的方式。前者仅提供一份变量，让不同的线程排队访问，而后者为每一个线程都提供了一份变量，因此可以同时访问而互不影响。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62357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ascii="Arial" w:hAnsi="Arial" w:eastAsia="Arial" w:cs="Arial"/>
          <w:i w:val="0"/>
          <w:caps w:val="0"/>
          <w:color w:val="FF6600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  <w:t>低效的异常</w:t>
      </w:r>
    </w:p>
    <w:p>
      <w:r>
        <w:drawing>
          <wp:inline distT="0" distB="0" distL="114300" distR="114300">
            <wp:extent cx="5271135" cy="249237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Java中异常为什么低效</w:t>
      </w:r>
    </w:p>
    <w:p>
      <w:r>
        <w:drawing>
          <wp:inline distT="0" distB="0" distL="114300" distR="114300">
            <wp:extent cx="5272405" cy="416052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因此我们可以关闭追溯运行堆栈信息。关闭追溯运行堆栈信息有两种方法：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1.  覆写fillInStackTrace 方法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2.  在构造方法中关闭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ascii="Arial" w:hAnsi="Arial" w:eastAsia="Arial" w:cs="Arial"/>
          <w:i w:val="0"/>
          <w:caps w:val="0"/>
          <w:color w:val="FF6600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  <w:t>哪个更快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可管理性比较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经过分析，我们认为方案2即在dao层完成对象关联的方案，可管理性要大大优于方案1.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为什么呢？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理由1：单机数据库计算资源很贵，数据库同时要服务写和读，都需要消耗CPU，为了能让数据库的吞吐变得更高，而我们的业务又不在乎那几百微妙到毫秒级的延时差距，业务会把更多计算放到dao层或者service层做，毕竟计算资源很好水平扩展，而数据库很难啊，所以大多数业务会把纯计算操作放到dao层做，而将数据库当成一种带事务能力的kv系统（key-value以键值对存储数据的一种数据库）来使用，这是一种重业务，轻DB的架构思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理由2：很多复杂的业务可能会由于发展的历史原因，一般不会只用一种数据库，一般会在多个数据库上加一层中间件，这样的情况下做join显得很困难。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理由3：对于一些大型公司由于数据规模庞大，不得不对数据库进行分库分表。对于分库分表的应用，使用join也受到了很多限制，除非业务能够很好的根据sharding key明确要join的两个表在同一个物理库中。</w:t>
      </w: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ascii="Arial" w:hAnsi="Arial" w:eastAsia="Arial" w:cs="Arial"/>
          <w:i w:val="0"/>
          <w:caps w:val="0"/>
          <w:color w:val="FF6600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  <w:t>MySQL的索引</w:t>
      </w:r>
    </w:p>
    <w:p>
      <w:r>
        <w:drawing>
          <wp:inline distT="0" distB="0" distL="114300" distR="114300">
            <wp:extent cx="5262245" cy="1306195"/>
            <wp:effectExtent l="0" t="0" r="146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1016635"/>
            <wp:effectExtent l="0" t="0" r="317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683385"/>
            <wp:effectExtent l="0" t="0" r="1143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02435"/>
            <wp:effectExtent l="0" t="0" r="1270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0967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6682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46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ascii="Arial" w:hAnsi="Arial" w:eastAsia="Arial" w:cs="Arial"/>
          <w:i w:val="0"/>
          <w:caps w:val="0"/>
          <w:color w:val="FF6600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hd w:val="clear" w:fill="FFFFFF"/>
        </w:rPr>
        <w:t>MySQL的MVCC多版本并发机制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MVCC在MYSQL InnoDB中的实现主要是为了提高数据库并发性能，用更好的方式去处理读-写冲突，做到即使有读写冲突时，也能做到不加锁，非阻塞并发读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53A00"/>
    <w:rsid w:val="6FF5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2021-01-05T11:35:00Z</dcterms:created>
  <dc:creator>千声</dc:creator>
  <cp:lastModifiedBy>千声</cp:lastModifiedBy>
  <dcterms:modified xsi:type="dcterms:W3CDTF">2021-01-05T14:30:41Z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