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5C911">
      <w:pPr>
        <w:ind w:firstLine="640"/>
        <w:jc w:val="center"/>
      </w:pPr>
      <w:r>
        <w:rPr>
          <w:sz w:val="32"/>
        </w:rPr>
        <mc:AlternateContent>
          <mc:Choice Requires="wps">
            <w:drawing>
              <wp:anchor distT="0" distB="0" distL="114300" distR="114300" simplePos="0" relativeHeight="251667456" behindDoc="0" locked="0" layoutInCell="1" allowOverlap="1">
                <wp:simplePos x="0" y="0"/>
                <wp:positionH relativeFrom="column">
                  <wp:posOffset>-392430</wp:posOffset>
                </wp:positionH>
                <wp:positionV relativeFrom="paragraph">
                  <wp:posOffset>3561080</wp:posOffset>
                </wp:positionV>
                <wp:extent cx="5331460" cy="2633980"/>
                <wp:effectExtent l="0" t="0" r="2540" b="7620"/>
                <wp:wrapNone/>
                <wp:docPr id="15" name="文本框 15"/>
                <wp:cNvGraphicFramePr/>
                <a:graphic xmlns:a="http://schemas.openxmlformats.org/drawingml/2006/main">
                  <a:graphicData uri="http://schemas.microsoft.com/office/word/2010/wordprocessingShape">
                    <wps:wsp>
                      <wps:cNvSpPr txBox="1"/>
                      <wps:spPr>
                        <a:xfrm>
                          <a:off x="2358390" y="7383145"/>
                          <a:ext cx="5331460" cy="26339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84F7DF6">
                            <w:pPr>
                              <w:spacing w:line="720" w:lineRule="auto"/>
                              <w:ind w:left="1440" w:leftChars="600" w:firstLine="560"/>
                              <w:rPr>
                                <w:rFonts w:hint="eastAsia" w:ascii="宋体" w:hAnsi="宋体" w:cs="等线"/>
                                <w:sz w:val="28"/>
                                <w:szCs w:val="28"/>
                                <w:u w:val="single"/>
                              </w:rPr>
                            </w:pPr>
                            <w:r>
                              <w:rPr>
                                <w:rFonts w:ascii="宋体" w:hAnsi="宋体" w:cs="等线"/>
                                <w:sz w:val="28"/>
                                <w:szCs w:val="28"/>
                              </w:rPr>
                              <w:t>作品</w:t>
                            </w:r>
                            <w:r>
                              <w:rPr>
                                <w:rFonts w:hint="eastAsia" w:ascii="宋体" w:hAnsi="宋体" w:cs="等线"/>
                                <w:sz w:val="28"/>
                                <w:szCs w:val="28"/>
                              </w:rPr>
                              <w:t>形式</w:t>
                            </w:r>
                            <w:r>
                              <w:rPr>
                                <w:rFonts w:ascii="宋体" w:hAnsi="宋体" w:cs="等线"/>
                                <w:sz w:val="28"/>
                                <w:szCs w:val="28"/>
                              </w:rPr>
                              <w:t>：</w:t>
                            </w:r>
                            <w:r>
                              <w:rPr>
                                <w:rFonts w:ascii="宋体" w:hAnsi="宋体" w:cs="等线"/>
                                <w:sz w:val="28"/>
                                <w:szCs w:val="28"/>
                                <w:u w:val="single"/>
                              </w:rPr>
                              <w:sym w:font="Wingdings 2" w:char="00A3"/>
                            </w:r>
                            <w:r>
                              <w:rPr>
                                <w:rFonts w:hint="eastAsia" w:ascii="宋体" w:hAnsi="宋体" w:cs="等线"/>
                                <w:sz w:val="28"/>
                                <w:szCs w:val="28"/>
                                <w:u w:val="single"/>
                              </w:rPr>
                              <w:t xml:space="preserve">研究论文  </w:t>
                            </w:r>
                            <w:r>
                              <w:rPr>
                                <w:rFonts w:ascii="宋体" w:hAnsi="宋体" w:cs="等线"/>
                                <w:sz w:val="28"/>
                                <w:szCs w:val="28"/>
                                <w:u w:val="single"/>
                              </w:rPr>
                              <w:sym w:font="Wingdings 2" w:char="0052"/>
                            </w:r>
                            <w:r>
                              <w:rPr>
                                <w:rFonts w:hint="eastAsia" w:ascii="宋体" w:hAnsi="宋体" w:cs="等线"/>
                                <w:sz w:val="28"/>
                                <w:szCs w:val="28"/>
                                <w:u w:val="single"/>
                              </w:rPr>
                              <w:t xml:space="preserve">调研报告  </w:t>
                            </w:r>
                            <w:r>
                              <w:rPr>
                                <w:rFonts w:ascii="宋体" w:hAnsi="宋体" w:cs="等线"/>
                                <w:sz w:val="28"/>
                                <w:szCs w:val="28"/>
                                <w:u w:val="single"/>
                              </w:rPr>
                              <w:sym w:font="Wingdings 2" w:char="00A3"/>
                            </w:r>
                            <w:r>
                              <w:rPr>
                                <w:rFonts w:hint="eastAsia" w:ascii="宋体" w:hAnsi="宋体" w:cs="等线"/>
                                <w:sz w:val="28"/>
                                <w:szCs w:val="28"/>
                                <w:u w:val="single"/>
                              </w:rPr>
                              <w:t>创新创业</w:t>
                            </w:r>
                          </w:p>
                          <w:p w14:paraId="0CA0199E">
                            <w:pPr>
                              <w:spacing w:line="720" w:lineRule="auto"/>
                              <w:ind w:left="1440" w:leftChars="600" w:firstLine="560"/>
                              <w:rPr>
                                <w:rFonts w:hint="eastAsia" w:ascii="宋体" w:hAnsi="宋体" w:cs="等线"/>
                                <w:sz w:val="28"/>
                                <w:szCs w:val="28"/>
                              </w:rPr>
                            </w:pPr>
                            <w:r>
                              <w:rPr>
                                <w:rFonts w:hint="eastAsia" w:ascii="宋体" w:hAnsi="宋体" w:cs="等线"/>
                                <w:sz w:val="28"/>
                                <w:szCs w:val="28"/>
                              </w:rPr>
                              <w:t>组    别</w:t>
                            </w:r>
                            <w:r>
                              <w:rPr>
                                <w:rFonts w:ascii="宋体" w:hAnsi="宋体" w:cs="等线"/>
                                <w:sz w:val="28"/>
                                <w:szCs w:val="28"/>
                              </w:rPr>
                              <w:t>：</w:t>
                            </w:r>
                            <w:r>
                              <w:rPr>
                                <w:rFonts w:ascii="宋体" w:hAnsi="宋体" w:cs="等线"/>
                                <w:sz w:val="28"/>
                                <w:szCs w:val="28"/>
                                <w:u w:val="single"/>
                              </w:rPr>
                              <w:t xml:space="preserve">  </w:t>
                            </w:r>
                            <w:r>
                              <w:rPr>
                                <w:rFonts w:ascii="宋体" w:hAnsi="宋体" w:cs="等线"/>
                                <w:sz w:val="28"/>
                                <w:szCs w:val="28"/>
                                <w:u w:val="single"/>
                              </w:rPr>
                              <w:sym w:font="Wingdings 2" w:char="0052"/>
                            </w:r>
                            <w:r>
                              <w:rPr>
                                <w:rFonts w:hint="eastAsia" w:ascii="宋体" w:hAnsi="宋体" w:cs="等线"/>
                                <w:sz w:val="28"/>
                                <w:szCs w:val="28"/>
                                <w:u w:val="single"/>
                              </w:rPr>
                              <w:t xml:space="preserve">本科生组     </w:t>
                            </w:r>
                            <w:r>
                              <w:rPr>
                                <w:rFonts w:ascii="宋体" w:hAnsi="宋体" w:cs="等线"/>
                                <w:sz w:val="28"/>
                                <w:szCs w:val="28"/>
                                <w:u w:val="single"/>
                              </w:rPr>
                              <w:sym w:font="Wingdings 2" w:char="00A3"/>
                            </w:r>
                            <w:r>
                              <w:rPr>
                                <w:rFonts w:hint="eastAsia" w:ascii="宋体" w:hAnsi="宋体" w:cs="等线"/>
                                <w:sz w:val="28"/>
                                <w:szCs w:val="28"/>
                                <w:u w:val="single"/>
                              </w:rPr>
                              <w:t>研究生组</w:t>
                            </w:r>
                            <w:r>
                              <w:rPr>
                                <w:rFonts w:ascii="宋体" w:hAnsi="宋体" w:cs="等线"/>
                                <w:sz w:val="28"/>
                                <w:szCs w:val="28"/>
                                <w:u w:val="single"/>
                              </w:rPr>
                              <w:t xml:space="preserve">       </w:t>
                            </w:r>
                          </w:p>
                          <w:p w14:paraId="75036E4E">
                            <w:pPr>
                              <w:ind w:left="1440" w:leftChars="600" w:firstLine="560"/>
                            </w:pPr>
                            <w:r>
                              <w:rPr>
                                <w:rFonts w:hint="eastAsia" w:ascii="宋体" w:hAnsi="宋体" w:cs="等线"/>
                                <w:sz w:val="28"/>
                                <w:szCs w:val="28"/>
                              </w:rPr>
                              <w:t>提交时间</w:t>
                            </w:r>
                            <w:r>
                              <w:rPr>
                                <w:rFonts w:ascii="宋体" w:hAnsi="宋体" w:cs="等线"/>
                                <w:sz w:val="28"/>
                                <w:szCs w:val="28"/>
                              </w:rPr>
                              <w:t>：</w:t>
                            </w:r>
                            <w:r>
                              <w:rPr>
                                <w:rFonts w:ascii="宋体" w:hAnsi="宋体" w:cs="等线"/>
                                <w:sz w:val="28"/>
                                <w:szCs w:val="28"/>
                                <w:u w:val="single"/>
                              </w:rPr>
                              <w:t xml:space="preserve">   </w:t>
                            </w:r>
                            <w:r>
                              <w:rPr>
                                <w:rFonts w:hint="eastAsia" w:ascii="宋体" w:hAnsi="宋体" w:cs="等线"/>
                                <w:sz w:val="28"/>
                                <w:szCs w:val="28"/>
                                <w:u w:val="single"/>
                              </w:rPr>
                              <w:t xml:space="preserve">  </w:t>
                            </w:r>
                            <w:r>
                              <w:rPr>
                                <w:rFonts w:ascii="宋体" w:hAnsi="宋体" w:cs="等线"/>
                                <w:sz w:val="28"/>
                                <w:szCs w:val="28"/>
                                <w:u w:val="single"/>
                              </w:rPr>
                              <w:t xml:space="preserve"> </w:t>
                            </w:r>
                            <w:r>
                              <w:rPr>
                                <w:rFonts w:hint="eastAsia" w:ascii="宋体" w:hAnsi="宋体" w:cs="等线"/>
                                <w:sz w:val="28"/>
                                <w:szCs w:val="28"/>
                                <w:u w:val="single"/>
                              </w:rPr>
                              <w:t xml:space="preserve">   2026年3月</w:t>
                            </w:r>
                            <w:r>
                              <w:rPr>
                                <w:rFonts w:ascii="宋体" w:hAnsi="宋体" w:cs="等线"/>
                                <w:sz w:val="28"/>
                                <w:szCs w:val="28"/>
                                <w:u w:val="single"/>
                              </w:rPr>
                              <w:t xml:space="preserve">  </w:t>
                            </w:r>
                            <w:r>
                              <w:rPr>
                                <w:rFonts w:hint="eastAsia" w:ascii="宋体" w:hAnsi="宋体" w:cs="等线"/>
                                <w:sz w:val="28"/>
                                <w:szCs w:val="28"/>
                                <w:u w:val="single"/>
                              </w:rPr>
                              <w:t xml:space="preserve"> </w:t>
                            </w:r>
                            <w:r>
                              <w:rPr>
                                <w:rFonts w:ascii="宋体" w:hAnsi="宋体" w:cs="等线"/>
                                <w:sz w:val="28"/>
                                <w:szCs w:val="28"/>
                                <w:u w:val="single"/>
                              </w:rPr>
                              <w:t xml:space="preserve">  </w:t>
                            </w:r>
                            <w:r>
                              <w:rPr>
                                <w:rFonts w:hint="eastAsia" w:ascii="宋体" w:hAnsi="宋体" w:cs="等线"/>
                                <w:sz w:val="28"/>
                                <w:szCs w:val="28"/>
                                <w:u w:val="single"/>
                              </w:rPr>
                              <w:t xml:space="preserve"> </w:t>
                            </w:r>
                            <w:r>
                              <w:rPr>
                                <w:rFonts w:ascii="宋体" w:hAnsi="宋体" w:cs="等线"/>
                                <w:sz w:val="28"/>
                                <w:szCs w:val="28"/>
                                <w:u w:val="single"/>
                              </w:rPr>
                              <w:t xml:space="preserve">  </w:t>
                            </w:r>
                            <w:r>
                              <w:rPr>
                                <w:rFonts w:hint="eastAsia" w:ascii="宋体" w:hAnsi="宋体" w:cs="等线"/>
                                <w:sz w:val="28"/>
                                <w:szCs w:val="28"/>
                                <w:u w:val="single"/>
                                <w:lang w:val="en-US" w:eastAsia="zh-CN"/>
                              </w:rPr>
                              <w:t xml:space="preserve">   </w:t>
                            </w:r>
                            <w:r>
                              <w:rPr>
                                <w:rFonts w:ascii="宋体" w:hAnsi="宋体" w:cs="等线"/>
                                <w:sz w:val="28"/>
                                <w:szCs w:val="28"/>
                                <w:u w:val="single"/>
                              </w:rPr>
                              <w:t xml:space="preserve">   </w:t>
                            </w:r>
                          </w:p>
                          <w:p w14:paraId="4DFBCB1D">
                            <w:pPr>
                              <w:ind w:firstLine="48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pt;margin-top:280.4pt;height:207.4pt;width:419.8pt;z-index:251667456;mso-width-relative:page;mso-height-relative:page;" fillcolor="#FFFFFF [3201]" filled="t" stroked="f" coordsize="21600,21600" o:gfxdata="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v&#10;hvT41gAAAAsBAAAPAAAAAAAAAAEAIAAAACIAAABkcnMvZG93bnJldi54bWxQSwECFAAUAAAACACH&#10;TuJAKo5gMF8CAACeBAAADgAAAAAAAAABACAAAAAlAQAAZHJzL2Uyb0RvYy54bWxQSwUGAAAAAAYA&#10;BgBZAQAA9gUAAAAA&#10;">
                <v:fill on="t" focussize="0,0"/>
                <v:stroke on="f" weight="0.5pt"/>
                <v:imagedata o:title=""/>
                <o:lock v:ext="edit" aspectratio="f"/>
                <v:textbox>
                  <w:txbxContent>
                    <w:p w14:paraId="284F7DF6">
                      <w:pPr>
                        <w:spacing w:line="720" w:lineRule="auto"/>
                        <w:ind w:left="1440" w:leftChars="600" w:firstLine="560"/>
                        <w:rPr>
                          <w:rFonts w:hint="eastAsia" w:ascii="宋体" w:hAnsi="宋体" w:cs="等线"/>
                          <w:sz w:val="28"/>
                          <w:szCs w:val="28"/>
                          <w:u w:val="single"/>
                        </w:rPr>
                      </w:pPr>
                      <w:r>
                        <w:rPr>
                          <w:rFonts w:ascii="宋体" w:hAnsi="宋体" w:cs="等线"/>
                          <w:sz w:val="28"/>
                          <w:szCs w:val="28"/>
                        </w:rPr>
                        <w:t>作品</w:t>
                      </w:r>
                      <w:r>
                        <w:rPr>
                          <w:rFonts w:hint="eastAsia" w:ascii="宋体" w:hAnsi="宋体" w:cs="等线"/>
                          <w:sz w:val="28"/>
                          <w:szCs w:val="28"/>
                        </w:rPr>
                        <w:t>形式</w:t>
                      </w:r>
                      <w:r>
                        <w:rPr>
                          <w:rFonts w:ascii="宋体" w:hAnsi="宋体" w:cs="等线"/>
                          <w:sz w:val="28"/>
                          <w:szCs w:val="28"/>
                        </w:rPr>
                        <w:t>：</w:t>
                      </w:r>
                      <w:r>
                        <w:rPr>
                          <w:rFonts w:ascii="宋体" w:hAnsi="宋体" w:cs="等线"/>
                          <w:sz w:val="28"/>
                          <w:szCs w:val="28"/>
                          <w:u w:val="single"/>
                        </w:rPr>
                        <w:sym w:font="Wingdings 2" w:char="00A3"/>
                      </w:r>
                      <w:r>
                        <w:rPr>
                          <w:rFonts w:hint="eastAsia" w:ascii="宋体" w:hAnsi="宋体" w:cs="等线"/>
                          <w:sz w:val="28"/>
                          <w:szCs w:val="28"/>
                          <w:u w:val="single"/>
                        </w:rPr>
                        <w:t xml:space="preserve">研究论文  </w:t>
                      </w:r>
                      <w:r>
                        <w:rPr>
                          <w:rFonts w:ascii="宋体" w:hAnsi="宋体" w:cs="等线"/>
                          <w:sz w:val="28"/>
                          <w:szCs w:val="28"/>
                          <w:u w:val="single"/>
                        </w:rPr>
                        <w:sym w:font="Wingdings 2" w:char="0052"/>
                      </w:r>
                      <w:r>
                        <w:rPr>
                          <w:rFonts w:hint="eastAsia" w:ascii="宋体" w:hAnsi="宋体" w:cs="等线"/>
                          <w:sz w:val="28"/>
                          <w:szCs w:val="28"/>
                          <w:u w:val="single"/>
                        </w:rPr>
                        <w:t xml:space="preserve">调研报告  </w:t>
                      </w:r>
                      <w:r>
                        <w:rPr>
                          <w:rFonts w:ascii="宋体" w:hAnsi="宋体" w:cs="等线"/>
                          <w:sz w:val="28"/>
                          <w:szCs w:val="28"/>
                          <w:u w:val="single"/>
                        </w:rPr>
                        <w:sym w:font="Wingdings 2" w:char="00A3"/>
                      </w:r>
                      <w:r>
                        <w:rPr>
                          <w:rFonts w:hint="eastAsia" w:ascii="宋体" w:hAnsi="宋体" w:cs="等线"/>
                          <w:sz w:val="28"/>
                          <w:szCs w:val="28"/>
                          <w:u w:val="single"/>
                        </w:rPr>
                        <w:t>创新创业</w:t>
                      </w:r>
                    </w:p>
                    <w:p w14:paraId="0CA0199E">
                      <w:pPr>
                        <w:spacing w:line="720" w:lineRule="auto"/>
                        <w:ind w:left="1440" w:leftChars="600" w:firstLine="560"/>
                        <w:rPr>
                          <w:rFonts w:hint="eastAsia" w:ascii="宋体" w:hAnsi="宋体" w:cs="等线"/>
                          <w:sz w:val="28"/>
                          <w:szCs w:val="28"/>
                        </w:rPr>
                      </w:pPr>
                      <w:r>
                        <w:rPr>
                          <w:rFonts w:hint="eastAsia" w:ascii="宋体" w:hAnsi="宋体" w:cs="等线"/>
                          <w:sz w:val="28"/>
                          <w:szCs w:val="28"/>
                        </w:rPr>
                        <w:t>组    别</w:t>
                      </w:r>
                      <w:r>
                        <w:rPr>
                          <w:rFonts w:ascii="宋体" w:hAnsi="宋体" w:cs="等线"/>
                          <w:sz w:val="28"/>
                          <w:szCs w:val="28"/>
                        </w:rPr>
                        <w:t>：</w:t>
                      </w:r>
                      <w:r>
                        <w:rPr>
                          <w:rFonts w:ascii="宋体" w:hAnsi="宋体" w:cs="等线"/>
                          <w:sz w:val="28"/>
                          <w:szCs w:val="28"/>
                          <w:u w:val="single"/>
                        </w:rPr>
                        <w:t xml:space="preserve">  </w:t>
                      </w:r>
                      <w:r>
                        <w:rPr>
                          <w:rFonts w:ascii="宋体" w:hAnsi="宋体" w:cs="等线"/>
                          <w:sz w:val="28"/>
                          <w:szCs w:val="28"/>
                          <w:u w:val="single"/>
                        </w:rPr>
                        <w:sym w:font="Wingdings 2" w:char="0052"/>
                      </w:r>
                      <w:r>
                        <w:rPr>
                          <w:rFonts w:hint="eastAsia" w:ascii="宋体" w:hAnsi="宋体" w:cs="等线"/>
                          <w:sz w:val="28"/>
                          <w:szCs w:val="28"/>
                          <w:u w:val="single"/>
                        </w:rPr>
                        <w:t xml:space="preserve">本科生组     </w:t>
                      </w:r>
                      <w:r>
                        <w:rPr>
                          <w:rFonts w:ascii="宋体" w:hAnsi="宋体" w:cs="等线"/>
                          <w:sz w:val="28"/>
                          <w:szCs w:val="28"/>
                          <w:u w:val="single"/>
                        </w:rPr>
                        <w:sym w:font="Wingdings 2" w:char="00A3"/>
                      </w:r>
                      <w:r>
                        <w:rPr>
                          <w:rFonts w:hint="eastAsia" w:ascii="宋体" w:hAnsi="宋体" w:cs="等线"/>
                          <w:sz w:val="28"/>
                          <w:szCs w:val="28"/>
                          <w:u w:val="single"/>
                        </w:rPr>
                        <w:t>研究生组</w:t>
                      </w:r>
                      <w:r>
                        <w:rPr>
                          <w:rFonts w:ascii="宋体" w:hAnsi="宋体" w:cs="等线"/>
                          <w:sz w:val="28"/>
                          <w:szCs w:val="28"/>
                          <w:u w:val="single"/>
                        </w:rPr>
                        <w:t xml:space="preserve">       </w:t>
                      </w:r>
                    </w:p>
                    <w:p w14:paraId="75036E4E">
                      <w:pPr>
                        <w:ind w:left="1440" w:leftChars="600" w:firstLine="560"/>
                      </w:pPr>
                      <w:r>
                        <w:rPr>
                          <w:rFonts w:hint="eastAsia" w:ascii="宋体" w:hAnsi="宋体" w:cs="等线"/>
                          <w:sz w:val="28"/>
                          <w:szCs w:val="28"/>
                        </w:rPr>
                        <w:t>提交时间</w:t>
                      </w:r>
                      <w:r>
                        <w:rPr>
                          <w:rFonts w:ascii="宋体" w:hAnsi="宋体" w:cs="等线"/>
                          <w:sz w:val="28"/>
                          <w:szCs w:val="28"/>
                        </w:rPr>
                        <w:t>：</w:t>
                      </w:r>
                      <w:r>
                        <w:rPr>
                          <w:rFonts w:ascii="宋体" w:hAnsi="宋体" w:cs="等线"/>
                          <w:sz w:val="28"/>
                          <w:szCs w:val="28"/>
                          <w:u w:val="single"/>
                        </w:rPr>
                        <w:t xml:space="preserve">   </w:t>
                      </w:r>
                      <w:r>
                        <w:rPr>
                          <w:rFonts w:hint="eastAsia" w:ascii="宋体" w:hAnsi="宋体" w:cs="等线"/>
                          <w:sz w:val="28"/>
                          <w:szCs w:val="28"/>
                          <w:u w:val="single"/>
                        </w:rPr>
                        <w:t xml:space="preserve">  </w:t>
                      </w:r>
                      <w:r>
                        <w:rPr>
                          <w:rFonts w:ascii="宋体" w:hAnsi="宋体" w:cs="等线"/>
                          <w:sz w:val="28"/>
                          <w:szCs w:val="28"/>
                          <w:u w:val="single"/>
                        </w:rPr>
                        <w:t xml:space="preserve"> </w:t>
                      </w:r>
                      <w:r>
                        <w:rPr>
                          <w:rFonts w:hint="eastAsia" w:ascii="宋体" w:hAnsi="宋体" w:cs="等线"/>
                          <w:sz w:val="28"/>
                          <w:szCs w:val="28"/>
                          <w:u w:val="single"/>
                        </w:rPr>
                        <w:t xml:space="preserve">   2026年3月</w:t>
                      </w:r>
                      <w:r>
                        <w:rPr>
                          <w:rFonts w:ascii="宋体" w:hAnsi="宋体" w:cs="等线"/>
                          <w:sz w:val="28"/>
                          <w:szCs w:val="28"/>
                          <w:u w:val="single"/>
                        </w:rPr>
                        <w:t xml:space="preserve">  </w:t>
                      </w:r>
                      <w:r>
                        <w:rPr>
                          <w:rFonts w:hint="eastAsia" w:ascii="宋体" w:hAnsi="宋体" w:cs="等线"/>
                          <w:sz w:val="28"/>
                          <w:szCs w:val="28"/>
                          <w:u w:val="single"/>
                        </w:rPr>
                        <w:t xml:space="preserve"> </w:t>
                      </w:r>
                      <w:r>
                        <w:rPr>
                          <w:rFonts w:ascii="宋体" w:hAnsi="宋体" w:cs="等线"/>
                          <w:sz w:val="28"/>
                          <w:szCs w:val="28"/>
                          <w:u w:val="single"/>
                        </w:rPr>
                        <w:t xml:space="preserve">  </w:t>
                      </w:r>
                      <w:r>
                        <w:rPr>
                          <w:rFonts w:hint="eastAsia" w:ascii="宋体" w:hAnsi="宋体" w:cs="等线"/>
                          <w:sz w:val="28"/>
                          <w:szCs w:val="28"/>
                          <w:u w:val="single"/>
                        </w:rPr>
                        <w:t xml:space="preserve"> </w:t>
                      </w:r>
                      <w:r>
                        <w:rPr>
                          <w:rFonts w:ascii="宋体" w:hAnsi="宋体" w:cs="等线"/>
                          <w:sz w:val="28"/>
                          <w:szCs w:val="28"/>
                          <w:u w:val="single"/>
                        </w:rPr>
                        <w:t xml:space="preserve">  </w:t>
                      </w:r>
                      <w:r>
                        <w:rPr>
                          <w:rFonts w:hint="eastAsia" w:ascii="宋体" w:hAnsi="宋体" w:cs="等线"/>
                          <w:sz w:val="28"/>
                          <w:szCs w:val="28"/>
                          <w:u w:val="single"/>
                          <w:lang w:val="en-US" w:eastAsia="zh-CN"/>
                        </w:rPr>
                        <w:t xml:space="preserve">   </w:t>
                      </w:r>
                      <w:r>
                        <w:rPr>
                          <w:rFonts w:ascii="宋体" w:hAnsi="宋体" w:cs="等线"/>
                          <w:sz w:val="28"/>
                          <w:szCs w:val="28"/>
                          <w:u w:val="single"/>
                        </w:rPr>
                        <w:t xml:space="preserve">   </w:t>
                      </w:r>
                    </w:p>
                    <w:p w14:paraId="4DFBCB1D">
                      <w:pPr>
                        <w:ind w:firstLine="480"/>
                      </w:pPr>
                    </w:p>
                  </w:txbxContent>
                </v:textbox>
              </v:shape>
            </w:pict>
          </mc:Fallback>
        </mc:AlternateContent>
      </w:r>
      <w:r>
        <w:rPr>
          <w:sz w:val="32"/>
        </w:rPr>
        <mc:AlternateContent>
          <mc:Choice Requires="wps">
            <w:drawing>
              <wp:anchor distT="0" distB="0" distL="114300" distR="114300" simplePos="0" relativeHeight="251666432" behindDoc="0" locked="0" layoutInCell="1" allowOverlap="1">
                <wp:simplePos x="0" y="0"/>
                <wp:positionH relativeFrom="column">
                  <wp:posOffset>416560</wp:posOffset>
                </wp:positionH>
                <wp:positionV relativeFrom="paragraph">
                  <wp:posOffset>1200785</wp:posOffset>
                </wp:positionV>
                <wp:extent cx="4691380" cy="1428750"/>
                <wp:effectExtent l="0" t="0" r="4445" b="0"/>
                <wp:wrapNone/>
                <wp:docPr id="14" name="文本框 14"/>
                <wp:cNvGraphicFramePr/>
                <a:graphic xmlns:a="http://schemas.openxmlformats.org/drawingml/2006/main">
                  <a:graphicData uri="http://schemas.microsoft.com/office/word/2010/wordprocessingShape">
                    <wps:wsp>
                      <wps:cNvSpPr txBox="1"/>
                      <wps:spPr>
                        <a:xfrm>
                          <a:off x="1795780" y="2376170"/>
                          <a:ext cx="4691380" cy="14287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1579EC6">
                            <w:pPr>
                              <w:ind w:left="0" w:leftChars="0" w:firstLine="0" w:firstLineChars="0"/>
                              <w:jc w:val="center"/>
                              <w:rPr>
                                <w:b/>
                                <w:bCs/>
                                <w:sz w:val="44"/>
                                <w:szCs w:val="40"/>
                              </w:rPr>
                            </w:pPr>
                            <w:r>
                              <w:rPr>
                                <w:rFonts w:hint="eastAsia"/>
                                <w:b/>
                                <w:bCs/>
                                <w:sz w:val="44"/>
                                <w:szCs w:val="40"/>
                              </w:rPr>
                              <w:t>考虑</w:t>
                            </w:r>
                            <w:r>
                              <w:rPr>
                                <w:rFonts w:hint="eastAsia"/>
                                <w:b/>
                                <w:bCs/>
                                <w:sz w:val="44"/>
                                <w:szCs w:val="40"/>
                                <w:lang w:val="en-US" w:eastAsia="zh-CN"/>
                              </w:rPr>
                              <w:t>多重反弹</w:t>
                            </w:r>
                            <w:r>
                              <w:rPr>
                                <w:rFonts w:hint="eastAsia"/>
                                <w:b/>
                                <w:bCs/>
                                <w:sz w:val="44"/>
                                <w:szCs w:val="40"/>
                              </w:rPr>
                              <w:t>效应的居民低碳行为选择偏好研究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8pt;margin-top:94.55pt;height:112.5pt;width:369.4pt;z-index:251666432;mso-width-relative:page;mso-height-relative:page;" fillcolor="#FFFFFF [3201]" filled="t" stroked="f" coordsize="21600,21600" o:gfxdata="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AJV2yHV&#10;AAAACgEAAA8AAAAAAAAAAQAgAAAAIgAAAGRycy9kb3ducmV2LnhtbFBLAQIUABQAAAAIAIdO4kAR&#10;wWOwXAIAAJ4EAAAOAAAAAAAAAAEAIAAAACQBAABkcnMvZTJvRG9jLnhtbFBLBQYAAAAABgAGAFkB&#10;AADyBQAAAAA=&#10;">
                <v:fill on="t" focussize="0,0"/>
                <v:stroke on="f" weight="0.5pt"/>
                <v:imagedata o:title=""/>
                <o:lock v:ext="edit" aspectratio="f"/>
                <v:textbox>
                  <w:txbxContent>
                    <w:p w14:paraId="11579EC6">
                      <w:pPr>
                        <w:ind w:left="0" w:leftChars="0" w:firstLine="0" w:firstLineChars="0"/>
                        <w:jc w:val="center"/>
                        <w:rPr>
                          <w:b/>
                          <w:bCs/>
                          <w:sz w:val="44"/>
                          <w:szCs w:val="40"/>
                        </w:rPr>
                      </w:pPr>
                      <w:r>
                        <w:rPr>
                          <w:rFonts w:hint="eastAsia"/>
                          <w:b/>
                          <w:bCs/>
                          <w:sz w:val="44"/>
                          <w:szCs w:val="40"/>
                        </w:rPr>
                        <w:t>考虑</w:t>
                      </w:r>
                      <w:r>
                        <w:rPr>
                          <w:rFonts w:hint="eastAsia"/>
                          <w:b/>
                          <w:bCs/>
                          <w:sz w:val="44"/>
                          <w:szCs w:val="40"/>
                          <w:lang w:val="en-US" w:eastAsia="zh-CN"/>
                        </w:rPr>
                        <w:t>多重反弹</w:t>
                      </w:r>
                      <w:r>
                        <w:rPr>
                          <w:rFonts w:hint="eastAsia"/>
                          <w:b/>
                          <w:bCs/>
                          <w:sz w:val="44"/>
                          <w:szCs w:val="40"/>
                        </w:rPr>
                        <w:t>效应的居民低碳行为选择偏好研究</w:t>
                      </w:r>
                    </w:p>
                  </w:txbxContent>
                </v:textbox>
              </v:shape>
            </w:pict>
          </mc:Fallback>
        </mc:AlternateContent>
      </w:r>
      <w:r>
        <w:rPr>
          <w:rFonts w:hint="eastAsia"/>
        </w:rPr>
        <w:br w:type="page"/>
      </w:r>
    </w:p>
    <w:sdt>
      <w:sdtPr>
        <w:rPr>
          <w:rFonts w:ascii="宋体" w:hAnsi="宋体"/>
          <w:sz w:val="21"/>
        </w:rPr>
        <w:id w:val="147465253"/>
        <w15:color w:val="DBDBDB"/>
        <w:docPartObj>
          <w:docPartGallery w:val="Table of Contents"/>
          <w:docPartUnique/>
        </w:docPartObj>
      </w:sdtPr>
      <w:sdtEndPr>
        <w:rPr>
          <w:rFonts w:hint="eastAsia" w:ascii="Arial" w:hAnsi="Arial" w:eastAsiaTheme="minorEastAsia"/>
          <w:sz w:val="21"/>
        </w:rPr>
      </w:sdtEndPr>
      <w:sdtContent>
        <w:p w14:paraId="504EE8C7">
          <w:pPr>
            <w:spacing w:line="240" w:lineRule="auto"/>
            <w:ind w:firstLine="0" w:firstLineChars="0"/>
            <w:jc w:val="center"/>
            <w:rPr>
              <w:rFonts w:hint="eastAsia" w:ascii="黑体" w:hAnsi="黑体" w:eastAsia="黑体" w:cs="黑体"/>
              <w:sz w:val="30"/>
              <w:szCs w:val="30"/>
            </w:rPr>
          </w:pPr>
          <w:r>
            <w:rPr>
              <w:rFonts w:hint="eastAsia" w:ascii="黑体" w:hAnsi="黑体" w:eastAsia="黑体" w:cs="黑体"/>
              <w:sz w:val="30"/>
              <w:szCs w:val="30"/>
            </w:rPr>
            <w:t>目录</w:t>
          </w:r>
        </w:p>
        <w:p w14:paraId="30C90554">
          <w:pPr>
            <w:pStyle w:val="10"/>
            <w:tabs>
              <w:tab w:val="right" w:leader="dot" w:pos="8640"/>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_Toc30998 </w:instrText>
          </w:r>
          <w:r>
            <w:rPr>
              <w:rFonts w:hint="eastAsia"/>
            </w:rPr>
            <w:fldChar w:fldCharType="separate"/>
          </w:r>
          <w:r>
            <w:rPr>
              <w:rFonts w:ascii="黑体" w:hAnsi="黑体" w:cs="黑体"/>
              <w:highlight w:val="none"/>
            </w:rPr>
            <w:t>摘 要</w:t>
          </w:r>
          <w:r>
            <w:tab/>
          </w:r>
          <w:r>
            <w:fldChar w:fldCharType="begin"/>
          </w:r>
          <w:r>
            <w:instrText xml:space="preserve"> PAGEREF _Toc30998 \h </w:instrText>
          </w:r>
          <w:r>
            <w:fldChar w:fldCharType="separate"/>
          </w:r>
          <w:r>
            <w:t>4</w:t>
          </w:r>
          <w:r>
            <w:fldChar w:fldCharType="end"/>
          </w:r>
          <w:r>
            <w:rPr>
              <w:rFonts w:hint="eastAsia"/>
            </w:rPr>
            <w:fldChar w:fldCharType="end"/>
          </w:r>
        </w:p>
        <w:p w14:paraId="38B63696">
          <w:pPr>
            <w:pStyle w:val="10"/>
            <w:tabs>
              <w:tab w:val="right" w:leader="dot" w:pos="8640"/>
            </w:tabs>
          </w:pPr>
          <w:r>
            <w:rPr>
              <w:rFonts w:hint="eastAsia"/>
            </w:rPr>
            <w:fldChar w:fldCharType="begin"/>
          </w:r>
          <w:r>
            <w:rPr>
              <w:rFonts w:hint="eastAsia"/>
            </w:rPr>
            <w:instrText xml:space="preserve"> HYPERLINK \l _Toc31832 </w:instrText>
          </w:r>
          <w:r>
            <w:rPr>
              <w:rFonts w:hint="eastAsia"/>
            </w:rPr>
            <w:fldChar w:fldCharType="separate"/>
          </w:r>
          <w:r>
            <w:rPr>
              <w:rFonts w:hint="default"/>
            </w:rPr>
            <w:t>Abstract</w:t>
          </w:r>
          <w:r>
            <w:tab/>
          </w:r>
          <w:r>
            <w:fldChar w:fldCharType="begin"/>
          </w:r>
          <w:r>
            <w:instrText xml:space="preserve"> PAGEREF _Toc31832 \h </w:instrText>
          </w:r>
          <w:r>
            <w:fldChar w:fldCharType="separate"/>
          </w:r>
          <w:r>
            <w:t>5</w:t>
          </w:r>
          <w:r>
            <w:fldChar w:fldCharType="end"/>
          </w:r>
          <w:r>
            <w:rPr>
              <w:rFonts w:hint="eastAsia"/>
            </w:rPr>
            <w:fldChar w:fldCharType="end"/>
          </w:r>
        </w:p>
        <w:p w14:paraId="47768878">
          <w:pPr>
            <w:pStyle w:val="10"/>
            <w:tabs>
              <w:tab w:val="right" w:leader="dot" w:pos="8640"/>
            </w:tabs>
          </w:pPr>
          <w:r>
            <w:rPr>
              <w:rFonts w:hint="eastAsia"/>
            </w:rPr>
            <w:fldChar w:fldCharType="begin"/>
          </w:r>
          <w:r>
            <w:rPr>
              <w:rFonts w:hint="eastAsia"/>
            </w:rPr>
            <w:instrText xml:space="preserve"> HYPERLINK \l _Toc25909 </w:instrText>
          </w:r>
          <w:r>
            <w:rPr>
              <w:rFonts w:hint="eastAsia"/>
            </w:rPr>
            <w:fldChar w:fldCharType="separate"/>
          </w:r>
          <w:r>
            <w:rPr>
              <w:rFonts w:hint="default" w:ascii="黑体" w:hAnsi="黑体" w:eastAsia="黑体" w:cs="黑体"/>
              <w:kern w:val="44"/>
              <w:szCs w:val="30"/>
              <w:lang w:val="en-US" w:eastAsia="zh-CN" w:bidi="ar-SA"/>
            </w:rPr>
            <w:t>第 1 章</w:t>
          </w:r>
          <w:r>
            <w:rPr>
              <w:rFonts w:hint="eastAsia" w:cs="黑体"/>
              <w:kern w:val="44"/>
              <w:szCs w:val="30"/>
              <w:lang w:val="en-US" w:eastAsia="zh-CN" w:bidi="ar-SA"/>
            </w:rPr>
            <w:t xml:space="preserve"> </w:t>
          </w:r>
          <w:r>
            <w:t>引言</w:t>
          </w:r>
          <w:r>
            <w:tab/>
          </w:r>
          <w:r>
            <w:fldChar w:fldCharType="begin"/>
          </w:r>
          <w:r>
            <w:instrText xml:space="preserve"> PAGEREF _Toc25909 \h </w:instrText>
          </w:r>
          <w:r>
            <w:fldChar w:fldCharType="separate"/>
          </w:r>
          <w:r>
            <w:t>7</w:t>
          </w:r>
          <w:r>
            <w:fldChar w:fldCharType="end"/>
          </w:r>
          <w:r>
            <w:rPr>
              <w:rFonts w:hint="eastAsia"/>
            </w:rPr>
            <w:fldChar w:fldCharType="end"/>
          </w:r>
        </w:p>
        <w:p w14:paraId="4997B702">
          <w:pPr>
            <w:pStyle w:val="11"/>
            <w:tabs>
              <w:tab w:val="right" w:leader="dot" w:pos="8640"/>
            </w:tabs>
          </w:pPr>
          <w:r>
            <w:rPr>
              <w:rFonts w:hint="eastAsia"/>
            </w:rPr>
            <w:fldChar w:fldCharType="begin"/>
          </w:r>
          <w:r>
            <w:rPr>
              <w:rFonts w:hint="eastAsia"/>
            </w:rPr>
            <w:instrText xml:space="preserve"> HYPERLINK \l _Toc29925 </w:instrText>
          </w:r>
          <w:r>
            <w:rPr>
              <w:rFonts w:hint="eastAsia"/>
            </w:rPr>
            <w:fldChar w:fldCharType="separate"/>
          </w:r>
          <w:r>
            <w:rPr>
              <w:rFonts w:hint="default"/>
              <w:lang w:val="en-US" w:eastAsia="zh-CN"/>
            </w:rPr>
            <w:t xml:space="preserve">1.1 </w:t>
          </w:r>
          <w:r>
            <w:t>研究背景</w:t>
          </w:r>
          <w:r>
            <w:rPr>
              <w:rFonts w:hint="eastAsia"/>
              <w:lang w:val="en-US" w:eastAsia="zh-CN"/>
            </w:rPr>
            <w:t>及意义</w:t>
          </w:r>
          <w:r>
            <w:tab/>
          </w:r>
          <w:r>
            <w:fldChar w:fldCharType="begin"/>
          </w:r>
          <w:r>
            <w:instrText xml:space="preserve"> PAGEREF _Toc29925 \h </w:instrText>
          </w:r>
          <w:r>
            <w:fldChar w:fldCharType="separate"/>
          </w:r>
          <w:r>
            <w:t>7</w:t>
          </w:r>
          <w:r>
            <w:fldChar w:fldCharType="end"/>
          </w:r>
          <w:r>
            <w:rPr>
              <w:rFonts w:hint="eastAsia"/>
            </w:rPr>
            <w:fldChar w:fldCharType="end"/>
          </w:r>
        </w:p>
        <w:p w14:paraId="1D5C08AF">
          <w:pPr>
            <w:pStyle w:val="7"/>
            <w:tabs>
              <w:tab w:val="right" w:leader="dot" w:pos="8640"/>
            </w:tabs>
          </w:pPr>
          <w:r>
            <w:rPr>
              <w:rFonts w:hint="eastAsia"/>
            </w:rPr>
            <w:fldChar w:fldCharType="begin"/>
          </w:r>
          <w:r>
            <w:rPr>
              <w:rFonts w:hint="eastAsia"/>
            </w:rPr>
            <w:instrText xml:space="preserve"> HYPERLINK \l _Toc16495 </w:instrText>
          </w:r>
          <w:r>
            <w:rPr>
              <w:rFonts w:hint="eastAsia"/>
            </w:rPr>
            <w:fldChar w:fldCharType="separate"/>
          </w:r>
          <w:r>
            <w:rPr>
              <w:rFonts w:hint="default"/>
              <w:lang w:val="en-US" w:eastAsia="zh-CN"/>
            </w:rPr>
            <w:t>1.1.1  研究背景</w:t>
          </w:r>
          <w:r>
            <w:tab/>
          </w:r>
          <w:r>
            <w:fldChar w:fldCharType="begin"/>
          </w:r>
          <w:r>
            <w:instrText xml:space="preserve"> PAGEREF _Toc16495 \h </w:instrText>
          </w:r>
          <w:r>
            <w:fldChar w:fldCharType="separate"/>
          </w:r>
          <w:r>
            <w:t>7</w:t>
          </w:r>
          <w:r>
            <w:fldChar w:fldCharType="end"/>
          </w:r>
          <w:r>
            <w:rPr>
              <w:rFonts w:hint="eastAsia"/>
            </w:rPr>
            <w:fldChar w:fldCharType="end"/>
          </w:r>
        </w:p>
        <w:p w14:paraId="24165A38">
          <w:pPr>
            <w:pStyle w:val="7"/>
            <w:tabs>
              <w:tab w:val="right" w:leader="dot" w:pos="8640"/>
            </w:tabs>
          </w:pPr>
          <w:r>
            <w:rPr>
              <w:rFonts w:hint="eastAsia"/>
            </w:rPr>
            <w:fldChar w:fldCharType="begin"/>
          </w:r>
          <w:r>
            <w:rPr>
              <w:rFonts w:hint="eastAsia"/>
            </w:rPr>
            <w:instrText xml:space="preserve"> HYPERLINK \l _Toc8628 </w:instrText>
          </w:r>
          <w:r>
            <w:rPr>
              <w:rFonts w:hint="eastAsia"/>
            </w:rPr>
            <w:fldChar w:fldCharType="separate"/>
          </w:r>
          <w:r>
            <w:rPr>
              <w:rFonts w:hint="eastAsia"/>
            </w:rPr>
            <w:t>1.1.2  研究意义</w:t>
          </w:r>
          <w:r>
            <w:rPr>
              <w:rFonts w:hint="eastAsia"/>
              <w:lang w:val="en-US" w:eastAsia="zh-CN"/>
            </w:rPr>
            <w:t>与创新点</w:t>
          </w:r>
          <w:r>
            <w:tab/>
          </w:r>
          <w:r>
            <w:fldChar w:fldCharType="begin"/>
          </w:r>
          <w:r>
            <w:instrText xml:space="preserve"> PAGEREF _Toc8628 \h </w:instrText>
          </w:r>
          <w:r>
            <w:fldChar w:fldCharType="separate"/>
          </w:r>
          <w:r>
            <w:t>7</w:t>
          </w:r>
          <w:r>
            <w:fldChar w:fldCharType="end"/>
          </w:r>
          <w:r>
            <w:rPr>
              <w:rFonts w:hint="eastAsia"/>
            </w:rPr>
            <w:fldChar w:fldCharType="end"/>
          </w:r>
        </w:p>
        <w:p w14:paraId="7C3BD5E7">
          <w:pPr>
            <w:pStyle w:val="10"/>
            <w:tabs>
              <w:tab w:val="right" w:leader="dot" w:pos="8640"/>
            </w:tabs>
          </w:pPr>
          <w:r>
            <w:rPr>
              <w:rFonts w:hint="eastAsia"/>
            </w:rPr>
            <w:fldChar w:fldCharType="begin"/>
          </w:r>
          <w:r>
            <w:rPr>
              <w:rFonts w:hint="eastAsia"/>
            </w:rPr>
            <w:instrText xml:space="preserve"> HYPERLINK \l _Toc22311 </w:instrText>
          </w:r>
          <w:r>
            <w:rPr>
              <w:rFonts w:hint="eastAsia"/>
            </w:rPr>
            <w:fldChar w:fldCharType="separate"/>
          </w:r>
          <w:r>
            <w:rPr>
              <w:rFonts w:ascii="Times New Roman" w:hAnsi="Times New Roman" w:cs="Times New Roman"/>
            </w:rPr>
            <w:t>第 2 章</w:t>
          </w:r>
          <w:r>
            <w:rPr>
              <w:rFonts w:hint="eastAsia" w:ascii="Times New Roman" w:hAnsi="Times New Roman" w:cs="Times New Roman"/>
              <w:lang w:val="en-US" w:eastAsia="zh-CN"/>
            </w:rPr>
            <w:t xml:space="preserve"> </w:t>
          </w:r>
          <w:r>
            <w:rPr>
              <w:rFonts w:ascii="Times New Roman" w:hAnsi="Times New Roman" w:cs="Times New Roman"/>
            </w:rPr>
            <w:t>文献综述</w:t>
          </w:r>
          <w:r>
            <w:rPr>
              <w:rFonts w:hint="eastAsia" w:ascii="Times New Roman" w:hAnsi="Times New Roman" w:cs="Times New Roman"/>
              <w:lang w:val="en-US" w:eastAsia="zh-CN"/>
            </w:rPr>
            <w:t>与研究假设</w:t>
          </w:r>
          <w:r>
            <w:tab/>
          </w:r>
          <w:r>
            <w:fldChar w:fldCharType="begin"/>
          </w:r>
          <w:r>
            <w:instrText xml:space="preserve"> PAGEREF _Toc22311 \h </w:instrText>
          </w:r>
          <w:r>
            <w:fldChar w:fldCharType="separate"/>
          </w:r>
          <w:r>
            <w:t>9</w:t>
          </w:r>
          <w:r>
            <w:fldChar w:fldCharType="end"/>
          </w:r>
          <w:r>
            <w:rPr>
              <w:rFonts w:hint="eastAsia"/>
            </w:rPr>
            <w:fldChar w:fldCharType="end"/>
          </w:r>
        </w:p>
        <w:p w14:paraId="687A089C">
          <w:pPr>
            <w:pStyle w:val="11"/>
            <w:tabs>
              <w:tab w:val="right" w:leader="dot" w:pos="8640"/>
            </w:tabs>
          </w:pPr>
          <w:r>
            <w:rPr>
              <w:rFonts w:hint="eastAsia"/>
            </w:rPr>
            <w:fldChar w:fldCharType="begin"/>
          </w:r>
          <w:r>
            <w:rPr>
              <w:rFonts w:hint="eastAsia"/>
            </w:rPr>
            <w:instrText xml:space="preserve"> HYPERLINK \l _Toc31800 </w:instrText>
          </w:r>
          <w:r>
            <w:rPr>
              <w:rFonts w:hint="eastAsia"/>
            </w:rPr>
            <w:fldChar w:fldCharType="separate"/>
          </w:r>
          <w:r>
            <w:t>2.1  需求侧减排的成本效益分析与非经济成本</w:t>
          </w:r>
          <w:r>
            <w:tab/>
          </w:r>
          <w:r>
            <w:fldChar w:fldCharType="begin"/>
          </w:r>
          <w:r>
            <w:instrText xml:space="preserve"> PAGEREF _Toc31800 \h </w:instrText>
          </w:r>
          <w:r>
            <w:fldChar w:fldCharType="separate"/>
          </w:r>
          <w:r>
            <w:t>9</w:t>
          </w:r>
          <w:r>
            <w:fldChar w:fldCharType="end"/>
          </w:r>
          <w:r>
            <w:rPr>
              <w:rFonts w:hint="eastAsia"/>
            </w:rPr>
            <w:fldChar w:fldCharType="end"/>
          </w:r>
        </w:p>
        <w:p w14:paraId="1DC626A0">
          <w:pPr>
            <w:pStyle w:val="11"/>
            <w:tabs>
              <w:tab w:val="right" w:leader="dot" w:pos="8640"/>
            </w:tabs>
          </w:pPr>
          <w:r>
            <w:rPr>
              <w:rFonts w:hint="eastAsia"/>
            </w:rPr>
            <w:fldChar w:fldCharType="begin"/>
          </w:r>
          <w:r>
            <w:rPr>
              <w:rFonts w:hint="eastAsia"/>
            </w:rPr>
            <w:instrText xml:space="preserve"> HYPERLINK \l _Toc2362 </w:instrText>
          </w:r>
          <w:r>
            <w:rPr>
              <w:rFonts w:hint="eastAsia"/>
            </w:rPr>
            <w:fldChar w:fldCharType="separate"/>
          </w:r>
          <w:r>
            <w:t>2.2  坎贝尔范式</w:t>
          </w:r>
          <w:r>
            <w:tab/>
          </w:r>
          <w:r>
            <w:fldChar w:fldCharType="begin"/>
          </w:r>
          <w:r>
            <w:instrText xml:space="preserve"> PAGEREF _Toc2362 \h </w:instrText>
          </w:r>
          <w:r>
            <w:fldChar w:fldCharType="separate"/>
          </w:r>
          <w:r>
            <w:t>9</w:t>
          </w:r>
          <w:r>
            <w:fldChar w:fldCharType="end"/>
          </w:r>
          <w:r>
            <w:rPr>
              <w:rFonts w:hint="eastAsia"/>
            </w:rPr>
            <w:fldChar w:fldCharType="end"/>
          </w:r>
        </w:p>
        <w:p w14:paraId="46E74428">
          <w:pPr>
            <w:pStyle w:val="11"/>
            <w:tabs>
              <w:tab w:val="right" w:leader="dot" w:pos="8640"/>
            </w:tabs>
          </w:pPr>
          <w:r>
            <w:rPr>
              <w:rFonts w:hint="eastAsia"/>
            </w:rPr>
            <w:fldChar w:fldCharType="begin"/>
          </w:r>
          <w:r>
            <w:rPr>
              <w:rFonts w:hint="eastAsia"/>
            </w:rPr>
            <w:instrText xml:space="preserve"> HYPERLINK \l _Toc18497 </w:instrText>
          </w:r>
          <w:r>
            <w:rPr>
              <w:rFonts w:hint="eastAsia"/>
            </w:rPr>
            <w:fldChar w:fldCharType="separate"/>
          </w:r>
          <w:r>
            <w:t>2.3  反弹效应</w:t>
          </w:r>
          <w:r>
            <w:tab/>
          </w:r>
          <w:r>
            <w:fldChar w:fldCharType="begin"/>
          </w:r>
          <w:r>
            <w:instrText xml:space="preserve"> PAGEREF _Toc18497 \h </w:instrText>
          </w:r>
          <w:r>
            <w:fldChar w:fldCharType="separate"/>
          </w:r>
          <w:r>
            <w:t>9</w:t>
          </w:r>
          <w:r>
            <w:fldChar w:fldCharType="end"/>
          </w:r>
          <w:r>
            <w:rPr>
              <w:rFonts w:hint="eastAsia"/>
            </w:rPr>
            <w:fldChar w:fldCharType="end"/>
          </w:r>
        </w:p>
        <w:p w14:paraId="5206E1C2">
          <w:pPr>
            <w:pStyle w:val="7"/>
            <w:tabs>
              <w:tab w:val="right" w:leader="dot" w:pos="8640"/>
            </w:tabs>
          </w:pPr>
          <w:r>
            <w:rPr>
              <w:rFonts w:hint="eastAsia"/>
            </w:rPr>
            <w:fldChar w:fldCharType="begin"/>
          </w:r>
          <w:r>
            <w:rPr>
              <w:rFonts w:hint="eastAsia"/>
            </w:rPr>
            <w:instrText xml:space="preserve"> HYPERLINK \l _Toc2297 </w:instrText>
          </w:r>
          <w:r>
            <w:rPr>
              <w:rFonts w:hint="eastAsia"/>
            </w:rPr>
            <w:fldChar w:fldCharType="separate"/>
          </w:r>
          <w:r>
            <w:t>2.3.1 直接反弹效应</w:t>
          </w:r>
          <w:r>
            <w:tab/>
          </w:r>
          <w:r>
            <w:fldChar w:fldCharType="begin"/>
          </w:r>
          <w:r>
            <w:instrText xml:space="preserve"> PAGEREF _Toc2297 \h </w:instrText>
          </w:r>
          <w:r>
            <w:fldChar w:fldCharType="separate"/>
          </w:r>
          <w:r>
            <w:t>9</w:t>
          </w:r>
          <w:r>
            <w:fldChar w:fldCharType="end"/>
          </w:r>
          <w:r>
            <w:rPr>
              <w:rFonts w:hint="eastAsia"/>
            </w:rPr>
            <w:fldChar w:fldCharType="end"/>
          </w:r>
        </w:p>
        <w:p w14:paraId="18B64D8C">
          <w:pPr>
            <w:pStyle w:val="7"/>
            <w:tabs>
              <w:tab w:val="right" w:leader="dot" w:pos="8640"/>
            </w:tabs>
          </w:pPr>
          <w:r>
            <w:rPr>
              <w:rFonts w:hint="eastAsia"/>
            </w:rPr>
            <w:fldChar w:fldCharType="begin"/>
          </w:r>
          <w:r>
            <w:rPr>
              <w:rFonts w:hint="eastAsia"/>
            </w:rPr>
            <w:instrText xml:space="preserve"> HYPERLINK \l _Toc32152 </w:instrText>
          </w:r>
          <w:r>
            <w:rPr>
              <w:rFonts w:hint="eastAsia"/>
            </w:rPr>
            <w:fldChar w:fldCharType="separate"/>
          </w:r>
          <w:r>
            <w:rPr>
              <w:rFonts w:hint="default"/>
            </w:rPr>
            <w:t>2.3.</w:t>
          </w:r>
          <w:r>
            <w:rPr>
              <w:rFonts w:hint="eastAsia"/>
              <w:lang w:val="en-US" w:eastAsia="zh-CN"/>
            </w:rPr>
            <w:t>2</w:t>
          </w:r>
          <w:r>
            <w:rPr>
              <w:rFonts w:hint="default"/>
            </w:rPr>
            <w:t xml:space="preserve"> 间接反弹效应</w:t>
          </w:r>
          <w:r>
            <w:rPr>
              <w:rFonts w:hint="eastAsia"/>
              <w:lang w:eastAsia="zh-CN"/>
            </w:rPr>
            <w:t>—</w:t>
          </w:r>
          <w:r>
            <w:rPr>
              <w:rFonts w:hint="default"/>
            </w:rPr>
            <w:t>经济反弹</w:t>
          </w:r>
          <w:r>
            <w:tab/>
          </w:r>
          <w:r>
            <w:fldChar w:fldCharType="begin"/>
          </w:r>
          <w:r>
            <w:instrText xml:space="preserve"> PAGEREF _Toc32152 \h </w:instrText>
          </w:r>
          <w:r>
            <w:fldChar w:fldCharType="separate"/>
          </w:r>
          <w:r>
            <w:t>11</w:t>
          </w:r>
          <w:r>
            <w:fldChar w:fldCharType="end"/>
          </w:r>
          <w:r>
            <w:rPr>
              <w:rFonts w:hint="eastAsia"/>
            </w:rPr>
            <w:fldChar w:fldCharType="end"/>
          </w:r>
        </w:p>
        <w:p w14:paraId="34FCFA80">
          <w:pPr>
            <w:pStyle w:val="7"/>
            <w:tabs>
              <w:tab w:val="right" w:leader="dot" w:pos="8640"/>
            </w:tabs>
          </w:pPr>
          <w:r>
            <w:rPr>
              <w:rFonts w:hint="eastAsia"/>
            </w:rPr>
            <w:fldChar w:fldCharType="begin"/>
          </w:r>
          <w:r>
            <w:rPr>
              <w:rFonts w:hint="eastAsia"/>
            </w:rPr>
            <w:instrText xml:space="preserve"> HYPERLINK \l _Toc10971 </w:instrText>
          </w:r>
          <w:r>
            <w:rPr>
              <w:rFonts w:hint="eastAsia"/>
            </w:rPr>
            <w:fldChar w:fldCharType="separate"/>
          </w:r>
          <w:r>
            <w:rPr>
              <w:rFonts w:hint="default"/>
            </w:rPr>
            <w:t>2.3.3 间接反弹效应</w:t>
          </w:r>
          <w:r>
            <w:rPr>
              <w:rFonts w:hint="eastAsia"/>
              <w:lang w:eastAsia="zh-CN"/>
            </w:rPr>
            <w:t>—</w:t>
          </w:r>
          <w:r>
            <w:rPr>
              <w:rFonts w:hint="default"/>
            </w:rPr>
            <w:t>心理反弹</w:t>
          </w:r>
          <w:r>
            <w:tab/>
          </w:r>
          <w:r>
            <w:fldChar w:fldCharType="begin"/>
          </w:r>
          <w:r>
            <w:instrText xml:space="preserve"> PAGEREF _Toc10971 \h </w:instrText>
          </w:r>
          <w:r>
            <w:fldChar w:fldCharType="separate"/>
          </w:r>
          <w:r>
            <w:t>11</w:t>
          </w:r>
          <w:r>
            <w:fldChar w:fldCharType="end"/>
          </w:r>
          <w:r>
            <w:rPr>
              <w:rFonts w:hint="eastAsia"/>
            </w:rPr>
            <w:fldChar w:fldCharType="end"/>
          </w:r>
        </w:p>
        <w:p w14:paraId="3AF2EF77">
          <w:pPr>
            <w:pStyle w:val="11"/>
            <w:tabs>
              <w:tab w:val="right" w:leader="dot" w:pos="8640"/>
            </w:tabs>
          </w:pPr>
          <w:r>
            <w:rPr>
              <w:rFonts w:hint="eastAsia"/>
            </w:rPr>
            <w:fldChar w:fldCharType="begin"/>
          </w:r>
          <w:r>
            <w:rPr>
              <w:rFonts w:hint="eastAsia"/>
            </w:rPr>
            <w:instrText xml:space="preserve"> HYPERLINK \l _Toc13151 </w:instrText>
          </w:r>
          <w:r>
            <w:rPr>
              <w:rFonts w:hint="eastAsia"/>
            </w:rPr>
            <w:fldChar w:fldCharType="separate"/>
          </w:r>
          <w:r>
            <w:rPr>
              <w:rFonts w:hint="eastAsia"/>
            </w:rPr>
            <w:t>2.5  研究缺口与本文定位</w:t>
          </w:r>
          <w:r>
            <w:tab/>
          </w:r>
          <w:r>
            <w:fldChar w:fldCharType="begin"/>
          </w:r>
          <w:r>
            <w:instrText xml:space="preserve"> PAGEREF _Toc13151 \h </w:instrText>
          </w:r>
          <w:r>
            <w:fldChar w:fldCharType="separate"/>
          </w:r>
          <w:r>
            <w:t>11</w:t>
          </w:r>
          <w:r>
            <w:fldChar w:fldCharType="end"/>
          </w:r>
          <w:r>
            <w:rPr>
              <w:rFonts w:hint="eastAsia"/>
            </w:rPr>
            <w:fldChar w:fldCharType="end"/>
          </w:r>
        </w:p>
        <w:p w14:paraId="1EA5BD6F">
          <w:pPr>
            <w:pStyle w:val="10"/>
            <w:tabs>
              <w:tab w:val="right" w:leader="dot" w:pos="8640"/>
            </w:tabs>
          </w:pPr>
          <w:r>
            <w:rPr>
              <w:rFonts w:hint="eastAsia"/>
            </w:rPr>
            <w:fldChar w:fldCharType="begin"/>
          </w:r>
          <w:r>
            <w:rPr>
              <w:rFonts w:hint="eastAsia"/>
            </w:rPr>
            <w:instrText xml:space="preserve"> HYPERLINK \l _Toc5082 </w:instrText>
          </w:r>
          <w:r>
            <w:rPr>
              <w:rFonts w:hint="eastAsia"/>
            </w:rPr>
            <w:fldChar w:fldCharType="separate"/>
          </w:r>
          <w:r>
            <w:rPr>
              <w:rFonts w:ascii="Times New Roman" w:hAnsi="Times New Roman" w:cs="Times New Roman"/>
            </w:rPr>
            <w:t xml:space="preserve">第 </w:t>
          </w:r>
          <w:r>
            <w:rPr>
              <w:rFonts w:hint="eastAsia" w:ascii="Times New Roman" w:hAnsi="Times New Roman" w:cs="Times New Roman"/>
              <w:lang w:val="en-US" w:eastAsia="zh-CN"/>
            </w:rPr>
            <w:t>3</w:t>
          </w:r>
          <w:r>
            <w:rPr>
              <w:rFonts w:ascii="Times New Roman" w:hAnsi="Times New Roman" w:cs="Times New Roman"/>
            </w:rPr>
            <w:t xml:space="preserve"> 章</w:t>
          </w:r>
          <w:r>
            <w:rPr>
              <w:rFonts w:hint="eastAsia" w:ascii="Times New Roman" w:hAnsi="Times New Roman" w:cs="Times New Roman"/>
              <w:lang w:val="en-US" w:eastAsia="zh-CN"/>
            </w:rPr>
            <w:t xml:space="preserve"> </w:t>
          </w:r>
          <w:r>
            <w:rPr>
              <w:rFonts w:ascii="Times New Roman" w:hAnsi="Times New Roman" w:cs="Times New Roman"/>
            </w:rPr>
            <w:t>研究方法与数据设计</w:t>
          </w:r>
          <w:r>
            <w:tab/>
          </w:r>
          <w:r>
            <w:fldChar w:fldCharType="begin"/>
          </w:r>
          <w:r>
            <w:instrText xml:space="preserve"> PAGEREF _Toc5082 \h </w:instrText>
          </w:r>
          <w:r>
            <w:fldChar w:fldCharType="separate"/>
          </w:r>
          <w:r>
            <w:t>13</w:t>
          </w:r>
          <w:r>
            <w:fldChar w:fldCharType="end"/>
          </w:r>
          <w:r>
            <w:rPr>
              <w:rFonts w:hint="eastAsia"/>
            </w:rPr>
            <w:fldChar w:fldCharType="end"/>
          </w:r>
        </w:p>
        <w:p w14:paraId="1F10F7DD">
          <w:pPr>
            <w:pStyle w:val="11"/>
            <w:tabs>
              <w:tab w:val="right" w:leader="dot" w:pos="8640"/>
            </w:tabs>
          </w:pPr>
          <w:r>
            <w:rPr>
              <w:rFonts w:hint="eastAsia"/>
            </w:rPr>
            <w:fldChar w:fldCharType="begin"/>
          </w:r>
          <w:r>
            <w:rPr>
              <w:rFonts w:hint="eastAsia"/>
            </w:rPr>
            <w:instrText xml:space="preserve"> HYPERLINK \l _Toc17288 </w:instrText>
          </w:r>
          <w:r>
            <w:rPr>
              <w:rFonts w:hint="eastAsia"/>
            </w:rPr>
            <w:fldChar w:fldCharType="separate"/>
          </w:r>
          <w:r>
            <w:rPr>
              <w:rFonts w:hint="eastAsia"/>
              <w:lang w:val="en-US" w:eastAsia="zh-CN"/>
            </w:rPr>
            <w:t>3</w:t>
          </w:r>
          <w:r>
            <w:t>.1  行为遴选与样本设计</w:t>
          </w:r>
          <w:r>
            <w:tab/>
          </w:r>
          <w:r>
            <w:fldChar w:fldCharType="begin"/>
          </w:r>
          <w:r>
            <w:instrText xml:space="preserve"> PAGEREF _Toc17288 \h </w:instrText>
          </w:r>
          <w:r>
            <w:fldChar w:fldCharType="separate"/>
          </w:r>
          <w:r>
            <w:t>13</w:t>
          </w:r>
          <w:r>
            <w:fldChar w:fldCharType="end"/>
          </w:r>
          <w:r>
            <w:rPr>
              <w:rFonts w:hint="eastAsia"/>
            </w:rPr>
            <w:fldChar w:fldCharType="end"/>
          </w:r>
        </w:p>
        <w:p w14:paraId="0451F3ED">
          <w:pPr>
            <w:pStyle w:val="7"/>
            <w:tabs>
              <w:tab w:val="right" w:leader="dot" w:pos="8640"/>
            </w:tabs>
          </w:pPr>
          <w:r>
            <w:rPr>
              <w:rFonts w:hint="eastAsia"/>
            </w:rPr>
            <w:fldChar w:fldCharType="begin"/>
          </w:r>
          <w:r>
            <w:rPr>
              <w:rFonts w:hint="eastAsia"/>
            </w:rPr>
            <w:instrText xml:space="preserve"> HYPERLINK \l _Toc17300 </w:instrText>
          </w:r>
          <w:r>
            <w:rPr>
              <w:rFonts w:hint="eastAsia"/>
            </w:rPr>
            <w:fldChar w:fldCharType="separate"/>
          </w:r>
          <w:r>
            <w:rPr>
              <w:rFonts w:hint="eastAsia"/>
              <w:lang w:val="en-US" w:eastAsia="zh-CN"/>
            </w:rPr>
            <w:t>3</w:t>
          </w:r>
          <w:r>
            <w:rPr>
              <w:rFonts w:hint="default"/>
            </w:rPr>
            <w:t>.1.1  行为遴选</w:t>
          </w:r>
          <w:r>
            <w:tab/>
          </w:r>
          <w:r>
            <w:fldChar w:fldCharType="begin"/>
          </w:r>
          <w:r>
            <w:instrText xml:space="preserve"> PAGEREF _Toc17300 \h </w:instrText>
          </w:r>
          <w:r>
            <w:fldChar w:fldCharType="separate"/>
          </w:r>
          <w:r>
            <w:t>13</w:t>
          </w:r>
          <w:r>
            <w:fldChar w:fldCharType="end"/>
          </w:r>
          <w:r>
            <w:rPr>
              <w:rFonts w:hint="eastAsia"/>
            </w:rPr>
            <w:fldChar w:fldCharType="end"/>
          </w:r>
        </w:p>
        <w:p w14:paraId="38F49510">
          <w:pPr>
            <w:pStyle w:val="7"/>
            <w:tabs>
              <w:tab w:val="right" w:leader="dot" w:pos="8640"/>
            </w:tabs>
          </w:pPr>
          <w:r>
            <w:rPr>
              <w:rFonts w:hint="eastAsia"/>
            </w:rPr>
            <w:fldChar w:fldCharType="begin"/>
          </w:r>
          <w:r>
            <w:rPr>
              <w:rFonts w:hint="eastAsia"/>
            </w:rPr>
            <w:instrText xml:space="preserve"> HYPERLINK \l _Toc20188 </w:instrText>
          </w:r>
          <w:r>
            <w:rPr>
              <w:rFonts w:hint="eastAsia"/>
            </w:rPr>
            <w:fldChar w:fldCharType="separate"/>
          </w:r>
          <w:r>
            <w:rPr>
              <w:rFonts w:hint="eastAsia"/>
              <w:lang w:val="en-US" w:eastAsia="zh-CN"/>
            </w:rPr>
            <w:t>3</w:t>
          </w:r>
          <w:r>
            <w:rPr>
              <w:rFonts w:hint="default"/>
            </w:rPr>
            <w:t>.1.2  问卷设计</w:t>
          </w:r>
          <w:r>
            <w:tab/>
          </w:r>
          <w:r>
            <w:fldChar w:fldCharType="begin"/>
          </w:r>
          <w:r>
            <w:instrText xml:space="preserve"> PAGEREF _Toc20188 \h </w:instrText>
          </w:r>
          <w:r>
            <w:fldChar w:fldCharType="separate"/>
          </w:r>
          <w:r>
            <w:t>13</w:t>
          </w:r>
          <w:r>
            <w:fldChar w:fldCharType="end"/>
          </w:r>
          <w:r>
            <w:rPr>
              <w:rFonts w:hint="eastAsia"/>
            </w:rPr>
            <w:fldChar w:fldCharType="end"/>
          </w:r>
        </w:p>
        <w:p w14:paraId="0FBDC497">
          <w:pPr>
            <w:pStyle w:val="11"/>
            <w:tabs>
              <w:tab w:val="right" w:leader="dot" w:pos="8640"/>
            </w:tabs>
          </w:pPr>
          <w:r>
            <w:rPr>
              <w:rFonts w:hint="eastAsia"/>
            </w:rPr>
            <w:fldChar w:fldCharType="begin"/>
          </w:r>
          <w:r>
            <w:rPr>
              <w:rFonts w:hint="eastAsia"/>
            </w:rPr>
            <w:instrText xml:space="preserve"> HYPERLINK \l _Toc8365 </w:instrText>
          </w:r>
          <w:r>
            <w:rPr>
              <w:rFonts w:hint="eastAsia"/>
            </w:rPr>
            <w:fldChar w:fldCharType="separate"/>
          </w:r>
          <w:r>
            <w:rPr>
              <w:rFonts w:hint="eastAsia"/>
              <w:lang w:val="en-US" w:eastAsia="zh-CN"/>
            </w:rPr>
            <w:t>3</w:t>
          </w:r>
          <w:r>
            <w:t>.3  包含动态反弹的微观 CBA 模型构建</w:t>
          </w:r>
          <w:r>
            <w:tab/>
          </w:r>
          <w:r>
            <w:fldChar w:fldCharType="begin"/>
          </w:r>
          <w:r>
            <w:instrText xml:space="preserve"> PAGEREF _Toc8365 \h </w:instrText>
          </w:r>
          <w:r>
            <w:fldChar w:fldCharType="separate"/>
          </w:r>
          <w:r>
            <w:t>13</w:t>
          </w:r>
          <w:r>
            <w:fldChar w:fldCharType="end"/>
          </w:r>
          <w:r>
            <w:rPr>
              <w:rFonts w:hint="eastAsia"/>
            </w:rPr>
            <w:fldChar w:fldCharType="end"/>
          </w:r>
        </w:p>
        <w:p w14:paraId="500F3ABE">
          <w:pPr>
            <w:pStyle w:val="7"/>
            <w:tabs>
              <w:tab w:val="right" w:leader="dot" w:pos="8640"/>
            </w:tabs>
          </w:pPr>
          <w:r>
            <w:rPr>
              <w:rFonts w:hint="eastAsia"/>
            </w:rPr>
            <w:fldChar w:fldCharType="begin"/>
          </w:r>
          <w:r>
            <w:rPr>
              <w:rFonts w:hint="eastAsia"/>
            </w:rPr>
            <w:instrText xml:space="preserve"> HYPERLINK \l _Toc20078 </w:instrText>
          </w:r>
          <w:r>
            <w:rPr>
              <w:rFonts w:hint="eastAsia"/>
            </w:rPr>
            <w:fldChar w:fldCharType="separate"/>
          </w:r>
          <w:r>
            <w:rPr>
              <w:rFonts w:hint="eastAsia"/>
              <w:lang w:val="en-US" w:eastAsia="zh-CN"/>
            </w:rPr>
            <w:t>3</w:t>
          </w:r>
          <w:r>
            <w:t>.3.1</w:t>
          </w:r>
          <w:r>
            <w:rPr>
              <w:rFonts w:hint="default"/>
            </w:rPr>
            <w:t xml:space="preserve"> </w:t>
          </w:r>
          <w:r>
            <w:t>动态CBA模拟框架</w:t>
          </w:r>
          <w:r>
            <w:tab/>
          </w:r>
          <w:r>
            <w:fldChar w:fldCharType="begin"/>
          </w:r>
          <w:r>
            <w:instrText xml:space="preserve"> PAGEREF _Toc20078 \h </w:instrText>
          </w:r>
          <w:r>
            <w:fldChar w:fldCharType="separate"/>
          </w:r>
          <w:r>
            <w:t>13</w:t>
          </w:r>
          <w:r>
            <w:fldChar w:fldCharType="end"/>
          </w:r>
          <w:r>
            <w:rPr>
              <w:rFonts w:hint="eastAsia"/>
            </w:rPr>
            <w:fldChar w:fldCharType="end"/>
          </w:r>
        </w:p>
        <w:p w14:paraId="6382043D">
          <w:pPr>
            <w:pStyle w:val="7"/>
            <w:tabs>
              <w:tab w:val="right" w:leader="dot" w:pos="8640"/>
            </w:tabs>
          </w:pPr>
          <w:r>
            <w:rPr>
              <w:rFonts w:hint="eastAsia"/>
            </w:rPr>
            <w:fldChar w:fldCharType="begin"/>
          </w:r>
          <w:r>
            <w:rPr>
              <w:rFonts w:hint="eastAsia"/>
            </w:rPr>
            <w:instrText xml:space="preserve"> HYPERLINK \l _Toc8451 </w:instrText>
          </w:r>
          <w:r>
            <w:rPr>
              <w:rFonts w:hint="eastAsia"/>
            </w:rPr>
            <w:fldChar w:fldCharType="separate"/>
          </w:r>
          <w:r>
            <w:rPr>
              <w:rFonts w:hint="eastAsia"/>
              <w:lang w:val="en-US" w:eastAsia="zh-CN"/>
            </w:rPr>
            <w:t>3</w:t>
          </w:r>
          <w:r>
            <w:rPr>
              <w:rFonts w:hint="default"/>
            </w:rPr>
            <w:t>.3.2 心理反弹参数计算</w:t>
          </w:r>
          <w:r>
            <w:tab/>
          </w:r>
          <w:r>
            <w:fldChar w:fldCharType="begin"/>
          </w:r>
          <w:r>
            <w:instrText xml:space="preserve"> PAGEREF _Toc8451 \h </w:instrText>
          </w:r>
          <w:r>
            <w:fldChar w:fldCharType="separate"/>
          </w:r>
          <w:r>
            <w:t>14</w:t>
          </w:r>
          <w:r>
            <w:fldChar w:fldCharType="end"/>
          </w:r>
          <w:r>
            <w:rPr>
              <w:rFonts w:hint="eastAsia"/>
            </w:rPr>
            <w:fldChar w:fldCharType="end"/>
          </w:r>
        </w:p>
        <w:p w14:paraId="1D70D12B">
          <w:pPr>
            <w:pStyle w:val="7"/>
            <w:tabs>
              <w:tab w:val="right" w:leader="dot" w:pos="8640"/>
            </w:tabs>
          </w:pPr>
          <w:r>
            <w:rPr>
              <w:rFonts w:hint="eastAsia"/>
            </w:rPr>
            <w:fldChar w:fldCharType="begin"/>
          </w:r>
          <w:r>
            <w:rPr>
              <w:rFonts w:hint="eastAsia"/>
            </w:rPr>
            <w:instrText xml:space="preserve"> HYPERLINK \l _Toc1386 </w:instrText>
          </w:r>
          <w:r>
            <w:rPr>
              <w:rFonts w:hint="eastAsia"/>
            </w:rPr>
            <w:fldChar w:fldCharType="separate"/>
          </w:r>
          <w:r>
            <w:rPr>
              <w:rFonts w:hint="eastAsia"/>
              <w:lang w:val="en-US" w:eastAsia="zh-CN"/>
            </w:rPr>
            <w:t>3</w:t>
          </w:r>
          <w:r>
            <w:rPr>
              <w:rFonts w:hint="default"/>
            </w:rPr>
            <w:t>.3.</w:t>
          </w:r>
          <w:r>
            <w:rPr>
              <w:rFonts w:hint="eastAsia"/>
              <w:lang w:val="en-US" w:eastAsia="zh-CN"/>
            </w:rPr>
            <w:t>3</w:t>
          </w:r>
          <w:r>
            <w:rPr>
              <w:rFonts w:hint="default"/>
            </w:rPr>
            <w:t xml:space="preserve"> </w:t>
          </w:r>
          <w:r>
            <w:t>经济</w:t>
          </w:r>
          <w:r>
            <w:rPr>
              <w:rFonts w:hint="default"/>
            </w:rPr>
            <w:t>反弹参数计算</w:t>
          </w:r>
          <w:r>
            <w:tab/>
          </w:r>
          <w:r>
            <w:fldChar w:fldCharType="begin"/>
          </w:r>
          <w:r>
            <w:instrText xml:space="preserve"> PAGEREF _Toc1386 \h </w:instrText>
          </w:r>
          <w:r>
            <w:fldChar w:fldCharType="separate"/>
          </w:r>
          <w:r>
            <w:t>15</w:t>
          </w:r>
          <w:r>
            <w:fldChar w:fldCharType="end"/>
          </w:r>
          <w:r>
            <w:rPr>
              <w:rFonts w:hint="eastAsia"/>
            </w:rPr>
            <w:fldChar w:fldCharType="end"/>
          </w:r>
        </w:p>
        <w:p w14:paraId="31BB9056">
          <w:pPr>
            <w:pStyle w:val="10"/>
            <w:tabs>
              <w:tab w:val="right" w:leader="dot" w:pos="8640"/>
            </w:tabs>
          </w:pPr>
          <w:r>
            <w:rPr>
              <w:rFonts w:hint="eastAsia"/>
            </w:rPr>
            <w:fldChar w:fldCharType="begin"/>
          </w:r>
          <w:r>
            <w:rPr>
              <w:rFonts w:hint="eastAsia"/>
            </w:rPr>
            <w:instrText xml:space="preserve"> HYPERLINK \l _Toc13487 </w:instrText>
          </w:r>
          <w:r>
            <w:rPr>
              <w:rFonts w:hint="eastAsia"/>
            </w:rPr>
            <w:fldChar w:fldCharType="separate"/>
          </w:r>
          <w:r>
            <w:rPr>
              <w:rFonts w:ascii="Times New Roman" w:hAnsi="Times New Roman" w:cs="Times New Roman"/>
            </w:rPr>
            <w:t xml:space="preserve">第 </w:t>
          </w:r>
          <w:r>
            <w:rPr>
              <w:rFonts w:hint="eastAsia" w:ascii="Times New Roman" w:hAnsi="Times New Roman" w:cs="Times New Roman"/>
              <w:lang w:eastAsia="zh-CN"/>
            </w:rPr>
            <w:t>4</w:t>
          </w:r>
          <w:r>
            <w:rPr>
              <w:rFonts w:ascii="Times New Roman" w:hAnsi="Times New Roman" w:cs="Times New Roman"/>
            </w:rPr>
            <w:t xml:space="preserve"> 章</w:t>
          </w:r>
          <w:r>
            <w:rPr>
              <w:rFonts w:hint="eastAsia" w:ascii="Times New Roman" w:hAnsi="Times New Roman" w:cs="Times New Roman"/>
              <w:lang w:val="en-US" w:eastAsia="zh-CN"/>
            </w:rPr>
            <w:t xml:space="preserve"> </w:t>
          </w:r>
          <w:r>
            <w:rPr>
              <w:rFonts w:ascii="Times New Roman" w:hAnsi="Times New Roman" w:cs="Times New Roman"/>
            </w:rPr>
            <w:t>实证结果</w:t>
          </w:r>
          <w:r>
            <w:tab/>
          </w:r>
          <w:r>
            <w:fldChar w:fldCharType="begin"/>
          </w:r>
          <w:r>
            <w:instrText xml:space="preserve"> PAGEREF _Toc13487 \h </w:instrText>
          </w:r>
          <w:r>
            <w:fldChar w:fldCharType="separate"/>
          </w:r>
          <w:r>
            <w:t>16</w:t>
          </w:r>
          <w:r>
            <w:fldChar w:fldCharType="end"/>
          </w:r>
          <w:r>
            <w:rPr>
              <w:rFonts w:hint="eastAsia"/>
            </w:rPr>
            <w:fldChar w:fldCharType="end"/>
          </w:r>
        </w:p>
        <w:p w14:paraId="4C58EAF6">
          <w:pPr>
            <w:pStyle w:val="11"/>
            <w:tabs>
              <w:tab w:val="right" w:leader="dot" w:pos="8640"/>
            </w:tabs>
          </w:pPr>
          <w:r>
            <w:rPr>
              <w:rFonts w:hint="eastAsia"/>
            </w:rPr>
            <w:fldChar w:fldCharType="begin"/>
          </w:r>
          <w:r>
            <w:rPr>
              <w:rFonts w:hint="eastAsia"/>
            </w:rPr>
            <w:instrText xml:space="preserve"> HYPERLINK \l _Toc32419 </w:instrText>
          </w:r>
          <w:r>
            <w:rPr>
              <w:rFonts w:hint="eastAsia"/>
            </w:rPr>
            <w:fldChar w:fldCharType="separate"/>
          </w:r>
          <w:r>
            <w:rPr>
              <w:rFonts w:hint="eastAsia"/>
              <w:lang w:eastAsia="zh-CN"/>
            </w:rPr>
            <w:t>4</w:t>
          </w:r>
          <w:r>
            <w:t>.1  样本描述与变量基本特征</w:t>
          </w:r>
          <w:r>
            <w:tab/>
          </w:r>
          <w:r>
            <w:fldChar w:fldCharType="begin"/>
          </w:r>
          <w:r>
            <w:instrText xml:space="preserve"> PAGEREF _Toc32419 \h </w:instrText>
          </w:r>
          <w:r>
            <w:fldChar w:fldCharType="separate"/>
          </w:r>
          <w:r>
            <w:t>16</w:t>
          </w:r>
          <w:r>
            <w:fldChar w:fldCharType="end"/>
          </w:r>
          <w:r>
            <w:rPr>
              <w:rFonts w:hint="eastAsia"/>
            </w:rPr>
            <w:fldChar w:fldCharType="end"/>
          </w:r>
        </w:p>
        <w:p w14:paraId="6891CF00">
          <w:pPr>
            <w:pStyle w:val="7"/>
            <w:tabs>
              <w:tab w:val="right" w:leader="dot" w:pos="8640"/>
            </w:tabs>
          </w:pPr>
          <w:r>
            <w:rPr>
              <w:rFonts w:hint="eastAsia"/>
            </w:rPr>
            <w:fldChar w:fldCharType="begin"/>
          </w:r>
          <w:r>
            <w:rPr>
              <w:rFonts w:hint="eastAsia"/>
            </w:rPr>
            <w:instrText xml:space="preserve"> HYPERLINK \l _Toc4588 </w:instrText>
          </w:r>
          <w:r>
            <w:rPr>
              <w:rFonts w:hint="eastAsia"/>
            </w:rPr>
            <w:fldChar w:fldCharType="separate"/>
          </w:r>
          <w:r>
            <w:rPr>
              <w:rFonts w:hint="eastAsia"/>
              <w:lang w:eastAsia="zh-CN"/>
            </w:rPr>
            <w:t>4</w:t>
          </w:r>
          <w:r>
            <w:rPr>
              <w:rFonts w:hint="default"/>
            </w:rPr>
            <w:t>.1.1 样本来源与质控程序</w:t>
          </w:r>
          <w:r>
            <w:tab/>
          </w:r>
          <w:r>
            <w:fldChar w:fldCharType="begin"/>
          </w:r>
          <w:r>
            <w:instrText xml:space="preserve"> PAGEREF _Toc4588 \h </w:instrText>
          </w:r>
          <w:r>
            <w:fldChar w:fldCharType="separate"/>
          </w:r>
          <w:r>
            <w:t>16</w:t>
          </w:r>
          <w:r>
            <w:fldChar w:fldCharType="end"/>
          </w:r>
          <w:r>
            <w:rPr>
              <w:rFonts w:hint="eastAsia"/>
            </w:rPr>
            <w:fldChar w:fldCharType="end"/>
          </w:r>
        </w:p>
        <w:p w14:paraId="1F84DF79">
          <w:pPr>
            <w:pStyle w:val="7"/>
            <w:tabs>
              <w:tab w:val="right" w:leader="dot" w:pos="8640"/>
            </w:tabs>
          </w:pPr>
          <w:r>
            <w:rPr>
              <w:rFonts w:hint="eastAsia"/>
            </w:rPr>
            <w:fldChar w:fldCharType="begin"/>
          </w:r>
          <w:r>
            <w:rPr>
              <w:rFonts w:hint="eastAsia"/>
            </w:rPr>
            <w:instrText xml:space="preserve"> HYPERLINK \l _Toc23376 </w:instrText>
          </w:r>
          <w:r>
            <w:rPr>
              <w:rFonts w:hint="eastAsia"/>
            </w:rPr>
            <w:fldChar w:fldCharType="separate"/>
          </w:r>
          <w:r>
            <w:rPr>
              <w:rFonts w:hint="eastAsia"/>
              <w:lang w:eastAsia="zh-CN"/>
            </w:rPr>
            <w:t>4</w:t>
          </w:r>
          <w:r>
            <w:rPr>
              <w:rFonts w:hint="default"/>
            </w:rPr>
            <w:t>.1.2 样本人口学特征</w:t>
          </w:r>
          <w:r>
            <w:tab/>
          </w:r>
          <w:r>
            <w:fldChar w:fldCharType="begin"/>
          </w:r>
          <w:r>
            <w:instrText xml:space="preserve"> PAGEREF _Toc23376 \h </w:instrText>
          </w:r>
          <w:r>
            <w:fldChar w:fldCharType="separate"/>
          </w:r>
          <w:r>
            <w:t>16</w:t>
          </w:r>
          <w:r>
            <w:fldChar w:fldCharType="end"/>
          </w:r>
          <w:r>
            <w:rPr>
              <w:rFonts w:hint="eastAsia"/>
            </w:rPr>
            <w:fldChar w:fldCharType="end"/>
          </w:r>
        </w:p>
        <w:p w14:paraId="516CEFBA">
          <w:pPr>
            <w:pStyle w:val="7"/>
            <w:tabs>
              <w:tab w:val="right" w:leader="dot" w:pos="8640"/>
            </w:tabs>
          </w:pPr>
          <w:r>
            <w:rPr>
              <w:rFonts w:hint="eastAsia"/>
            </w:rPr>
            <w:fldChar w:fldCharType="begin"/>
          </w:r>
          <w:r>
            <w:rPr>
              <w:rFonts w:hint="eastAsia"/>
            </w:rPr>
            <w:instrText xml:space="preserve"> HYPERLINK \l _Toc12634 </w:instrText>
          </w:r>
          <w:r>
            <w:rPr>
              <w:rFonts w:hint="eastAsia"/>
            </w:rPr>
            <w:fldChar w:fldCharType="separate"/>
          </w:r>
          <w:r>
            <w:rPr>
              <w:rFonts w:hint="eastAsia"/>
              <w:lang w:val="en-US" w:eastAsia="zh-CN"/>
            </w:rPr>
            <w:t>4.1.3</w:t>
          </w:r>
          <w:r>
            <w:rPr>
              <w:rFonts w:hint="default"/>
            </w:rPr>
            <w:t xml:space="preserve"> 模拟情景设定</w:t>
          </w:r>
          <w:r>
            <w:tab/>
          </w:r>
          <w:r>
            <w:fldChar w:fldCharType="begin"/>
          </w:r>
          <w:r>
            <w:instrText xml:space="preserve"> PAGEREF _Toc12634 \h </w:instrText>
          </w:r>
          <w:r>
            <w:fldChar w:fldCharType="separate"/>
          </w:r>
          <w:r>
            <w:t>16</w:t>
          </w:r>
          <w:r>
            <w:fldChar w:fldCharType="end"/>
          </w:r>
          <w:r>
            <w:rPr>
              <w:rFonts w:hint="eastAsia"/>
            </w:rPr>
            <w:fldChar w:fldCharType="end"/>
          </w:r>
        </w:p>
        <w:p w14:paraId="0CA2441A">
          <w:pPr>
            <w:pStyle w:val="11"/>
            <w:tabs>
              <w:tab w:val="right" w:leader="dot" w:pos="8640"/>
            </w:tabs>
          </w:pPr>
          <w:r>
            <w:rPr>
              <w:rFonts w:hint="eastAsia"/>
            </w:rPr>
            <w:fldChar w:fldCharType="begin"/>
          </w:r>
          <w:r>
            <w:rPr>
              <w:rFonts w:hint="eastAsia"/>
            </w:rPr>
            <w:instrText xml:space="preserve"> HYPERLINK \l _Toc9419 </w:instrText>
          </w:r>
          <w:r>
            <w:rPr>
              <w:rFonts w:hint="eastAsia"/>
            </w:rPr>
            <w:fldChar w:fldCharType="separate"/>
          </w:r>
          <w:r>
            <w:rPr>
              <w:rFonts w:hint="eastAsia"/>
              <w:lang w:eastAsia="zh-CN"/>
            </w:rPr>
            <w:t>4</w:t>
          </w:r>
          <w:r>
            <w:t>.2  主客观阻力的交叉验证与参数校准</w:t>
          </w:r>
          <w:r>
            <w:tab/>
          </w:r>
          <w:r>
            <w:fldChar w:fldCharType="begin"/>
          </w:r>
          <w:r>
            <w:instrText xml:space="preserve"> PAGEREF _Toc9419 \h </w:instrText>
          </w:r>
          <w:r>
            <w:fldChar w:fldCharType="separate"/>
          </w:r>
          <w:r>
            <w:t>17</w:t>
          </w:r>
          <w:r>
            <w:fldChar w:fldCharType="end"/>
          </w:r>
          <w:r>
            <w:rPr>
              <w:rFonts w:hint="eastAsia"/>
            </w:rPr>
            <w:fldChar w:fldCharType="end"/>
          </w:r>
        </w:p>
        <w:p w14:paraId="5780B44A">
          <w:pPr>
            <w:pStyle w:val="11"/>
            <w:tabs>
              <w:tab w:val="right" w:leader="dot" w:pos="8640"/>
            </w:tabs>
          </w:pPr>
          <w:r>
            <w:rPr>
              <w:rFonts w:hint="eastAsia"/>
            </w:rPr>
            <w:fldChar w:fldCharType="begin"/>
          </w:r>
          <w:r>
            <w:rPr>
              <w:rFonts w:hint="eastAsia"/>
            </w:rPr>
            <w:instrText xml:space="preserve"> HYPERLINK \l _Toc1337 </w:instrText>
          </w:r>
          <w:r>
            <w:rPr>
              <w:rFonts w:hint="eastAsia"/>
            </w:rPr>
            <w:fldChar w:fldCharType="separate"/>
          </w:r>
          <w:r>
            <w:rPr>
              <w:rFonts w:hint="eastAsia"/>
              <w:lang w:eastAsia="zh-CN"/>
            </w:rPr>
            <w:t>5</w:t>
          </w:r>
          <w:r>
            <w:t>.2  净减排量重估</w:t>
          </w:r>
          <w:r>
            <w:tab/>
          </w:r>
          <w:r>
            <w:fldChar w:fldCharType="begin"/>
          </w:r>
          <w:r>
            <w:instrText xml:space="preserve"> PAGEREF _Toc1337 \h </w:instrText>
          </w:r>
          <w:r>
            <w:fldChar w:fldCharType="separate"/>
          </w:r>
          <w:r>
            <w:t>18</w:t>
          </w:r>
          <w:r>
            <w:fldChar w:fldCharType="end"/>
          </w:r>
          <w:r>
            <w:rPr>
              <w:rFonts w:hint="eastAsia"/>
            </w:rPr>
            <w:fldChar w:fldCharType="end"/>
          </w:r>
        </w:p>
        <w:p w14:paraId="0C37ECCB">
          <w:pPr>
            <w:pStyle w:val="11"/>
            <w:tabs>
              <w:tab w:val="right" w:leader="dot" w:pos="8640"/>
            </w:tabs>
          </w:pPr>
          <w:r>
            <w:rPr>
              <w:rFonts w:hint="eastAsia"/>
            </w:rPr>
            <w:fldChar w:fldCharType="begin"/>
          </w:r>
          <w:r>
            <w:rPr>
              <w:rFonts w:hint="eastAsia"/>
            </w:rPr>
            <w:instrText xml:space="preserve"> HYPERLINK \l _Toc8543 </w:instrText>
          </w:r>
          <w:r>
            <w:rPr>
              <w:rFonts w:hint="eastAsia"/>
            </w:rPr>
            <w:fldChar w:fldCharType="separate"/>
          </w:r>
          <w:r>
            <w:rPr>
              <w:rFonts w:hint="eastAsia"/>
              <w:lang w:eastAsia="zh-CN"/>
            </w:rPr>
            <w:t>5</w:t>
          </w:r>
          <w:r>
            <w:t>.3  社会福利与边际减排成本</w:t>
          </w:r>
          <w:r>
            <w:rPr>
              <w:rFonts w:hint="eastAsia"/>
              <w:lang w:val="en-US" w:eastAsia="zh-CN"/>
            </w:rPr>
            <w:t>重估</w:t>
          </w:r>
          <w:r>
            <w:tab/>
          </w:r>
          <w:r>
            <w:fldChar w:fldCharType="begin"/>
          </w:r>
          <w:r>
            <w:instrText xml:space="preserve"> PAGEREF _Toc8543 \h </w:instrText>
          </w:r>
          <w:r>
            <w:fldChar w:fldCharType="separate"/>
          </w:r>
          <w:r>
            <w:t>20</w:t>
          </w:r>
          <w:r>
            <w:fldChar w:fldCharType="end"/>
          </w:r>
          <w:r>
            <w:rPr>
              <w:rFonts w:hint="eastAsia"/>
            </w:rPr>
            <w:fldChar w:fldCharType="end"/>
          </w:r>
        </w:p>
        <w:p w14:paraId="337FBEC6">
          <w:pPr>
            <w:pStyle w:val="11"/>
            <w:tabs>
              <w:tab w:val="right" w:leader="dot" w:pos="8640"/>
            </w:tabs>
          </w:pPr>
          <w:r>
            <w:rPr>
              <w:rFonts w:hint="eastAsia"/>
            </w:rPr>
            <w:fldChar w:fldCharType="begin"/>
          </w:r>
          <w:r>
            <w:rPr>
              <w:rFonts w:hint="eastAsia"/>
            </w:rPr>
            <w:instrText xml:space="preserve"> HYPERLINK \l _Toc2954 </w:instrText>
          </w:r>
          <w:r>
            <w:rPr>
              <w:rFonts w:hint="eastAsia"/>
            </w:rPr>
            <w:fldChar w:fldCharType="separate"/>
          </w:r>
          <w:r>
            <w:rPr>
              <w:rFonts w:hint="eastAsia"/>
              <w:lang w:eastAsia="zh-CN"/>
            </w:rPr>
            <w:t>4</w:t>
          </w:r>
          <w:r>
            <w:t>.</w:t>
          </w:r>
          <w:r>
            <w:rPr>
              <w:rFonts w:hint="eastAsia"/>
            </w:rPr>
            <w:t>6</w:t>
          </w:r>
          <w:r>
            <w:t xml:space="preserve">  </w:t>
          </w:r>
          <w:r>
            <w:rPr>
              <w:rFonts w:hint="eastAsia"/>
            </w:rPr>
            <w:t>机器学习分析：反弹倾向驱动特征的非线性识别</w:t>
          </w:r>
          <w:r>
            <w:tab/>
          </w:r>
          <w:r>
            <w:fldChar w:fldCharType="begin"/>
          </w:r>
          <w:r>
            <w:instrText xml:space="preserve"> PAGEREF _Toc2954 \h </w:instrText>
          </w:r>
          <w:r>
            <w:fldChar w:fldCharType="separate"/>
          </w:r>
          <w:r>
            <w:t>22</w:t>
          </w:r>
          <w:r>
            <w:fldChar w:fldCharType="end"/>
          </w:r>
          <w:r>
            <w:rPr>
              <w:rFonts w:hint="eastAsia"/>
            </w:rPr>
            <w:fldChar w:fldCharType="end"/>
          </w:r>
        </w:p>
        <w:p w14:paraId="0BC8C09D">
          <w:pPr>
            <w:pStyle w:val="7"/>
            <w:tabs>
              <w:tab w:val="right" w:leader="dot" w:pos="8640"/>
            </w:tabs>
          </w:pPr>
          <w:r>
            <w:rPr>
              <w:rFonts w:hint="eastAsia"/>
            </w:rPr>
            <w:fldChar w:fldCharType="begin"/>
          </w:r>
          <w:r>
            <w:rPr>
              <w:rFonts w:hint="eastAsia"/>
            </w:rPr>
            <w:instrText xml:space="preserve"> HYPERLINK \l _Toc27746 </w:instrText>
          </w:r>
          <w:r>
            <w:rPr>
              <w:rFonts w:hint="eastAsia"/>
            </w:rPr>
            <w:fldChar w:fldCharType="separate"/>
          </w:r>
          <w:r>
            <w:rPr>
              <w:rFonts w:hint="eastAsia"/>
              <w:lang w:eastAsia="zh-CN"/>
            </w:rPr>
            <w:t>4</w:t>
          </w:r>
          <w:r>
            <w:t>.6.1 分析框架与模型设定</w:t>
          </w:r>
          <w:r>
            <w:tab/>
          </w:r>
          <w:r>
            <w:fldChar w:fldCharType="begin"/>
          </w:r>
          <w:r>
            <w:instrText xml:space="preserve"> PAGEREF _Toc27746 \h </w:instrText>
          </w:r>
          <w:r>
            <w:fldChar w:fldCharType="separate"/>
          </w:r>
          <w:r>
            <w:t>22</w:t>
          </w:r>
          <w:r>
            <w:fldChar w:fldCharType="end"/>
          </w:r>
          <w:r>
            <w:rPr>
              <w:rFonts w:hint="eastAsia"/>
            </w:rPr>
            <w:fldChar w:fldCharType="end"/>
          </w:r>
        </w:p>
        <w:p w14:paraId="7709B06D">
          <w:pPr>
            <w:pStyle w:val="11"/>
            <w:tabs>
              <w:tab w:val="right" w:leader="dot" w:pos="8640"/>
            </w:tabs>
          </w:pPr>
          <w:r>
            <w:rPr>
              <w:rFonts w:hint="eastAsia"/>
            </w:rPr>
            <w:fldChar w:fldCharType="begin"/>
          </w:r>
          <w:r>
            <w:rPr>
              <w:rFonts w:hint="eastAsia"/>
            </w:rPr>
            <w:instrText xml:space="preserve"> HYPERLINK \l _Toc6719 </w:instrText>
          </w:r>
          <w:r>
            <w:rPr>
              <w:rFonts w:hint="eastAsia"/>
            </w:rPr>
            <w:fldChar w:fldCharType="separate"/>
          </w:r>
          <w:r>
            <w:rPr>
              <w:rFonts w:hint="eastAsia"/>
              <w:lang w:eastAsia="zh-CN"/>
            </w:rPr>
            <w:t>4</w:t>
          </w:r>
          <w:r>
            <w:t>.4  心理反弹</w:t>
          </w:r>
          <w:r>
            <w:rPr>
              <w:rFonts w:hint="eastAsia"/>
              <w:lang w:val="en-US" w:eastAsia="zh-CN"/>
            </w:rPr>
            <w:t>机制检验</w:t>
          </w:r>
          <w:r>
            <w:tab/>
          </w:r>
          <w:r>
            <w:fldChar w:fldCharType="begin"/>
          </w:r>
          <w:r>
            <w:instrText xml:space="preserve"> PAGEREF _Toc6719 \h </w:instrText>
          </w:r>
          <w:r>
            <w:fldChar w:fldCharType="separate"/>
          </w:r>
          <w:r>
            <w:t>25</w:t>
          </w:r>
          <w:r>
            <w:fldChar w:fldCharType="end"/>
          </w:r>
          <w:r>
            <w:rPr>
              <w:rFonts w:hint="eastAsia"/>
            </w:rPr>
            <w:fldChar w:fldCharType="end"/>
          </w:r>
        </w:p>
        <w:p w14:paraId="5CE9E795">
          <w:pPr>
            <w:pStyle w:val="7"/>
            <w:tabs>
              <w:tab w:val="right" w:leader="dot" w:pos="8640"/>
            </w:tabs>
          </w:pPr>
          <w:r>
            <w:rPr>
              <w:rFonts w:hint="eastAsia"/>
            </w:rPr>
            <w:fldChar w:fldCharType="begin"/>
          </w:r>
          <w:r>
            <w:rPr>
              <w:rFonts w:hint="eastAsia"/>
            </w:rPr>
            <w:instrText xml:space="preserve"> HYPERLINK \l _Toc21544 </w:instrText>
          </w:r>
          <w:r>
            <w:rPr>
              <w:rFonts w:hint="eastAsia"/>
            </w:rPr>
            <w:fldChar w:fldCharType="separate"/>
          </w:r>
          <w:r>
            <w:rPr>
              <w:rFonts w:hint="eastAsia"/>
              <w:lang w:val="en-US" w:eastAsia="zh-CN"/>
            </w:rPr>
            <w:t>6.1.1 需求侧的政策优选四象限矩阵</w:t>
          </w:r>
          <w:r>
            <w:tab/>
          </w:r>
          <w:r>
            <w:fldChar w:fldCharType="begin"/>
          </w:r>
          <w:r>
            <w:instrText xml:space="preserve"> PAGEREF _Toc21544 \h </w:instrText>
          </w:r>
          <w:r>
            <w:fldChar w:fldCharType="separate"/>
          </w:r>
          <w:r>
            <w:t>26</w:t>
          </w:r>
          <w:r>
            <w:fldChar w:fldCharType="end"/>
          </w:r>
          <w:r>
            <w:rPr>
              <w:rFonts w:hint="eastAsia"/>
            </w:rPr>
            <w:fldChar w:fldCharType="end"/>
          </w:r>
        </w:p>
        <w:p w14:paraId="54C38666">
          <w:pPr>
            <w:pStyle w:val="11"/>
            <w:tabs>
              <w:tab w:val="right" w:leader="dot" w:pos="8640"/>
            </w:tabs>
          </w:pPr>
          <w:r>
            <w:rPr>
              <w:rFonts w:hint="eastAsia"/>
            </w:rPr>
            <w:fldChar w:fldCharType="begin"/>
          </w:r>
          <w:r>
            <w:rPr>
              <w:rFonts w:hint="eastAsia"/>
            </w:rPr>
            <w:instrText xml:space="preserve"> HYPERLINK \l _Toc32223 </w:instrText>
          </w:r>
          <w:r>
            <w:rPr>
              <w:rFonts w:hint="eastAsia"/>
            </w:rPr>
            <w:fldChar w:fldCharType="separate"/>
          </w:r>
          <w:r>
            <w:rPr>
              <w:rFonts w:hint="eastAsia"/>
              <w:lang w:eastAsia="zh-CN"/>
            </w:rPr>
            <w:t>5</w:t>
          </w:r>
          <w:r>
            <w:t xml:space="preserve">.4  </w:t>
          </w:r>
          <w:r>
            <w:rPr>
              <w:rFonts w:hint="eastAsia"/>
            </w:rPr>
            <w:t>蒙特卡洛内部敏感性分析</w:t>
          </w:r>
          <w:r>
            <w:tab/>
          </w:r>
          <w:r>
            <w:fldChar w:fldCharType="begin"/>
          </w:r>
          <w:r>
            <w:instrText xml:space="preserve"> PAGEREF _Toc32223 \h </w:instrText>
          </w:r>
          <w:r>
            <w:fldChar w:fldCharType="separate"/>
          </w:r>
          <w:r>
            <w:t>28</w:t>
          </w:r>
          <w:r>
            <w:fldChar w:fldCharType="end"/>
          </w:r>
          <w:r>
            <w:rPr>
              <w:rFonts w:hint="eastAsia"/>
            </w:rPr>
            <w:fldChar w:fldCharType="end"/>
          </w:r>
        </w:p>
        <w:p w14:paraId="594892EF">
          <w:pPr>
            <w:pStyle w:val="10"/>
            <w:tabs>
              <w:tab w:val="right" w:leader="dot" w:pos="8640"/>
            </w:tabs>
          </w:pPr>
          <w:r>
            <w:rPr>
              <w:rFonts w:hint="eastAsia"/>
            </w:rPr>
            <w:fldChar w:fldCharType="begin"/>
          </w:r>
          <w:r>
            <w:rPr>
              <w:rFonts w:hint="eastAsia"/>
            </w:rPr>
            <w:instrText xml:space="preserve"> HYPERLINK \l _Toc21656 </w:instrText>
          </w:r>
          <w:r>
            <w:rPr>
              <w:rFonts w:hint="eastAsia"/>
            </w:rPr>
            <w:fldChar w:fldCharType="separate"/>
          </w:r>
          <w:r>
            <w:rPr>
              <w:rFonts w:ascii="Times New Roman" w:hAnsi="Times New Roman" w:cs="Times New Roman"/>
            </w:rPr>
            <w:t xml:space="preserve">第 </w:t>
          </w:r>
          <w:r>
            <w:rPr>
              <w:rFonts w:hint="eastAsia" w:ascii="Times New Roman" w:hAnsi="Times New Roman" w:cs="Times New Roman"/>
              <w:lang w:eastAsia="zh-CN"/>
            </w:rPr>
            <w:t>6</w:t>
          </w:r>
          <w:r>
            <w:rPr>
              <w:rFonts w:ascii="Times New Roman" w:hAnsi="Times New Roman" w:cs="Times New Roman"/>
            </w:rPr>
            <w:t xml:space="preserve"> 章</w:t>
          </w:r>
          <w:r>
            <w:rPr>
              <w:rFonts w:hint="eastAsia" w:ascii="Times New Roman" w:hAnsi="Times New Roman" w:cs="Times New Roman"/>
            </w:rPr>
            <w:t xml:space="preserve"> </w:t>
          </w:r>
          <w:r>
            <w:rPr>
              <w:rFonts w:hint="eastAsia" w:ascii="Times New Roman" w:hAnsi="Times New Roman" w:cs="Times New Roman"/>
              <w:lang w:val="en-US" w:eastAsia="zh-CN"/>
            </w:rPr>
            <w:t>结论与局限</w:t>
          </w:r>
          <w:r>
            <w:tab/>
          </w:r>
          <w:r>
            <w:fldChar w:fldCharType="begin"/>
          </w:r>
          <w:r>
            <w:instrText xml:space="preserve"> PAGEREF _Toc21656 \h </w:instrText>
          </w:r>
          <w:r>
            <w:fldChar w:fldCharType="separate"/>
          </w:r>
          <w:r>
            <w:t>30</w:t>
          </w:r>
          <w:r>
            <w:fldChar w:fldCharType="end"/>
          </w:r>
          <w:r>
            <w:rPr>
              <w:rFonts w:hint="eastAsia"/>
            </w:rPr>
            <w:fldChar w:fldCharType="end"/>
          </w:r>
        </w:p>
        <w:p w14:paraId="7F38114F">
          <w:pPr>
            <w:pStyle w:val="11"/>
            <w:tabs>
              <w:tab w:val="right" w:leader="dot" w:pos="8640"/>
            </w:tabs>
          </w:pPr>
          <w:r>
            <w:rPr>
              <w:rFonts w:hint="eastAsia"/>
            </w:rPr>
            <w:fldChar w:fldCharType="begin"/>
          </w:r>
          <w:r>
            <w:rPr>
              <w:rFonts w:hint="eastAsia"/>
            </w:rPr>
            <w:instrText xml:space="preserve"> HYPERLINK \l _Toc1603 </w:instrText>
          </w:r>
          <w:r>
            <w:rPr>
              <w:rFonts w:hint="eastAsia"/>
            </w:rPr>
            <w:fldChar w:fldCharType="separate"/>
          </w:r>
          <w:r>
            <w:rPr>
              <w:rFonts w:hint="eastAsia"/>
              <w:lang w:val="en-US" w:eastAsia="zh-CN"/>
            </w:rPr>
            <w:t>6.1 结论</w:t>
          </w:r>
          <w:r>
            <w:tab/>
          </w:r>
          <w:r>
            <w:fldChar w:fldCharType="begin"/>
          </w:r>
          <w:r>
            <w:instrText xml:space="preserve"> PAGEREF _Toc1603 \h </w:instrText>
          </w:r>
          <w:r>
            <w:fldChar w:fldCharType="separate"/>
          </w:r>
          <w:r>
            <w:t>30</w:t>
          </w:r>
          <w:r>
            <w:fldChar w:fldCharType="end"/>
          </w:r>
          <w:r>
            <w:rPr>
              <w:rFonts w:hint="eastAsia"/>
            </w:rPr>
            <w:fldChar w:fldCharType="end"/>
          </w:r>
        </w:p>
        <w:p w14:paraId="2C185841">
          <w:pPr>
            <w:pStyle w:val="11"/>
            <w:tabs>
              <w:tab w:val="right" w:leader="dot" w:pos="8640"/>
            </w:tabs>
          </w:pPr>
          <w:r>
            <w:rPr>
              <w:rFonts w:hint="eastAsia"/>
            </w:rPr>
            <w:fldChar w:fldCharType="begin"/>
          </w:r>
          <w:r>
            <w:rPr>
              <w:rFonts w:hint="eastAsia"/>
            </w:rPr>
            <w:instrText xml:space="preserve"> HYPERLINK \l _Toc31596 </w:instrText>
          </w:r>
          <w:r>
            <w:rPr>
              <w:rFonts w:hint="eastAsia"/>
            </w:rPr>
            <w:fldChar w:fldCharType="separate"/>
          </w:r>
          <w:r>
            <w:rPr>
              <w:rFonts w:hint="eastAsia"/>
              <w:lang w:eastAsia="zh-CN"/>
            </w:rPr>
            <w:t>6</w:t>
          </w:r>
          <w:r>
            <w:t>.</w:t>
          </w:r>
          <w:r>
            <w:rPr>
              <w:rFonts w:hint="eastAsia"/>
              <w:lang w:val="en-US" w:eastAsia="zh-CN"/>
            </w:rPr>
            <w:t>2</w:t>
          </w:r>
          <w:r>
            <w:t xml:space="preserve">  </w:t>
          </w:r>
          <w:r>
            <w:rPr>
              <w:rFonts w:hint="eastAsia"/>
              <w:lang w:val="en-US" w:eastAsia="zh-CN"/>
            </w:rPr>
            <w:t>政策建议</w:t>
          </w:r>
          <w:r>
            <w:tab/>
          </w:r>
          <w:r>
            <w:fldChar w:fldCharType="begin"/>
          </w:r>
          <w:r>
            <w:instrText xml:space="preserve"> PAGEREF _Toc31596 \h </w:instrText>
          </w:r>
          <w:r>
            <w:fldChar w:fldCharType="separate"/>
          </w:r>
          <w:r>
            <w:t>30</w:t>
          </w:r>
          <w:r>
            <w:fldChar w:fldCharType="end"/>
          </w:r>
          <w:r>
            <w:rPr>
              <w:rFonts w:hint="eastAsia"/>
            </w:rPr>
            <w:fldChar w:fldCharType="end"/>
          </w:r>
        </w:p>
        <w:p w14:paraId="6A9DE08A">
          <w:pPr>
            <w:pStyle w:val="11"/>
            <w:tabs>
              <w:tab w:val="right" w:leader="dot" w:pos="8640"/>
            </w:tabs>
          </w:pPr>
          <w:r>
            <w:rPr>
              <w:rFonts w:hint="eastAsia"/>
            </w:rPr>
            <w:fldChar w:fldCharType="begin"/>
          </w:r>
          <w:r>
            <w:rPr>
              <w:rFonts w:hint="eastAsia"/>
            </w:rPr>
            <w:instrText xml:space="preserve"> HYPERLINK \l _Toc14946 </w:instrText>
          </w:r>
          <w:r>
            <w:rPr>
              <w:rFonts w:hint="eastAsia"/>
            </w:rPr>
            <w:fldChar w:fldCharType="separate"/>
          </w:r>
          <w:r>
            <w:rPr>
              <w:rFonts w:hint="eastAsia"/>
              <w:lang w:val="en-US" w:eastAsia="zh-CN"/>
            </w:rPr>
            <w:t>6.3</w:t>
          </w:r>
          <w:r>
            <w:t xml:space="preserve">  研究局限</w:t>
          </w:r>
          <w:r>
            <w:tab/>
          </w:r>
          <w:r>
            <w:fldChar w:fldCharType="begin"/>
          </w:r>
          <w:r>
            <w:instrText xml:space="preserve"> PAGEREF _Toc14946 \h </w:instrText>
          </w:r>
          <w:r>
            <w:fldChar w:fldCharType="separate"/>
          </w:r>
          <w:r>
            <w:t>31</w:t>
          </w:r>
          <w:r>
            <w:fldChar w:fldCharType="end"/>
          </w:r>
          <w:r>
            <w:rPr>
              <w:rFonts w:hint="eastAsia"/>
            </w:rPr>
            <w:fldChar w:fldCharType="end"/>
          </w:r>
        </w:p>
        <w:p w14:paraId="4752B89D">
          <w:pPr>
            <w:pStyle w:val="10"/>
            <w:tabs>
              <w:tab w:val="right" w:leader="dot" w:pos="8640"/>
            </w:tabs>
          </w:pPr>
          <w:r>
            <w:rPr>
              <w:rFonts w:hint="eastAsia"/>
            </w:rPr>
            <w:fldChar w:fldCharType="begin"/>
          </w:r>
          <w:r>
            <w:rPr>
              <w:rFonts w:hint="eastAsia"/>
            </w:rPr>
            <w:instrText xml:space="preserve"> HYPERLINK \l _Toc11103 </w:instrText>
          </w:r>
          <w:r>
            <w:rPr>
              <w:rFonts w:hint="eastAsia"/>
            </w:rPr>
            <w:fldChar w:fldCharType="separate"/>
          </w:r>
          <w:r>
            <w:rPr>
              <w:rFonts w:ascii="Times New Roman" w:hAnsi="Times New Roman" w:cs="Times New Roman"/>
            </w:rPr>
            <w:t>参</w:t>
          </w:r>
          <w:r>
            <w:rPr>
              <w:rFonts w:hint="eastAsia" w:ascii="Times New Roman" w:hAnsi="Times New Roman" w:cs="Times New Roman"/>
              <w:lang w:val="en-US" w:eastAsia="zh-CN"/>
            </w:rPr>
            <w:t xml:space="preserve"> </w:t>
          </w:r>
          <w:r>
            <w:rPr>
              <w:rFonts w:ascii="Times New Roman" w:hAnsi="Times New Roman" w:cs="Times New Roman"/>
            </w:rPr>
            <w:t>考</w:t>
          </w:r>
          <w:r>
            <w:rPr>
              <w:rFonts w:hint="eastAsia" w:ascii="Times New Roman" w:hAnsi="Times New Roman" w:cs="Times New Roman"/>
              <w:lang w:val="en-US" w:eastAsia="zh-CN"/>
            </w:rPr>
            <w:t xml:space="preserve"> </w:t>
          </w:r>
          <w:r>
            <w:rPr>
              <w:rFonts w:ascii="Times New Roman" w:hAnsi="Times New Roman" w:cs="Times New Roman"/>
            </w:rPr>
            <w:t>文</w:t>
          </w:r>
          <w:r>
            <w:rPr>
              <w:rFonts w:hint="eastAsia" w:ascii="Times New Roman" w:hAnsi="Times New Roman" w:cs="Times New Roman"/>
              <w:lang w:val="en-US" w:eastAsia="zh-CN"/>
            </w:rPr>
            <w:t xml:space="preserve"> </w:t>
          </w:r>
          <w:r>
            <w:rPr>
              <w:rFonts w:ascii="Times New Roman" w:hAnsi="Times New Roman" w:cs="Times New Roman"/>
            </w:rPr>
            <w:t>献</w:t>
          </w:r>
          <w:r>
            <w:tab/>
          </w:r>
          <w:r>
            <w:fldChar w:fldCharType="begin"/>
          </w:r>
          <w:r>
            <w:instrText xml:space="preserve"> PAGEREF _Toc11103 \h </w:instrText>
          </w:r>
          <w:r>
            <w:fldChar w:fldCharType="separate"/>
          </w:r>
          <w:r>
            <w:t>32</w:t>
          </w:r>
          <w:r>
            <w:fldChar w:fldCharType="end"/>
          </w:r>
          <w:r>
            <w:rPr>
              <w:rFonts w:hint="eastAsia"/>
            </w:rPr>
            <w:fldChar w:fldCharType="end"/>
          </w:r>
        </w:p>
        <w:p w14:paraId="3615DC41">
          <w:pPr>
            <w:pStyle w:val="10"/>
            <w:tabs>
              <w:tab w:val="right" w:leader="dot" w:pos="8640"/>
            </w:tabs>
          </w:pPr>
          <w:r>
            <w:rPr>
              <w:rFonts w:hint="eastAsia"/>
            </w:rPr>
            <w:fldChar w:fldCharType="begin"/>
          </w:r>
          <w:r>
            <w:rPr>
              <w:rFonts w:hint="eastAsia"/>
            </w:rPr>
            <w:instrText xml:space="preserve"> HYPERLINK \l _Toc29501 </w:instrText>
          </w:r>
          <w:r>
            <w:rPr>
              <w:rFonts w:hint="eastAsia"/>
            </w:rPr>
            <w:fldChar w:fldCharType="separate"/>
          </w:r>
          <w:r>
            <w:rPr>
              <w:rFonts w:ascii="Times New Roman" w:hAnsi="Times New Roman" w:cs="Times New Roman"/>
            </w:rPr>
            <w:t>附</w:t>
          </w:r>
          <w:r>
            <w:rPr>
              <w:rFonts w:hint="eastAsia" w:ascii="Times New Roman" w:hAnsi="Times New Roman" w:cs="Times New Roman"/>
            </w:rPr>
            <w:t xml:space="preserve"> </w:t>
          </w:r>
          <w:r>
            <w:rPr>
              <w:rFonts w:ascii="Times New Roman" w:hAnsi="Times New Roman" w:cs="Times New Roman"/>
            </w:rPr>
            <w:t>录</w:t>
          </w:r>
          <w:r>
            <w:tab/>
          </w:r>
          <w:r>
            <w:fldChar w:fldCharType="begin"/>
          </w:r>
          <w:r>
            <w:instrText xml:space="preserve"> PAGEREF _Toc29501 \h </w:instrText>
          </w:r>
          <w:r>
            <w:fldChar w:fldCharType="separate"/>
          </w:r>
          <w:r>
            <w:t>38</w:t>
          </w:r>
          <w:r>
            <w:fldChar w:fldCharType="end"/>
          </w:r>
          <w:r>
            <w:rPr>
              <w:rFonts w:hint="eastAsia"/>
            </w:rPr>
            <w:fldChar w:fldCharType="end"/>
          </w:r>
        </w:p>
        <w:p w14:paraId="4B95EB50">
          <w:pPr>
            <w:pStyle w:val="11"/>
            <w:tabs>
              <w:tab w:val="right" w:leader="dot" w:pos="8640"/>
            </w:tabs>
          </w:pPr>
          <w:r>
            <w:rPr>
              <w:rFonts w:hint="eastAsia"/>
            </w:rPr>
            <w:fldChar w:fldCharType="begin"/>
          </w:r>
          <w:r>
            <w:rPr>
              <w:rFonts w:hint="eastAsia"/>
            </w:rPr>
            <w:instrText xml:space="preserve"> HYPERLINK \l _Toc7636 </w:instrText>
          </w:r>
          <w:r>
            <w:rPr>
              <w:rFonts w:hint="eastAsia"/>
            </w:rPr>
            <w:fldChar w:fldCharType="separate"/>
          </w:r>
          <w:r>
            <w:rPr>
              <w:rFonts w:hint="eastAsia"/>
            </w:rPr>
            <w:t xml:space="preserve">附录A </w:t>
          </w:r>
          <w:r>
            <w:t>调研实施过程</w:t>
          </w:r>
          <w:r>
            <w:tab/>
          </w:r>
          <w:r>
            <w:fldChar w:fldCharType="begin"/>
          </w:r>
          <w:r>
            <w:instrText xml:space="preserve"> PAGEREF _Toc7636 \h </w:instrText>
          </w:r>
          <w:r>
            <w:fldChar w:fldCharType="separate"/>
          </w:r>
          <w:r>
            <w:t>38</w:t>
          </w:r>
          <w:r>
            <w:fldChar w:fldCharType="end"/>
          </w:r>
          <w:r>
            <w:rPr>
              <w:rFonts w:hint="eastAsia"/>
            </w:rPr>
            <w:fldChar w:fldCharType="end"/>
          </w:r>
        </w:p>
        <w:p w14:paraId="400BC7C8">
          <w:pPr>
            <w:pStyle w:val="7"/>
            <w:tabs>
              <w:tab w:val="right" w:leader="dot" w:pos="8640"/>
            </w:tabs>
          </w:pPr>
          <w:r>
            <w:rPr>
              <w:rFonts w:hint="eastAsia"/>
            </w:rPr>
            <w:fldChar w:fldCharType="begin"/>
          </w:r>
          <w:r>
            <w:rPr>
              <w:rFonts w:hint="eastAsia"/>
            </w:rPr>
            <w:instrText xml:space="preserve"> HYPERLINK \l _Toc24427 </w:instrText>
          </w:r>
          <w:r>
            <w:rPr>
              <w:rFonts w:hint="eastAsia"/>
            </w:rPr>
            <w:fldChar w:fldCharType="separate"/>
          </w:r>
          <w:r>
            <w:t>A</w:t>
          </w:r>
          <w:r>
            <w:rPr>
              <w:rFonts w:hint="default"/>
            </w:rPr>
            <w:t>.1</w:t>
          </w:r>
          <w:r>
            <w:t>调研总体设计与时间安排</w:t>
          </w:r>
          <w:r>
            <w:tab/>
          </w:r>
          <w:r>
            <w:fldChar w:fldCharType="begin"/>
          </w:r>
          <w:r>
            <w:instrText xml:space="preserve"> PAGEREF _Toc24427 \h </w:instrText>
          </w:r>
          <w:r>
            <w:fldChar w:fldCharType="separate"/>
          </w:r>
          <w:r>
            <w:t>38</w:t>
          </w:r>
          <w:r>
            <w:fldChar w:fldCharType="end"/>
          </w:r>
          <w:r>
            <w:rPr>
              <w:rFonts w:hint="eastAsia"/>
            </w:rPr>
            <w:fldChar w:fldCharType="end"/>
          </w:r>
        </w:p>
        <w:p w14:paraId="39DC5700">
          <w:pPr>
            <w:pStyle w:val="7"/>
            <w:tabs>
              <w:tab w:val="right" w:leader="dot" w:pos="8640"/>
            </w:tabs>
          </w:pPr>
          <w:r>
            <w:rPr>
              <w:rFonts w:hint="eastAsia"/>
            </w:rPr>
            <w:fldChar w:fldCharType="begin"/>
          </w:r>
          <w:r>
            <w:rPr>
              <w:rFonts w:hint="eastAsia"/>
            </w:rPr>
            <w:instrText xml:space="preserve"> HYPERLINK \l _Toc16066 </w:instrText>
          </w:r>
          <w:r>
            <w:rPr>
              <w:rFonts w:hint="eastAsia"/>
            </w:rPr>
            <w:fldChar w:fldCharType="separate"/>
          </w:r>
          <w:r>
            <w:t>A.</w:t>
          </w:r>
          <w:r>
            <w:rPr>
              <w:rFonts w:hint="eastAsia"/>
              <w:lang w:val="en-US" w:eastAsia="zh-CN"/>
            </w:rPr>
            <w:t>2</w:t>
          </w:r>
          <w:r>
            <w:t>调研记录</w:t>
          </w:r>
          <w:r>
            <w:tab/>
          </w:r>
          <w:r>
            <w:fldChar w:fldCharType="begin"/>
          </w:r>
          <w:r>
            <w:instrText xml:space="preserve"> PAGEREF _Toc16066 \h </w:instrText>
          </w:r>
          <w:r>
            <w:fldChar w:fldCharType="separate"/>
          </w:r>
          <w:r>
            <w:t>40</w:t>
          </w:r>
          <w:r>
            <w:fldChar w:fldCharType="end"/>
          </w:r>
          <w:r>
            <w:rPr>
              <w:rFonts w:hint="eastAsia"/>
            </w:rPr>
            <w:fldChar w:fldCharType="end"/>
          </w:r>
        </w:p>
        <w:p w14:paraId="4BB45469">
          <w:pPr>
            <w:pStyle w:val="11"/>
            <w:tabs>
              <w:tab w:val="right" w:leader="dot" w:pos="8640"/>
            </w:tabs>
          </w:pPr>
          <w:r>
            <w:rPr>
              <w:rFonts w:hint="eastAsia"/>
            </w:rPr>
            <w:fldChar w:fldCharType="begin"/>
          </w:r>
          <w:r>
            <w:rPr>
              <w:rFonts w:hint="eastAsia"/>
            </w:rPr>
            <w:instrText xml:space="preserve"> HYPERLINK \l _Toc15323 </w:instrText>
          </w:r>
          <w:r>
            <w:rPr>
              <w:rFonts w:hint="eastAsia"/>
            </w:rPr>
            <w:fldChar w:fldCharType="separate"/>
          </w:r>
          <w:r>
            <w:t xml:space="preserve">附录B </w:t>
          </w:r>
          <w:r>
            <w:rPr>
              <w:rFonts w:hint="eastAsia"/>
            </w:rPr>
            <w:t>问卷</w:t>
          </w:r>
          <w:r>
            <w:t>全文</w:t>
          </w:r>
          <w:r>
            <w:tab/>
          </w:r>
          <w:r>
            <w:fldChar w:fldCharType="begin"/>
          </w:r>
          <w:r>
            <w:instrText xml:space="preserve"> PAGEREF _Toc15323 \h </w:instrText>
          </w:r>
          <w:r>
            <w:fldChar w:fldCharType="separate"/>
          </w:r>
          <w:r>
            <w:t>41</w:t>
          </w:r>
          <w:r>
            <w:fldChar w:fldCharType="end"/>
          </w:r>
          <w:r>
            <w:rPr>
              <w:rFonts w:hint="eastAsia"/>
            </w:rPr>
            <w:fldChar w:fldCharType="end"/>
          </w:r>
        </w:p>
        <w:p w14:paraId="49B98636">
          <w:pPr>
            <w:pStyle w:val="11"/>
            <w:tabs>
              <w:tab w:val="right" w:leader="dot" w:pos="8640"/>
            </w:tabs>
          </w:pPr>
          <w:r>
            <w:rPr>
              <w:rFonts w:hint="eastAsia"/>
            </w:rPr>
            <w:fldChar w:fldCharType="begin"/>
          </w:r>
          <w:r>
            <w:rPr>
              <w:rFonts w:hint="eastAsia"/>
            </w:rPr>
            <w:instrText xml:space="preserve"> HYPERLINK \l _Toc7394 </w:instrText>
          </w:r>
          <w:r>
            <w:rPr>
              <w:rFonts w:hint="eastAsia"/>
            </w:rPr>
            <w:fldChar w:fldCharType="separate"/>
          </w:r>
          <w:r>
            <w:rPr>
              <w:rFonts w:hint="eastAsia"/>
              <w:lang w:val="en-US" w:eastAsia="zh-CN"/>
            </w:rPr>
            <w:t xml:space="preserve">附录C </w:t>
          </w:r>
          <w:r>
            <w:rPr>
              <w:rFonts w:cs="Times New Roman"/>
            </w:rPr>
            <w:t>样本人口学特征</w:t>
          </w:r>
          <w:r>
            <w:tab/>
          </w:r>
          <w:r>
            <w:fldChar w:fldCharType="begin"/>
          </w:r>
          <w:r>
            <w:instrText xml:space="preserve"> PAGEREF _Toc7394 \h </w:instrText>
          </w:r>
          <w:r>
            <w:fldChar w:fldCharType="separate"/>
          </w:r>
          <w:r>
            <w:t>55</w:t>
          </w:r>
          <w:r>
            <w:fldChar w:fldCharType="end"/>
          </w:r>
          <w:r>
            <w:rPr>
              <w:rFonts w:hint="eastAsia"/>
            </w:rPr>
            <w:fldChar w:fldCharType="end"/>
          </w:r>
        </w:p>
        <w:p w14:paraId="3AE48666">
          <w:pPr>
            <w:pStyle w:val="11"/>
            <w:tabs>
              <w:tab w:val="right" w:leader="dot" w:pos="8640"/>
            </w:tabs>
          </w:pPr>
          <w:r>
            <w:rPr>
              <w:rFonts w:hint="eastAsia"/>
            </w:rPr>
            <w:fldChar w:fldCharType="begin"/>
          </w:r>
          <w:r>
            <w:rPr>
              <w:rFonts w:hint="eastAsia"/>
            </w:rPr>
            <w:instrText xml:space="preserve"> HYPERLINK \l _Toc13250 </w:instrText>
          </w:r>
          <w:r>
            <w:rPr>
              <w:rFonts w:hint="eastAsia"/>
            </w:rPr>
            <w:fldChar w:fldCharType="separate"/>
          </w:r>
          <w:r>
            <w:t>附录</w:t>
          </w:r>
          <w:r>
            <w:rPr>
              <w:rFonts w:hint="eastAsia"/>
            </w:rPr>
            <w:t xml:space="preserve">D </w:t>
          </w:r>
          <w:r>
            <w:t>CBA完整参数表</w:t>
          </w:r>
          <w:r>
            <w:tab/>
          </w:r>
          <w:r>
            <w:fldChar w:fldCharType="begin"/>
          </w:r>
          <w:r>
            <w:instrText xml:space="preserve"> PAGEREF _Toc13250 \h </w:instrText>
          </w:r>
          <w:r>
            <w:fldChar w:fldCharType="separate"/>
          </w:r>
          <w:r>
            <w:t>56</w:t>
          </w:r>
          <w:r>
            <w:fldChar w:fldCharType="end"/>
          </w:r>
          <w:r>
            <w:rPr>
              <w:rFonts w:hint="eastAsia"/>
            </w:rPr>
            <w:fldChar w:fldCharType="end"/>
          </w:r>
        </w:p>
        <w:p w14:paraId="380722C5">
          <w:pPr>
            <w:pStyle w:val="7"/>
            <w:tabs>
              <w:tab w:val="right" w:leader="dot" w:pos="8640"/>
            </w:tabs>
          </w:pPr>
          <w:r>
            <w:rPr>
              <w:rFonts w:hint="eastAsia"/>
            </w:rPr>
            <w:fldChar w:fldCharType="begin"/>
          </w:r>
          <w:r>
            <w:rPr>
              <w:rFonts w:hint="eastAsia"/>
            </w:rPr>
            <w:instrText xml:space="preserve"> HYPERLINK \l _Toc14456 </w:instrText>
          </w:r>
          <w:r>
            <w:rPr>
              <w:rFonts w:hint="eastAsia"/>
            </w:rPr>
            <w:fldChar w:fldCharType="separate"/>
          </w:r>
          <w:r>
            <w:t>D.</w:t>
          </w:r>
          <w:r>
            <w:rPr>
              <w:rFonts w:hint="default"/>
            </w:rPr>
            <w:t>1 减半使用一次性外卖餐具</w:t>
          </w:r>
          <w:r>
            <w:tab/>
          </w:r>
          <w:r>
            <w:fldChar w:fldCharType="begin"/>
          </w:r>
          <w:r>
            <w:instrText xml:space="preserve"> PAGEREF _Toc14456 \h </w:instrText>
          </w:r>
          <w:r>
            <w:fldChar w:fldCharType="separate"/>
          </w:r>
          <w:r>
            <w:t>58</w:t>
          </w:r>
          <w:r>
            <w:fldChar w:fldCharType="end"/>
          </w:r>
          <w:r>
            <w:rPr>
              <w:rFonts w:hint="eastAsia"/>
            </w:rPr>
            <w:fldChar w:fldCharType="end"/>
          </w:r>
        </w:p>
        <w:p w14:paraId="23F51FA8">
          <w:pPr>
            <w:pStyle w:val="7"/>
            <w:tabs>
              <w:tab w:val="right" w:leader="dot" w:pos="8640"/>
            </w:tabs>
          </w:pPr>
          <w:r>
            <w:rPr>
              <w:rFonts w:hint="eastAsia"/>
            </w:rPr>
            <w:fldChar w:fldCharType="begin"/>
          </w:r>
          <w:r>
            <w:rPr>
              <w:rFonts w:hint="eastAsia"/>
            </w:rPr>
            <w:instrText xml:space="preserve"> HYPERLINK \l _Toc10441 </w:instrText>
          </w:r>
          <w:r>
            <w:rPr>
              <w:rFonts w:hint="eastAsia"/>
            </w:rPr>
            <w:fldChar w:fldCharType="separate"/>
          </w:r>
          <w:r>
            <w:t>D.</w:t>
          </w:r>
          <w:r>
            <w:rPr>
              <w:rFonts w:hint="default"/>
            </w:rPr>
            <w:t>2 购置最节能空调</w:t>
          </w:r>
          <w:r>
            <w:tab/>
          </w:r>
          <w:r>
            <w:fldChar w:fldCharType="begin"/>
          </w:r>
          <w:r>
            <w:instrText xml:space="preserve"> PAGEREF _Toc10441 \h </w:instrText>
          </w:r>
          <w:r>
            <w:fldChar w:fldCharType="separate"/>
          </w:r>
          <w:r>
            <w:t>65</w:t>
          </w:r>
          <w:r>
            <w:fldChar w:fldCharType="end"/>
          </w:r>
          <w:r>
            <w:rPr>
              <w:rFonts w:hint="eastAsia"/>
            </w:rPr>
            <w:fldChar w:fldCharType="end"/>
          </w:r>
        </w:p>
        <w:p w14:paraId="5186C646">
          <w:pPr>
            <w:pStyle w:val="7"/>
            <w:tabs>
              <w:tab w:val="right" w:leader="dot" w:pos="8640"/>
            </w:tabs>
          </w:pPr>
          <w:r>
            <w:rPr>
              <w:rFonts w:hint="eastAsia"/>
            </w:rPr>
            <w:fldChar w:fldCharType="begin"/>
          </w:r>
          <w:r>
            <w:rPr>
              <w:rFonts w:hint="eastAsia"/>
            </w:rPr>
            <w:instrText xml:space="preserve"> HYPERLINK \l _Toc3368 </w:instrText>
          </w:r>
          <w:r>
            <w:rPr>
              <w:rFonts w:hint="eastAsia"/>
            </w:rPr>
            <w:fldChar w:fldCharType="separate"/>
          </w:r>
          <w:r>
            <w:t>D.</w:t>
          </w:r>
          <w:r>
            <w:rPr>
              <w:rFonts w:hint="default"/>
            </w:rPr>
            <w:t>3 最大化垃圾分类与回收</w:t>
          </w:r>
          <w:r>
            <w:tab/>
          </w:r>
          <w:r>
            <w:fldChar w:fldCharType="begin"/>
          </w:r>
          <w:r>
            <w:instrText xml:space="preserve"> PAGEREF _Toc3368 \h </w:instrText>
          </w:r>
          <w:r>
            <w:fldChar w:fldCharType="separate"/>
          </w:r>
          <w:r>
            <w:t>69</w:t>
          </w:r>
          <w:r>
            <w:fldChar w:fldCharType="end"/>
          </w:r>
          <w:r>
            <w:rPr>
              <w:rFonts w:hint="eastAsia"/>
            </w:rPr>
            <w:fldChar w:fldCharType="end"/>
          </w:r>
        </w:p>
        <w:p w14:paraId="63A37EB0">
          <w:pPr>
            <w:pStyle w:val="7"/>
            <w:tabs>
              <w:tab w:val="right" w:leader="dot" w:pos="8640"/>
            </w:tabs>
          </w:pPr>
          <w:r>
            <w:rPr>
              <w:rFonts w:hint="eastAsia"/>
            </w:rPr>
            <w:fldChar w:fldCharType="begin"/>
          </w:r>
          <w:r>
            <w:rPr>
              <w:rFonts w:hint="eastAsia"/>
            </w:rPr>
            <w:instrText xml:space="preserve"> HYPERLINK \l _Toc28164 </w:instrText>
          </w:r>
          <w:r>
            <w:rPr>
              <w:rFonts w:hint="eastAsia"/>
            </w:rPr>
            <w:fldChar w:fldCharType="separate"/>
          </w:r>
          <w:r>
            <w:t>D.</w:t>
          </w:r>
          <w:r>
            <w:rPr>
              <w:rFonts w:hint="default"/>
            </w:rPr>
            <w:t>4 短途航班改乘高速铁路</w:t>
          </w:r>
          <w:r>
            <w:tab/>
          </w:r>
          <w:r>
            <w:fldChar w:fldCharType="begin"/>
          </w:r>
          <w:r>
            <w:instrText xml:space="preserve"> PAGEREF _Toc28164 \h </w:instrText>
          </w:r>
          <w:r>
            <w:fldChar w:fldCharType="separate"/>
          </w:r>
          <w:r>
            <w:t>73</w:t>
          </w:r>
          <w:r>
            <w:fldChar w:fldCharType="end"/>
          </w:r>
          <w:r>
            <w:rPr>
              <w:rFonts w:hint="eastAsia"/>
            </w:rPr>
            <w:fldChar w:fldCharType="end"/>
          </w:r>
        </w:p>
        <w:p w14:paraId="600156C9">
          <w:pPr>
            <w:pStyle w:val="7"/>
            <w:tabs>
              <w:tab w:val="right" w:leader="dot" w:pos="8640"/>
            </w:tabs>
          </w:pPr>
          <w:r>
            <w:rPr>
              <w:rFonts w:hint="eastAsia"/>
            </w:rPr>
            <w:fldChar w:fldCharType="begin"/>
          </w:r>
          <w:r>
            <w:rPr>
              <w:rFonts w:hint="eastAsia"/>
            </w:rPr>
            <w:instrText xml:space="preserve"> HYPERLINK \l _Toc22457 </w:instrText>
          </w:r>
          <w:r>
            <w:rPr>
              <w:rFonts w:hint="eastAsia"/>
            </w:rPr>
            <w:fldChar w:fldCharType="separate"/>
          </w:r>
          <w:r>
            <w:t>D.</w:t>
          </w:r>
          <w:r>
            <w:rPr>
              <w:rFonts w:hint="default"/>
            </w:rPr>
            <w:t>5 燃油车换购纯电动汽车</w:t>
          </w:r>
          <w:r>
            <w:tab/>
          </w:r>
          <w:r>
            <w:fldChar w:fldCharType="begin"/>
          </w:r>
          <w:r>
            <w:instrText xml:space="preserve"> PAGEREF _Toc22457 \h </w:instrText>
          </w:r>
          <w:r>
            <w:fldChar w:fldCharType="separate"/>
          </w:r>
          <w:r>
            <w:t>78</w:t>
          </w:r>
          <w:r>
            <w:fldChar w:fldCharType="end"/>
          </w:r>
          <w:r>
            <w:rPr>
              <w:rFonts w:hint="eastAsia"/>
            </w:rPr>
            <w:fldChar w:fldCharType="end"/>
          </w:r>
        </w:p>
        <w:p w14:paraId="52A027EB">
          <w:pPr>
            <w:pStyle w:val="7"/>
            <w:tabs>
              <w:tab w:val="right" w:leader="dot" w:pos="8640"/>
            </w:tabs>
          </w:pPr>
          <w:r>
            <w:rPr>
              <w:rFonts w:hint="eastAsia"/>
            </w:rPr>
            <w:fldChar w:fldCharType="begin"/>
          </w:r>
          <w:r>
            <w:rPr>
              <w:rFonts w:hint="eastAsia"/>
            </w:rPr>
            <w:instrText xml:space="preserve"> HYPERLINK \l _Toc4912 </w:instrText>
          </w:r>
          <w:r>
            <w:rPr>
              <w:rFonts w:hint="eastAsia"/>
            </w:rPr>
            <w:fldChar w:fldCharType="separate"/>
          </w:r>
          <w:r>
            <w:t>D.</w:t>
          </w:r>
          <w:r>
            <w:rPr>
              <w:rFonts w:hint="default"/>
            </w:rPr>
            <w:t>6 动物蛋白替换为豆腐</w:t>
          </w:r>
          <w:r>
            <w:tab/>
          </w:r>
          <w:r>
            <w:fldChar w:fldCharType="begin"/>
          </w:r>
          <w:r>
            <w:instrText xml:space="preserve"> PAGEREF _Toc4912 \h </w:instrText>
          </w:r>
          <w:r>
            <w:fldChar w:fldCharType="separate"/>
          </w:r>
          <w:r>
            <w:t>84</w:t>
          </w:r>
          <w:r>
            <w:fldChar w:fldCharType="end"/>
          </w:r>
          <w:r>
            <w:rPr>
              <w:rFonts w:hint="eastAsia"/>
            </w:rPr>
            <w:fldChar w:fldCharType="end"/>
          </w:r>
        </w:p>
        <w:p w14:paraId="46AFDEB4">
          <w:pPr>
            <w:pStyle w:val="7"/>
            <w:tabs>
              <w:tab w:val="right" w:leader="dot" w:pos="8640"/>
            </w:tabs>
          </w:pPr>
          <w:r>
            <w:rPr>
              <w:rFonts w:hint="eastAsia"/>
            </w:rPr>
            <w:fldChar w:fldCharType="begin"/>
          </w:r>
          <w:r>
            <w:rPr>
              <w:rFonts w:hint="eastAsia"/>
            </w:rPr>
            <w:instrText xml:space="preserve"> HYPERLINK \l _Toc24248 </w:instrText>
          </w:r>
          <w:r>
            <w:rPr>
              <w:rFonts w:hint="eastAsia"/>
            </w:rPr>
            <w:fldChar w:fldCharType="separate"/>
          </w:r>
          <w:r>
            <w:t>D.</w:t>
          </w:r>
          <w:r>
            <w:rPr>
              <w:rFonts w:hint="default"/>
            </w:rPr>
            <w:t>7 参数说明</w:t>
          </w:r>
          <w:r>
            <w:tab/>
          </w:r>
          <w:r>
            <w:fldChar w:fldCharType="begin"/>
          </w:r>
          <w:r>
            <w:instrText xml:space="preserve"> PAGEREF _Toc24248 \h </w:instrText>
          </w:r>
          <w:r>
            <w:fldChar w:fldCharType="separate"/>
          </w:r>
          <w:r>
            <w:t>88</w:t>
          </w:r>
          <w:r>
            <w:fldChar w:fldCharType="end"/>
          </w:r>
          <w:r>
            <w:rPr>
              <w:rFonts w:hint="eastAsia"/>
            </w:rPr>
            <w:fldChar w:fldCharType="end"/>
          </w:r>
        </w:p>
        <w:p w14:paraId="6D445647">
          <w:pPr>
            <w:ind w:firstLine="480"/>
            <w:rPr>
              <w:rFonts w:ascii="Arial" w:hAnsi="Arial" w:eastAsiaTheme="minorEastAsia"/>
              <w:sz w:val="21"/>
            </w:rPr>
          </w:pPr>
          <w:r>
            <w:rPr>
              <w:rFonts w:hint="eastAsia"/>
            </w:rPr>
            <w:fldChar w:fldCharType="end"/>
          </w:r>
        </w:p>
      </w:sdtContent>
    </w:sdt>
    <w:p w14:paraId="6F540BA2">
      <w:pPr>
        <w:ind w:firstLine="480"/>
      </w:pPr>
      <w:r>
        <w:rPr>
          <w:rFonts w:hint="eastAsia"/>
        </w:rPr>
        <w:br w:type="page"/>
      </w:r>
    </w:p>
    <w:p w14:paraId="73120CC4">
      <w:pPr>
        <w:pStyle w:val="21"/>
        <w:numPr>
          <w:ilvl w:val="0"/>
          <w:numId w:val="0"/>
        </w:numPr>
        <w:ind w:left="425"/>
        <w:rPr>
          <w:rFonts w:ascii="黑体" w:hAnsi="黑体" w:cs="黑体"/>
          <w:highlight w:val="green"/>
        </w:rPr>
      </w:pPr>
      <w:bookmarkStart w:id="0" w:name="_Toc30998"/>
      <w:r>
        <w:rPr>
          <w:rFonts w:ascii="黑体" w:hAnsi="黑体" w:cs="黑体"/>
          <w:highlight w:val="none"/>
        </w:rPr>
        <w:t>摘 要</w:t>
      </w:r>
      <w:r>
        <w:commentReference w:id="0"/>
      </w:r>
      <w:bookmarkEnd w:id="0"/>
    </w:p>
    <w:p w14:paraId="040A6C1E">
      <w:pPr>
        <w:widowControl/>
        <w:tabs>
          <w:tab w:val="left" w:pos="377"/>
        </w:tabs>
        <w:ind w:firstLine="480" w:firstLineChars="200"/>
        <w:rPr>
          <w:rFonts w:hint="eastAsia" w:cs="Times New Roman"/>
          <w:kern w:val="0"/>
          <w:szCs w:val="24"/>
        </w:rPr>
      </w:pPr>
      <w:r>
        <w:rPr>
          <w:rFonts w:hint="eastAsia" w:cs="Times New Roman"/>
          <w:kern w:val="0"/>
          <w:szCs w:val="24"/>
        </w:rPr>
        <w:t>在</w:t>
      </w:r>
      <w:r>
        <w:rPr>
          <w:rFonts w:hint="eastAsia" w:cs="Times New Roman"/>
          <w:kern w:val="0"/>
          <w:szCs w:val="24"/>
          <w:lang w:eastAsia="zh-CN"/>
        </w:rPr>
        <w:t>“</w:t>
      </w:r>
      <w:r>
        <w:rPr>
          <w:rFonts w:hint="eastAsia" w:cs="Times New Roman"/>
          <w:kern w:val="0"/>
          <w:szCs w:val="24"/>
        </w:rPr>
        <w:t>双碳</w:t>
      </w:r>
      <w:r>
        <w:rPr>
          <w:rFonts w:hint="eastAsia" w:cs="Times New Roman"/>
          <w:kern w:val="0"/>
          <w:szCs w:val="24"/>
          <w:lang w:eastAsia="zh-CN"/>
        </w:rPr>
        <w:t>”</w:t>
      </w:r>
      <w:r>
        <w:rPr>
          <w:rFonts w:hint="eastAsia" w:cs="Times New Roman"/>
          <w:kern w:val="0"/>
          <w:szCs w:val="24"/>
        </w:rPr>
        <w:t>目标背景下，需求侧低碳行为被寄予重大减排期望，然而传统成本效益分析因忽视非经济成本与动态反弹效应，系统性高估了其真实气候收益。本研究</w:t>
      </w:r>
      <w:r>
        <w:rPr>
          <w:rFonts w:hint="eastAsia" w:cs="Times New Roman"/>
          <w:kern w:val="0"/>
          <w:szCs w:val="24"/>
          <w:lang w:val="en-US" w:eastAsia="zh-CN"/>
        </w:rPr>
        <w:t>通过问卷调查法，选取</w:t>
      </w:r>
      <w:r>
        <w:rPr>
          <w:rFonts w:hint="eastAsia" w:cs="Times New Roman"/>
          <w:kern w:val="0"/>
          <w:szCs w:val="24"/>
        </w:rPr>
        <w:t>北京、浙江温州及黑龙江</w:t>
      </w:r>
      <w:r>
        <w:rPr>
          <w:rFonts w:hint="eastAsia" w:cs="Times New Roman"/>
          <w:kern w:val="0"/>
          <w:szCs w:val="24"/>
          <w:lang w:val="en-US" w:eastAsia="zh-CN"/>
        </w:rPr>
        <w:t>等地</w:t>
      </w:r>
      <w:r>
        <w:rPr>
          <w:rFonts w:hint="eastAsia" w:cs="Times New Roman"/>
          <w:kern w:val="0"/>
          <w:szCs w:val="24"/>
        </w:rPr>
        <w:t>城市中青年活跃消费群体</w:t>
      </w:r>
      <w:r>
        <w:rPr>
          <w:rFonts w:hint="eastAsia" w:cs="Times New Roman"/>
          <w:kern w:val="0"/>
          <w:szCs w:val="24"/>
          <w:lang w:eastAsia="zh-CN"/>
        </w:rPr>
        <w:t>，</w:t>
      </w:r>
      <w:r>
        <w:rPr>
          <w:rFonts w:hint="eastAsia" w:cs="Times New Roman"/>
          <w:kern w:val="0"/>
          <w:szCs w:val="24"/>
        </w:rPr>
        <w:t>针对</w:t>
      </w:r>
      <w:r>
        <w:rPr>
          <w:szCs w:val="28"/>
        </w:rPr>
        <w:t>换购电动汽车、高铁代飞机、换节能空调、豆腐代肉、垃圾分类、减少外卖餐具</w:t>
      </w:r>
      <w:r>
        <w:rPr>
          <w:rFonts w:hint="eastAsia" w:cs="Times New Roman"/>
          <w:kern w:val="0"/>
          <w:szCs w:val="24"/>
        </w:rPr>
        <w:t>六种典型低碳行为，构建整合非经济成本</w:t>
      </w:r>
      <w:r>
        <w:rPr>
          <w:rFonts w:hint="eastAsia" w:cs="Times New Roman"/>
          <w:kern w:val="0"/>
          <w:szCs w:val="24"/>
          <w:lang w:eastAsia="zh-CN"/>
        </w:rPr>
        <w:t>、</w:t>
      </w:r>
      <w:r>
        <w:rPr>
          <w:rFonts w:hint="eastAsia" w:cs="Times New Roman"/>
          <w:kern w:val="0"/>
          <w:szCs w:val="24"/>
          <w:lang w:val="en-US" w:eastAsia="zh-CN"/>
        </w:rPr>
        <w:t>直接反弹效应与间接反弹效应</w:t>
      </w:r>
      <w:r>
        <w:rPr>
          <w:rFonts w:hint="eastAsia" w:cs="Times New Roman"/>
          <w:kern w:val="0"/>
          <w:szCs w:val="24"/>
        </w:rPr>
        <w:t>的微观动态CBA评估框架，对其净减排潜力与社会福利效应进行重估。</w:t>
      </w:r>
    </w:p>
    <w:p w14:paraId="331102C1">
      <w:pPr>
        <w:widowControl/>
        <w:tabs>
          <w:tab w:val="left" w:pos="377"/>
        </w:tabs>
        <w:ind w:firstLine="480" w:firstLineChars="200"/>
        <w:rPr>
          <w:rFonts w:hint="eastAsia" w:cs="Times New Roman"/>
          <w:kern w:val="0"/>
          <w:szCs w:val="24"/>
          <w:highlight w:val="none"/>
        </w:rPr>
      </w:pPr>
      <w:r>
        <w:rPr>
          <w:rFonts w:hint="eastAsia" w:cs="Times New Roman"/>
          <w:kern w:val="0"/>
          <w:szCs w:val="24"/>
          <w:highlight w:val="none"/>
        </w:rPr>
        <w:t>主要调研发现如下：第一，在城市居民的需求侧低碳行为决策中，包含金钱损益与非经济成本在内的综合客观阻力越高，主观感知难度越大。第二，技术效率型行为的直接反弹在低收入群体中尤为剧烈，而习惯型行为的经济反弹具有跨阶层普适性。第三，实证结果表明</w:t>
      </w:r>
      <w:r>
        <w:rPr>
          <w:rFonts w:hint="eastAsia" w:cs="Times New Roman"/>
          <w:kern w:val="0"/>
          <w:szCs w:val="24"/>
          <w:highlight w:val="none"/>
          <w:lang w:eastAsia="zh-CN"/>
        </w:rPr>
        <w:t>，</w:t>
      </w:r>
      <w:r>
        <w:rPr>
          <w:rFonts w:hint="eastAsia" w:cs="Times New Roman"/>
          <w:kern w:val="0"/>
          <w:szCs w:val="24"/>
          <w:highlight w:val="none"/>
        </w:rPr>
        <w:t>低碳行为的综合阻力越高，个体越容易产生补偿性权利感，进而强化后续高碳消费意愿。然而，该传导路径受</w:t>
      </w:r>
      <w:r>
        <w:rPr>
          <w:rFonts w:hint="eastAsia" w:cs="Times New Roman"/>
          <w:kern w:val="0"/>
          <w:szCs w:val="24"/>
          <w:highlight w:val="none"/>
          <w:lang w:val="en-US" w:eastAsia="zh-CN"/>
        </w:rPr>
        <w:t>个体</w:t>
      </w:r>
      <w:r>
        <w:rPr>
          <w:rFonts w:hint="eastAsia" w:cs="Times New Roman"/>
          <w:kern w:val="0"/>
          <w:szCs w:val="24"/>
          <w:highlight w:val="none"/>
        </w:rPr>
        <w:t>环境价值观的调节——高环境认同群体的权利感激活</w:t>
      </w:r>
      <w:r>
        <w:rPr>
          <w:rFonts w:hint="eastAsia" w:cs="Times New Roman"/>
          <w:kern w:val="0"/>
          <w:szCs w:val="24"/>
          <w:highlight w:val="none"/>
          <w:lang w:val="en-US" w:eastAsia="zh-CN"/>
        </w:rPr>
        <w:t>为负</w:t>
      </w:r>
      <w:r>
        <w:rPr>
          <w:rFonts w:hint="eastAsia" w:cs="Times New Roman"/>
          <w:kern w:val="0"/>
          <w:szCs w:val="24"/>
          <w:highlight w:val="none"/>
        </w:rPr>
        <w:t>方向</w:t>
      </w:r>
      <w:r>
        <w:rPr>
          <w:rFonts w:hint="eastAsia" w:cs="Times New Roman"/>
          <w:kern w:val="0"/>
          <w:szCs w:val="24"/>
          <w:highlight w:val="none"/>
          <w:lang w:eastAsia="zh-CN"/>
        </w:rPr>
        <w:t>，</w:t>
      </w:r>
      <w:r>
        <w:rPr>
          <w:rFonts w:hint="eastAsia" w:cs="Times New Roman"/>
          <w:kern w:val="0"/>
          <w:szCs w:val="24"/>
          <w:highlight w:val="none"/>
        </w:rPr>
        <w:t>与低环境认同群体截然相反</w:t>
      </w:r>
      <w:r>
        <w:rPr>
          <w:rFonts w:hint="eastAsia" w:cs="Times New Roman"/>
          <w:kern w:val="0"/>
          <w:szCs w:val="24"/>
          <w:highlight w:val="none"/>
          <w:lang w:eastAsia="zh-CN"/>
        </w:rPr>
        <w:t>。</w:t>
      </w:r>
      <w:r>
        <w:rPr>
          <w:rFonts w:hint="eastAsia" w:cs="Times New Roman"/>
          <w:kern w:val="0"/>
          <w:szCs w:val="24"/>
          <w:highlight w:val="none"/>
        </w:rPr>
        <w:t>两类条件效应在总体样本中代数抵消，导致宏观层面主效应不显著。</w:t>
      </w:r>
      <w:r>
        <w:rPr>
          <w:rFonts w:hint="eastAsia" w:cs="Times New Roman"/>
          <w:kern w:val="0"/>
          <w:szCs w:val="24"/>
          <w:highlight w:val="none"/>
          <w:lang w:val="en-US" w:eastAsia="zh-CN"/>
        </w:rPr>
        <w:t>第四，微观动态CBA评估模型</w:t>
      </w:r>
      <w:r>
        <w:rPr>
          <w:rFonts w:hint="eastAsia" w:cs="Times New Roman"/>
          <w:kern w:val="0"/>
          <w:szCs w:val="24"/>
        </w:rPr>
        <w:t>结果显示，仅</w:t>
      </w:r>
      <w:r>
        <w:rPr>
          <w:rFonts w:hint="eastAsia" w:cs="Times New Roman"/>
          <w:kern w:val="0"/>
          <w:szCs w:val="24"/>
          <w:lang w:val="en-US" w:eastAsia="zh-CN"/>
        </w:rPr>
        <w:t>结构性技术替代行为，如“</w:t>
      </w:r>
      <w:r>
        <w:rPr>
          <w:rFonts w:hint="eastAsia" w:cs="Times New Roman"/>
          <w:kern w:val="0"/>
          <w:szCs w:val="24"/>
        </w:rPr>
        <w:t>换电动汽车</w:t>
      </w:r>
      <w:r>
        <w:rPr>
          <w:rFonts w:hint="eastAsia" w:cs="Times New Roman"/>
          <w:kern w:val="0"/>
          <w:szCs w:val="24"/>
          <w:lang w:eastAsia="zh-CN"/>
        </w:rPr>
        <w:t>”</w:t>
      </w:r>
      <w:r>
        <w:rPr>
          <w:rFonts w:hint="eastAsia" w:cs="Times New Roman"/>
          <w:kern w:val="0"/>
          <w:szCs w:val="24"/>
        </w:rPr>
        <w:t>与</w:t>
      </w:r>
      <w:r>
        <w:rPr>
          <w:rFonts w:hint="eastAsia" w:cs="Times New Roman"/>
          <w:kern w:val="0"/>
          <w:szCs w:val="24"/>
          <w:lang w:eastAsia="zh-CN"/>
        </w:rPr>
        <w:t>“</w:t>
      </w:r>
      <w:r>
        <w:rPr>
          <w:rFonts w:hint="eastAsia" w:cs="Times New Roman"/>
          <w:kern w:val="0"/>
          <w:szCs w:val="24"/>
        </w:rPr>
        <w:t>高铁代飞机</w:t>
      </w:r>
      <w:r>
        <w:rPr>
          <w:rFonts w:hint="eastAsia" w:cs="Times New Roman"/>
          <w:kern w:val="0"/>
          <w:szCs w:val="24"/>
          <w:lang w:eastAsia="zh-CN"/>
        </w:rPr>
        <w:t>”</w:t>
      </w:r>
      <w:r>
        <w:rPr>
          <w:rFonts w:hint="eastAsia" w:cs="Times New Roman"/>
          <w:kern w:val="0"/>
          <w:szCs w:val="24"/>
        </w:rPr>
        <w:t>在反弹压力测试后仍维持正向社会福利</w:t>
      </w:r>
      <w:r>
        <w:rPr>
          <w:rFonts w:hint="eastAsia" w:cs="Times New Roman"/>
          <w:kern w:val="0"/>
          <w:szCs w:val="24"/>
          <w:highlight w:val="none"/>
        </w:rPr>
        <w:t>。</w:t>
      </w:r>
    </w:p>
    <w:p w14:paraId="24942062">
      <w:pPr>
        <w:widowControl/>
        <w:tabs>
          <w:tab w:val="left" w:pos="377"/>
        </w:tabs>
        <w:ind w:firstLine="480" w:firstLineChars="200"/>
        <w:rPr>
          <w:rFonts w:hint="eastAsia" w:cs="Times New Roman"/>
          <w:kern w:val="0"/>
          <w:szCs w:val="24"/>
        </w:rPr>
      </w:pPr>
      <w:r>
        <w:rPr>
          <w:rFonts w:hint="eastAsia" w:cs="Times New Roman"/>
          <w:kern w:val="0"/>
          <w:szCs w:val="24"/>
          <w:highlight w:val="none"/>
        </w:rPr>
        <w:t>据此，本研究建议将有限政策资源优先集中于结构性技术替代行为</w:t>
      </w:r>
      <w:r>
        <w:rPr>
          <w:rFonts w:hint="eastAsia" w:cs="Times New Roman"/>
          <w:kern w:val="0"/>
          <w:szCs w:val="24"/>
        </w:rPr>
        <w:t>，并对低碳行为带来的经济节余实施定向</w:t>
      </w:r>
      <w:r>
        <w:rPr>
          <w:rFonts w:hint="eastAsia" w:cs="Times New Roman"/>
          <w:kern w:val="0"/>
          <w:szCs w:val="24"/>
          <w:lang w:eastAsia="zh-CN"/>
        </w:rPr>
        <w:t>“</w:t>
      </w:r>
      <w:r>
        <w:rPr>
          <w:rFonts w:hint="eastAsia" w:cs="Times New Roman"/>
          <w:kern w:val="0"/>
          <w:szCs w:val="24"/>
        </w:rPr>
        <w:t>预算锁定</w:t>
      </w:r>
      <w:r>
        <w:rPr>
          <w:rFonts w:hint="eastAsia" w:cs="Times New Roman"/>
          <w:kern w:val="0"/>
          <w:szCs w:val="24"/>
          <w:lang w:eastAsia="zh-CN"/>
        </w:rPr>
        <w:t>”</w:t>
      </w:r>
      <w:r>
        <w:rPr>
          <w:rFonts w:hint="eastAsia" w:cs="Times New Roman"/>
          <w:kern w:val="0"/>
          <w:szCs w:val="24"/>
        </w:rPr>
        <w:t>，以防止经济反弹侵蚀气候红利。</w:t>
      </w:r>
    </w:p>
    <w:p w14:paraId="440FC4C4">
      <w:pPr>
        <w:ind w:firstLine="480"/>
        <w:rPr>
          <w:szCs w:val="28"/>
        </w:rPr>
      </w:pPr>
    </w:p>
    <w:p w14:paraId="4F6625B3">
      <w:pPr>
        <w:ind w:firstLine="482"/>
        <w:rPr>
          <w:b/>
          <w:bCs/>
          <w:szCs w:val="28"/>
        </w:rPr>
      </w:pPr>
      <w:r>
        <w:rPr>
          <w:rFonts w:hint="eastAsia" w:cs="黑体"/>
          <w:b/>
          <w:bCs/>
          <w:szCs w:val="28"/>
        </w:rPr>
        <w:t>关键词</w:t>
      </w:r>
      <w:r>
        <w:rPr>
          <w:b/>
          <w:bCs/>
          <w:szCs w:val="28"/>
        </w:rPr>
        <w:t>： 需求侧减排；反弹效应；成本效益分析；非经济成本；道德许可</w:t>
      </w:r>
    </w:p>
    <w:p w14:paraId="43E495D4">
      <w:pPr>
        <w:pStyle w:val="2"/>
        <w:numPr>
          <w:ilvl w:val="0"/>
          <w:numId w:val="0"/>
        </w:numPr>
        <w:ind w:left="425"/>
        <w:rPr>
          <w:rStyle w:val="38"/>
          <w:rFonts w:hint="default"/>
        </w:rPr>
      </w:pPr>
      <w:r>
        <w:br w:type="page"/>
      </w:r>
      <w:bookmarkStart w:id="1" w:name="_Toc31832"/>
      <w:r>
        <w:rPr>
          <w:rStyle w:val="38"/>
          <w:rFonts w:hint="default"/>
        </w:rPr>
        <w:t>Abstract</w:t>
      </w:r>
      <w:bookmarkEnd w:id="1"/>
    </w:p>
    <w:p w14:paraId="6E33F605">
      <w:pPr>
        <w:ind w:firstLine="480"/>
        <w:rPr>
          <w:rFonts w:hint="default" w:cs="Times New Roman"/>
          <w:kern w:val="0"/>
          <w:sz w:val="24"/>
          <w:szCs w:val="24"/>
        </w:rPr>
      </w:pPr>
      <w:r>
        <w:rPr>
          <w:rFonts w:hint="default" w:cs="Times New Roman"/>
          <w:kern w:val="0"/>
          <w:sz w:val="24"/>
          <w:szCs w:val="24"/>
        </w:rPr>
        <w:t>Against the backdrop of the “dual carbon” goals, low-carbon behaviors on the demand side are expected to deliver significant emission reductions. However, traditional cost-benefit analysis (CBA) systematically overestimates their actual climate benefits by overlooking non-economic costs and dynamic rebound effects. This study targeted urban young and middle-aged active consumer groups, conducting a two-phase questionnaire survey (valid sample N=538) from January 2025 to March 2026 in Beijing, Wenzhou, Zhejiang, and Heilongjiang. Focusing on six typical low-carbon behaviors—switching to electric vehicles, choosing high-speed rail over air travel, upgrading to energy-efficient air conditioners, substituting tofu for meat, waste sorting, and reducing takeout utensils. We constructed a micro-dynamic CBA evaluation framework integrating non-economic costs (NPC) and a triple rebound mechanism (direct rebound, economic rebound, psychological rebound). Through 10,000 Monte Carlo simulations, we reassessed the net emission reduction potential and social welfare effects of these behaviors.</w:t>
      </w:r>
    </w:p>
    <w:p w14:paraId="39BB0C59">
      <w:pPr>
        <w:ind w:firstLine="480"/>
        <w:rPr>
          <w:rFonts w:hint="default" w:cs="Times New Roman"/>
          <w:kern w:val="0"/>
          <w:sz w:val="24"/>
          <w:szCs w:val="24"/>
        </w:rPr>
      </w:pPr>
      <w:r>
        <w:rPr>
          <w:rFonts w:hint="default" w:cs="Times New Roman"/>
          <w:kern w:val="0"/>
          <w:sz w:val="24"/>
          <w:szCs w:val="24"/>
        </w:rPr>
        <w:t>Key findings are as follows: First, MaxDiff experiments confirmed high consistency between subjective and objective behavioral barriers (Spearman rs≈0.94), validating the theoretical premise that NPC serves as the core determinant of behavioral thresholds. Second, direct rebound in technology-efficient behaviors was particularly pronounced among low-income groups (rebound rate: 51% for low-income vs. 16% for high-income, p&lt;0.001), while economic rebound in habit-based behaviors exhibited cross-class universality (no significant difference between groups). Third, psychological rebound exhibits a “masking effect”: shallow green and deep green groups generate oppositely directed entitlement effects that algebraically cancel in the overall sample (moderation fails, interaction term β = −0.537, p &lt; 0.001).</w:t>
      </w:r>
    </w:p>
    <w:p w14:paraId="40EC92A4">
      <w:pPr>
        <w:ind w:firstLine="480"/>
        <w:rPr>
          <w:rFonts w:hint="default" w:cs="Times New Roman"/>
          <w:kern w:val="0"/>
          <w:sz w:val="24"/>
          <w:szCs w:val="24"/>
        </w:rPr>
      </w:pPr>
      <w:r>
        <w:rPr>
          <w:rFonts w:hint="default" w:cs="Times New Roman"/>
          <w:kern w:val="0"/>
          <w:sz w:val="24"/>
          <w:szCs w:val="24"/>
        </w:rPr>
        <w:t>Dynamic simulation results indicate that only “switching to electric vehicles” and “substituting high-speed rail for air travel” maintain positive social welfare after rebound stress testing (P(SW&gt;0) at 100% and 78%, respectively). However, the rebound losses for “substituting tofu for meat,” “switching to energy-efficient air conditioners,” and reducing takeout utensils“ all exhibited rebound loss rates exceeding 193%. After accounting for micro-level implicit non-economic costs and climate damage from rebound emissions, their net social welfare turned entirely negative, constituting substantive ”climate traps." Accordingly, this study recommends prioritizing limited policy resources toward structural technological substitution behaviors. It further proposes implementing targeted “budget lock-in” for economic savings generated by low-carbon behaviors to prevent economic rebound from eroding climate dividends.</w:t>
      </w:r>
    </w:p>
    <w:p w14:paraId="468E908A">
      <w:pPr>
        <w:ind w:left="0" w:leftChars="0" w:firstLine="0" w:firstLineChars="0"/>
        <w:rPr>
          <w:rFonts w:hint="default" w:cs="Times New Roman"/>
          <w:b/>
          <w:bCs/>
          <w:kern w:val="0"/>
          <w:sz w:val="24"/>
          <w:szCs w:val="24"/>
        </w:rPr>
      </w:pPr>
      <w:r>
        <w:rPr>
          <w:rFonts w:hint="default" w:cs="Times New Roman"/>
          <w:b/>
          <w:bCs/>
          <w:kern w:val="0"/>
          <w:sz w:val="24"/>
          <w:szCs w:val="24"/>
        </w:rPr>
        <w:t>Keywords:</w:t>
      </w:r>
      <w:r>
        <w:rPr>
          <w:rFonts w:hint="eastAsia" w:cs="Times New Roman"/>
          <w:b/>
          <w:bCs/>
          <w:kern w:val="0"/>
          <w:sz w:val="24"/>
          <w:szCs w:val="24"/>
          <w:lang w:val="en-US" w:eastAsia="zh-CN"/>
        </w:rPr>
        <w:t xml:space="preserve"> </w:t>
      </w:r>
      <w:r>
        <w:rPr>
          <w:rFonts w:hint="default" w:cs="Times New Roman"/>
          <w:b/>
          <w:bCs/>
          <w:kern w:val="0"/>
          <w:sz w:val="24"/>
          <w:szCs w:val="24"/>
        </w:rPr>
        <w:t>demand-side emissions reduction; rebound effect; cost-benefit analysis; non-pecuniary costs; moral licensing</w:t>
      </w:r>
    </w:p>
    <w:p w14:paraId="6B3C6C6A">
      <w:pPr>
        <w:rPr>
          <w:rFonts w:hint="default" w:ascii="黑体" w:hAnsi="黑体" w:eastAsia="黑体" w:cs="黑体"/>
          <w:kern w:val="44"/>
          <w:sz w:val="30"/>
          <w:szCs w:val="30"/>
          <w:lang w:val="en-US" w:eastAsia="zh-CN" w:bidi="ar-SA"/>
        </w:rPr>
      </w:pPr>
      <w:r>
        <w:rPr>
          <w:rFonts w:hint="default" w:ascii="黑体" w:hAnsi="黑体" w:eastAsia="黑体" w:cs="黑体"/>
          <w:kern w:val="44"/>
          <w:sz w:val="30"/>
          <w:szCs w:val="30"/>
          <w:lang w:val="en-US" w:eastAsia="zh-CN" w:bidi="ar-SA"/>
        </w:rPr>
        <w:br w:type="page"/>
      </w:r>
    </w:p>
    <w:p w14:paraId="654DF4F1">
      <w:pPr>
        <w:pStyle w:val="2"/>
        <w:numPr>
          <w:ilvl w:val="0"/>
          <w:numId w:val="0"/>
        </w:numPr>
        <w:bidi w:val="0"/>
        <w:ind w:left="425" w:leftChars="0" w:firstLine="0" w:firstLineChars="0"/>
        <w:rPr>
          <w:rFonts w:hint="eastAsia"/>
        </w:rPr>
      </w:pPr>
      <w:bookmarkStart w:id="2" w:name="_Toc25909"/>
      <w:r>
        <w:rPr>
          <w:rFonts w:hint="default" w:ascii="黑体" w:hAnsi="黑体" w:eastAsia="黑体" w:cs="黑体"/>
          <w:kern w:val="44"/>
          <w:sz w:val="30"/>
          <w:szCs w:val="30"/>
          <w:lang w:val="en-US" w:eastAsia="zh-CN" w:bidi="ar-SA"/>
        </w:rPr>
        <w:t>第 1 章</w:t>
      </w:r>
      <w:r>
        <w:rPr>
          <w:rFonts w:hint="eastAsia" w:cs="黑体"/>
          <w:kern w:val="44"/>
          <w:sz w:val="30"/>
          <w:szCs w:val="30"/>
          <w:lang w:val="en-US" w:eastAsia="zh-CN" w:bidi="ar-SA"/>
        </w:rPr>
        <w:t xml:space="preserve"> </w:t>
      </w:r>
      <w:r>
        <w:t>引言</w:t>
      </w:r>
      <w:bookmarkEnd w:id="2"/>
    </w:p>
    <w:p w14:paraId="6F439C8B">
      <w:pPr>
        <w:pStyle w:val="3"/>
        <w:numPr>
          <w:ilvl w:val="1"/>
          <w:numId w:val="3"/>
        </w:numPr>
        <w:bidi w:val="0"/>
        <w:rPr>
          <w:rFonts w:hint="eastAsia"/>
          <w:lang w:val="en-US" w:eastAsia="zh-CN"/>
        </w:rPr>
      </w:pPr>
      <w:r>
        <w:t xml:space="preserve"> </w:t>
      </w:r>
      <w:bookmarkStart w:id="3" w:name="_Toc29925"/>
      <w:r>
        <w:t>研究背景</w:t>
      </w:r>
      <w:r>
        <w:rPr>
          <w:rFonts w:hint="eastAsia"/>
          <w:lang w:val="en-US" w:eastAsia="zh-CN"/>
        </w:rPr>
        <w:t>及意义</w:t>
      </w:r>
      <w:bookmarkEnd w:id="3"/>
    </w:p>
    <w:p w14:paraId="2C428866">
      <w:pPr>
        <w:pStyle w:val="4"/>
        <w:bidi w:val="0"/>
        <w:rPr>
          <w:rFonts w:hint="default"/>
          <w:lang w:val="en-US" w:eastAsia="zh-CN"/>
        </w:rPr>
      </w:pPr>
      <w:bookmarkStart w:id="4" w:name="_Toc16495"/>
      <w:r>
        <w:rPr>
          <w:rFonts w:hint="default"/>
          <w:lang w:val="en-US" w:eastAsia="zh-CN"/>
        </w:rPr>
        <w:t>1.1.1  研究背景</w:t>
      </w:r>
      <w:bookmarkEnd w:id="4"/>
    </w:p>
    <w:p w14:paraId="5B693DEC">
      <w:pPr>
        <w:ind w:firstLine="480"/>
        <w:rPr>
          <w:rFonts w:hint="eastAsia" w:cs="Times New Roman"/>
        </w:rPr>
      </w:pPr>
      <w:r>
        <w:rPr>
          <w:rFonts w:hint="eastAsia" w:cs="Times New Roman"/>
        </w:rPr>
        <w:t>（1）需求侧减排潜力巨大，是实现</w:t>
      </w:r>
      <w:r>
        <w:rPr>
          <w:rFonts w:hint="eastAsia" w:cs="Times New Roman"/>
          <w:lang w:eastAsia="zh-CN"/>
        </w:rPr>
        <w:t>“</w:t>
      </w:r>
      <w:r>
        <w:rPr>
          <w:rFonts w:hint="eastAsia" w:cs="Times New Roman"/>
        </w:rPr>
        <w:t>双碳</w:t>
      </w:r>
      <w:r>
        <w:rPr>
          <w:rFonts w:hint="eastAsia" w:cs="Times New Roman"/>
          <w:lang w:eastAsia="zh-CN"/>
        </w:rPr>
        <w:t>”</w:t>
      </w:r>
      <w:r>
        <w:rPr>
          <w:rFonts w:hint="eastAsia" w:cs="Times New Roman"/>
        </w:rPr>
        <w:t>目标的关键路径</w:t>
      </w:r>
    </w:p>
    <w:p w14:paraId="14FF4E7E">
      <w:pPr>
        <w:ind w:firstLine="480"/>
        <w:rPr>
          <w:rFonts w:hint="eastAsia" w:cs="Times New Roman"/>
        </w:rPr>
      </w:pPr>
      <w:r>
        <w:rPr>
          <w:rFonts w:hint="eastAsia" w:cs="Times New Roman"/>
        </w:rPr>
        <w:t>需求侧低碳行为是实现</w:t>
      </w:r>
      <w:r>
        <w:rPr>
          <w:rFonts w:hint="eastAsia" w:cs="Times New Roman"/>
          <w:lang w:eastAsia="zh-CN"/>
        </w:rPr>
        <w:t>“</w:t>
      </w:r>
      <w:r>
        <w:rPr>
          <w:rFonts w:hint="eastAsia" w:cs="Times New Roman"/>
        </w:rPr>
        <w:t>双碳</w:t>
      </w:r>
      <w:r>
        <w:rPr>
          <w:rFonts w:hint="eastAsia" w:cs="Times New Roman"/>
          <w:lang w:eastAsia="zh-CN"/>
        </w:rPr>
        <w:t>”</w:t>
      </w:r>
      <w:r>
        <w:rPr>
          <w:rFonts w:hint="eastAsia" w:cs="Times New Roman"/>
        </w:rPr>
        <w:t>目标的重要路径。IPCC AR6指出，若在建筑、交通、食品等终端部门实施全面需求侧干预，至2050年全球相关部门温室气体排放量有望较基准情景削减40%</w:t>
      </w:r>
      <w:r>
        <w:rPr>
          <w:rFonts w:hint="eastAsia" w:cs="Times New Roman"/>
          <w:lang w:val="en-US" w:eastAsia="zh-CN"/>
        </w:rPr>
        <w:t>-</w:t>
      </w:r>
      <w:r>
        <w:rPr>
          <w:rFonts w:hint="eastAsia" w:cs="Times New Roman"/>
        </w:rPr>
        <w:t>70%，并可显著降低对碳捕集与封存（CDR）等尚未成熟技术的依赖</w:t>
      </w:r>
      <w:r>
        <w:rPr>
          <w:rFonts w:hint="eastAsia" w:cs="Times New Roman"/>
          <w:vertAlign w:val="superscript"/>
        </w:rPr>
        <w:t>[1]</w:t>
      </w:r>
      <w:r>
        <w:rPr>
          <w:rFonts w:hint="eastAsia" w:cs="Times New Roman"/>
        </w:rPr>
        <w:t>。中国作为全球最大温室气体排放国，正处于</w:t>
      </w:r>
      <w:r>
        <w:rPr>
          <w:rFonts w:hint="eastAsia" w:cs="Times New Roman"/>
          <w:lang w:eastAsia="zh-CN"/>
        </w:rPr>
        <w:t>“</w:t>
      </w:r>
      <w:r>
        <w:rPr>
          <w:rFonts w:hint="eastAsia" w:cs="Times New Roman"/>
        </w:rPr>
        <w:t>双碳</w:t>
      </w:r>
      <w:r>
        <w:rPr>
          <w:rFonts w:hint="eastAsia" w:cs="Times New Roman"/>
          <w:lang w:eastAsia="zh-CN"/>
        </w:rPr>
        <w:t>”</w:t>
      </w:r>
      <w:r>
        <w:rPr>
          <w:rFonts w:hint="eastAsia" w:cs="Times New Roman"/>
        </w:rPr>
        <w:t>目标攻坚阶段。受益于光伏、风能及电动汽车渗透率快速提升，中国二氧化碳排放自2024年起已呈持平或微降趋势</w:t>
      </w:r>
      <w:r>
        <w:rPr>
          <w:rFonts w:hint="eastAsia" w:cs="Times New Roman"/>
          <w:vertAlign w:val="superscript"/>
        </w:rPr>
        <w:t>[2,3]</w:t>
      </w:r>
      <w:r>
        <w:rPr>
          <w:rFonts w:hint="eastAsia" w:cs="Times New Roman"/>
        </w:rPr>
        <w:t>，但随着供给侧减排边际成本持续攀升，激活需求侧潜力成为下一阶段不可回避的政策命题。</w:t>
      </w:r>
    </w:p>
    <w:p w14:paraId="602ECD4F">
      <w:pPr>
        <w:ind w:firstLine="480"/>
        <w:rPr>
          <w:rFonts w:cs="Times New Roman"/>
        </w:rPr>
      </w:pPr>
      <w:r>
        <w:rPr>
          <w:rFonts w:hint="eastAsia" w:cs="Times New Roman"/>
        </w:rPr>
        <w:t>（3）</w:t>
      </w:r>
      <w:r>
        <w:rPr>
          <w:rFonts w:hint="eastAsia" w:cs="Times New Roman"/>
          <w:lang w:eastAsia="zh-CN"/>
        </w:rPr>
        <w:t>“</w:t>
      </w:r>
      <w:r>
        <w:rPr>
          <w:rFonts w:hint="eastAsia" w:cs="Times New Roman"/>
        </w:rPr>
        <w:t>知行不一</w:t>
      </w:r>
      <w:r>
        <w:rPr>
          <w:rFonts w:hint="eastAsia" w:cs="Times New Roman"/>
          <w:lang w:eastAsia="zh-CN"/>
        </w:rPr>
        <w:t>”</w:t>
      </w:r>
      <w:r>
        <w:rPr>
          <w:rFonts w:hint="eastAsia" w:cs="Times New Roman"/>
        </w:rPr>
        <w:t>困境长期存在，行为执行成本被系统性低估</w:t>
      </w:r>
    </w:p>
    <w:p w14:paraId="641861E6">
      <w:pPr>
        <w:ind w:firstLine="480"/>
        <w:rPr>
          <w:rFonts w:hint="eastAsia" w:cs="Times New Roman"/>
        </w:rPr>
      </w:pPr>
      <w:r>
        <w:rPr>
          <w:rFonts w:hint="eastAsia" w:cs="Times New Roman"/>
        </w:rPr>
        <w:t>尽管政策层面对需求侧减排寄予厚望，公众实际行为响应却远未达到预期</w:t>
      </w:r>
      <w:r>
        <w:rPr>
          <w:rFonts w:hint="eastAsia" w:cs="Times New Roman"/>
          <w:lang w:eastAsia="zh-CN"/>
        </w:rPr>
        <w:t>——</w:t>
      </w:r>
      <w:r>
        <w:rPr>
          <w:rFonts w:hint="eastAsia" w:cs="Times New Roman"/>
        </w:rPr>
        <w:t>即便在环保意识较强的城市居民中，高意愿也难以稳定转化为持续的低碳行动</w:t>
      </w:r>
      <w:r>
        <w:rPr>
          <w:rFonts w:hint="eastAsia" w:cs="Times New Roman"/>
          <w:vertAlign w:val="superscript"/>
        </w:rPr>
        <w:t>[4]</w:t>
      </w:r>
      <w:r>
        <w:rPr>
          <w:rFonts w:hint="eastAsia" w:cs="Times New Roman"/>
        </w:rPr>
        <w:t>。这种</w:t>
      </w:r>
      <w:r>
        <w:rPr>
          <w:rFonts w:hint="eastAsia" w:cs="Times New Roman"/>
          <w:lang w:eastAsia="zh-CN"/>
        </w:rPr>
        <w:t>“</w:t>
      </w:r>
      <w:r>
        <w:rPr>
          <w:rFonts w:hint="eastAsia" w:cs="Times New Roman"/>
        </w:rPr>
        <w:t>知行不一</w:t>
      </w:r>
      <w:r>
        <w:rPr>
          <w:rFonts w:hint="eastAsia" w:cs="Times New Roman"/>
          <w:lang w:eastAsia="zh-CN"/>
        </w:rPr>
        <w:t>”</w:t>
      </w:r>
      <w:r>
        <w:rPr>
          <w:rFonts w:hint="eastAsia" w:cs="Times New Roman"/>
        </w:rPr>
        <w:t>的根源在于习惯锁定、经济负担与认知摩擦等行为执行成本长期被低估，若不加以准确识别与量化，理论上40%</w:t>
      </w:r>
      <w:r>
        <w:rPr>
          <w:rFonts w:hint="eastAsia" w:cs="Times New Roman"/>
          <w:lang w:val="en-US" w:eastAsia="zh-CN"/>
        </w:rPr>
        <w:t>-6</w:t>
      </w:r>
      <w:r>
        <w:rPr>
          <w:rFonts w:hint="eastAsia" w:cs="Times New Roman"/>
        </w:rPr>
        <w:t>0%的减排潜力将难以在现实中兑现。</w:t>
      </w:r>
    </w:p>
    <w:p w14:paraId="5F875741">
      <w:pPr>
        <w:ind w:firstLine="480"/>
        <w:rPr>
          <w:rFonts w:hint="eastAsia" w:cs="Times New Roman"/>
        </w:rPr>
      </w:pPr>
      <w:r>
        <w:rPr>
          <w:rFonts w:hint="eastAsia" w:cs="Times New Roman"/>
        </w:rPr>
        <w:t>（4）传统CBA框架存在系统性缺陷，亟需引入动态反弹机制</w:t>
      </w:r>
    </w:p>
    <w:p w14:paraId="2E31D229">
      <w:pPr>
        <w:ind w:firstLine="480"/>
        <w:rPr>
          <w:rFonts w:hint="eastAsia" w:eastAsia="宋体" w:cs="Times New Roman"/>
          <w:lang w:val="en-US" w:eastAsia="zh-CN"/>
        </w:rPr>
      </w:pPr>
      <w:r>
        <w:rPr>
          <w:rFonts w:hint="eastAsia" w:cs="Times New Roman"/>
        </w:rPr>
        <w:t>现有需求侧减排政策评估多依赖成本效益分析框架，但传统CBA存在两个根本性缺口：其一，忽视时间耗损、舒适度损失等非经济成本，导致个体执行意愿被系统性高估；其二，采用静态核算视角，忽视了直接反弹</w:t>
      </w:r>
      <w:r>
        <w:rPr>
          <w:rFonts w:hint="eastAsia" w:cs="Times New Roman"/>
          <w:lang w:eastAsia="zh-CN"/>
        </w:rPr>
        <w:t>（</w:t>
      </w:r>
      <w:r>
        <w:rPr>
          <w:rFonts w:hint="eastAsia" w:cs="Times New Roman"/>
        </w:rPr>
        <w:t>能效提升引致使用量增加）、</w:t>
      </w:r>
      <w:r>
        <w:rPr>
          <w:rFonts w:hint="eastAsia" w:cs="Times New Roman"/>
          <w:lang w:val="en-US" w:eastAsia="zh-CN"/>
        </w:rPr>
        <w:t>间接反弹（</w:t>
      </w:r>
      <w:r>
        <w:rPr>
          <w:rFonts w:hint="eastAsia" w:cs="Times New Roman"/>
        </w:rPr>
        <w:t>节余资金</w:t>
      </w:r>
      <w:r>
        <w:rPr>
          <w:rFonts w:hint="eastAsia" w:cs="Times New Roman"/>
          <w:lang w:val="en-US" w:eastAsia="zh-CN"/>
        </w:rPr>
        <w:t>或心理账户余额</w:t>
      </w:r>
      <w:r>
        <w:rPr>
          <w:rFonts w:hint="eastAsia" w:cs="Times New Roman"/>
        </w:rPr>
        <w:t>流向高碳消费）等动态效应，导致净减排量进一步被高估。上述双重缺陷亟需在评估框架层面予以修正。</w:t>
      </w:r>
    </w:p>
    <w:p w14:paraId="18E68A90">
      <w:pPr>
        <w:pStyle w:val="4"/>
        <w:bidi w:val="0"/>
        <w:rPr>
          <w:rFonts w:hint="default" w:eastAsia="黑体"/>
          <w:lang w:val="en-US" w:eastAsia="zh-CN"/>
        </w:rPr>
      </w:pPr>
      <w:bookmarkStart w:id="5" w:name="_Toc8628"/>
      <w:r>
        <w:rPr>
          <w:rFonts w:hint="eastAsia"/>
        </w:rPr>
        <w:t>1.1.2  研究意义</w:t>
      </w:r>
      <w:r>
        <w:rPr>
          <w:rFonts w:hint="eastAsia"/>
          <w:lang w:val="en-US" w:eastAsia="zh-CN"/>
        </w:rPr>
        <w:t>与创新点</w:t>
      </w:r>
      <w:bookmarkEnd w:id="5"/>
    </w:p>
    <w:p w14:paraId="39ED90E8">
      <w:pPr>
        <w:rPr>
          <w:rFonts w:hint="default"/>
          <w:lang w:val="en-US" w:eastAsia="zh-CN"/>
        </w:rPr>
      </w:pPr>
      <w:r>
        <w:rPr>
          <w:rFonts w:hint="default"/>
          <w:lang w:val="en-US" w:eastAsia="zh-CN"/>
        </w:rPr>
        <w:t>（1）实践意义</w:t>
      </w:r>
    </w:p>
    <w:p w14:paraId="40BA8E64">
      <w:pPr>
        <w:rPr>
          <w:rFonts w:hint="default"/>
          <w:lang w:val="en-US" w:eastAsia="zh-CN"/>
        </w:rPr>
      </w:pPr>
      <w:r>
        <w:rPr>
          <w:rFonts w:hint="default"/>
          <w:lang w:val="en-US" w:eastAsia="zh-CN"/>
        </w:rPr>
        <w:t>本研究对六种典型需求侧低碳行为的真实减排潜力与社会福利效应进行重估，可帮助政策制定者在有限资源约束下识别具有正向气候红利的优先行为、规避"气候陷阱"型行为的无效倡导投入，提升需求侧气候治理的政策精准度。</w:t>
      </w:r>
    </w:p>
    <w:p w14:paraId="374B80C0">
      <w:pPr>
        <w:rPr>
          <w:rFonts w:hint="default"/>
          <w:lang w:val="en-US" w:eastAsia="zh-CN"/>
        </w:rPr>
      </w:pPr>
      <w:r>
        <w:rPr>
          <w:rFonts w:hint="default"/>
          <w:lang w:val="en-US" w:eastAsia="zh-CN"/>
        </w:rPr>
        <w:t>（2）理论意义</w:t>
      </w:r>
    </w:p>
    <w:p w14:paraId="13BCDB2C">
      <w:pPr>
        <w:rPr>
          <w:rFonts w:hint="eastAsia" w:cs="Times New Roman"/>
        </w:rPr>
      </w:pPr>
      <w:r>
        <w:rPr>
          <w:rFonts w:hint="default"/>
          <w:lang w:val="en-US" w:eastAsia="zh-CN"/>
        </w:rPr>
        <w:t>本研究构建了整合非经济成本与反弹机制的微观动态CBA框架，填补了现有静态评估体系在动态行为反馈方面的空白；通过引入行为网络分析与马尔可夫稳态模拟，为低碳行为</w:t>
      </w:r>
      <w:r>
        <w:rPr>
          <w:rFonts w:hint="eastAsia"/>
          <w:lang w:val="en-US" w:eastAsia="zh-CN"/>
        </w:rPr>
        <w:t>间接反弹效应</w:t>
      </w:r>
      <w:r>
        <w:rPr>
          <w:rFonts w:hint="default"/>
          <w:lang w:val="en-US" w:eastAsia="zh-CN"/>
        </w:rPr>
        <w:t>的系统评估提供了可操作的量化基准。</w:t>
      </w:r>
    </w:p>
    <w:p w14:paraId="20591330">
      <w:pPr>
        <w:ind w:firstLine="480"/>
        <w:rPr>
          <w:rFonts w:hint="eastAsia" w:cs="Times New Roman"/>
        </w:rPr>
      </w:pPr>
      <w:r>
        <w:rPr>
          <w:rFonts w:hint="eastAsia" w:cs="Times New Roman"/>
        </w:rPr>
        <w:t>鉴于上述理论缺陷与现实挑战，本研究以Tan-Soo等（2024）的微观CBA框架为方法论基础，独立采集中国城市居民调研数据重建本土参数基线，并将静态框架扩展为整合非经济成本与反弹机制的微观动态评估模型。相较于Tan-Soo等的静态核算，本研究的核心增量在于动态反弹机制的参数化拆解与模拟。</w:t>
      </w:r>
    </w:p>
    <w:p w14:paraId="1BCB4DF4">
      <w:pPr>
        <w:ind w:firstLine="480"/>
        <w:rPr>
          <w:rFonts w:hint="eastAsia" w:cs="Times New Roman"/>
        </w:rPr>
      </w:pPr>
      <w:r>
        <w:rPr>
          <w:rFonts w:hint="eastAsia" w:cs="Times New Roman"/>
        </w:rPr>
        <w:t>通过平行样本设计、微观实验计量与心理网络分析，本研究实现以下两项核心理论创新：</w:t>
      </w:r>
    </w:p>
    <w:p w14:paraId="30140F64">
      <w:pPr>
        <w:ind w:firstLine="480"/>
        <w:rPr>
          <w:rFonts w:hint="eastAsia" w:cs="Times New Roman"/>
        </w:rPr>
      </w:pPr>
      <w:r>
        <w:rPr>
          <w:rFonts w:hint="eastAsia" w:cs="Times New Roman"/>
        </w:rPr>
        <w:t>其一，构建多重反弹CBA动态模拟框架，精准剥离反弹异质性</w:t>
      </w:r>
      <w:r>
        <w:rPr>
          <w:rFonts w:hint="eastAsia" w:cs="Times New Roman"/>
          <w:lang w:eastAsia="zh-CN"/>
        </w:rPr>
        <w:t>。</w:t>
      </w:r>
      <w:r>
        <w:rPr>
          <w:rFonts w:hint="eastAsia" w:cs="Times New Roman"/>
        </w:rPr>
        <w:t>本研究在微观层面将混杂的反弹效应科学分解</w:t>
      </w:r>
      <w:r>
        <w:rPr>
          <w:rFonts w:hint="eastAsia" w:cs="Times New Roman"/>
          <w:lang w:eastAsia="zh-CN"/>
        </w:rPr>
        <w:t>：</w:t>
      </w:r>
      <w:r>
        <w:rPr>
          <w:rFonts w:hint="eastAsia" w:cs="Times New Roman"/>
        </w:rPr>
        <w:t>分别量化由隐性使用成本下降驱动的直接反弹，以及由经济与心理账户节余支出驱动的间接反弹，并将上述动态参数纳入含非经济成本的综合成本效益方程，从根本上重估了典型微观低碳行为在复杂系统下的真实净减排量与全社会福利效应。</w:t>
      </w:r>
    </w:p>
    <w:p w14:paraId="70ED4227">
      <w:pPr>
        <w:ind w:firstLine="480"/>
        <w:rPr>
          <w:rFonts w:cs="Times New Roman"/>
        </w:rPr>
      </w:pPr>
      <w:r>
        <w:rPr>
          <w:rFonts w:hint="eastAsia" w:cs="Times New Roman"/>
        </w:rPr>
        <w:t>其二，揭示心理补偿机制的异质性对冲结构。本研究引入</w:t>
      </w:r>
      <w:r>
        <w:rPr>
          <w:rFonts w:hint="eastAsia" w:cs="Times New Roman"/>
          <w:lang w:eastAsia="zh-CN"/>
        </w:rPr>
        <w:t>“</w:t>
      </w:r>
      <w:r>
        <w:rPr>
          <w:rFonts w:hint="eastAsia" w:cs="Times New Roman"/>
        </w:rPr>
        <w:t>权利感</w:t>
      </w:r>
      <w:r>
        <w:rPr>
          <w:rFonts w:hint="eastAsia" w:cs="Times New Roman"/>
          <w:lang w:eastAsia="zh-CN"/>
        </w:rPr>
        <w:t>”</w:t>
      </w:r>
      <w:r>
        <w:rPr>
          <w:rFonts w:hint="eastAsia" w:cs="Times New Roman"/>
        </w:rPr>
        <w:t>作为道德许可向高碳行为转化的核心心理中介，并创新性地以</w:t>
      </w:r>
      <w:r>
        <w:rPr>
          <w:rFonts w:hint="eastAsia" w:cs="Times New Roman"/>
          <w:lang w:eastAsia="zh-CN"/>
        </w:rPr>
        <w:t>“</w:t>
      </w:r>
      <w:r>
        <w:rPr>
          <w:rFonts w:hint="eastAsia" w:cs="Times New Roman"/>
        </w:rPr>
        <w:t>环境价值观</w:t>
      </w:r>
      <w:r>
        <w:rPr>
          <w:rFonts w:hint="eastAsia" w:cs="Times New Roman"/>
          <w:lang w:eastAsia="zh-CN"/>
        </w:rPr>
        <w:t>”</w:t>
      </w:r>
      <w:r>
        <w:rPr>
          <w:rFonts w:hint="eastAsia" w:cs="Times New Roman"/>
        </w:rPr>
        <w:t>为调节变量构建条件中介模型。Bootstrapping路径检验表明：面对高综合阻力的低碳行为时，高环境认同群体（</w:t>
      </w:r>
      <w:r>
        <w:rPr>
          <w:rFonts w:hint="eastAsia" w:cs="Times New Roman"/>
          <w:lang w:eastAsia="zh-CN"/>
        </w:rPr>
        <w:t>“</w:t>
      </w:r>
      <w:r>
        <w:rPr>
          <w:rFonts w:hint="eastAsia" w:cs="Times New Roman"/>
        </w:rPr>
        <w:t>深绿</w:t>
      </w:r>
      <w:r>
        <w:rPr>
          <w:rFonts w:hint="eastAsia" w:cs="Times New Roman"/>
          <w:lang w:eastAsia="zh-CN"/>
        </w:rPr>
        <w:t>”</w:t>
      </w:r>
      <w:r>
        <w:rPr>
          <w:rFonts w:hint="eastAsia" w:cs="Times New Roman"/>
        </w:rPr>
        <w:t>）与低环境认同群体（</w:t>
      </w:r>
      <w:r>
        <w:rPr>
          <w:rFonts w:hint="eastAsia" w:cs="Times New Roman"/>
          <w:lang w:eastAsia="zh-CN"/>
        </w:rPr>
        <w:t>“</w:t>
      </w:r>
      <w:r>
        <w:rPr>
          <w:rFonts w:hint="eastAsia" w:cs="Times New Roman"/>
        </w:rPr>
        <w:t>浅绿</w:t>
      </w:r>
      <w:r>
        <w:rPr>
          <w:rFonts w:hint="eastAsia" w:cs="Times New Roman"/>
          <w:lang w:eastAsia="zh-CN"/>
        </w:rPr>
        <w:t>”</w:t>
      </w:r>
      <w:r>
        <w:rPr>
          <w:rFonts w:hint="eastAsia" w:cs="Times New Roman"/>
        </w:rPr>
        <w:t>）产生截然相反的心理补偿动力，二者在宏观总体样本中相互对冲。</w:t>
      </w:r>
    </w:p>
    <w:p w14:paraId="275E3014">
      <w:pPr>
        <w:rPr>
          <w:rFonts w:ascii="Times New Roman" w:hAnsi="Times New Roman" w:cs="Times New Roman"/>
        </w:rPr>
      </w:pPr>
      <w:r>
        <w:rPr>
          <w:rFonts w:ascii="Times New Roman" w:hAnsi="Times New Roman" w:cs="Times New Roman"/>
        </w:rPr>
        <w:br w:type="page"/>
      </w:r>
    </w:p>
    <w:p w14:paraId="75BEC7A2">
      <w:pPr>
        <w:pStyle w:val="2"/>
        <w:numPr>
          <w:ilvl w:val="0"/>
          <w:numId w:val="0"/>
        </w:numPr>
        <w:ind w:left="425" w:hanging="425"/>
        <w:rPr>
          <w:rFonts w:hint="default" w:ascii="Times New Roman" w:hAnsi="Times New Roman" w:eastAsia="黑体" w:cs="Times New Roman"/>
          <w:lang w:val="en-US" w:eastAsia="zh-CN"/>
        </w:rPr>
      </w:pPr>
      <w:bookmarkStart w:id="6" w:name="_Toc22311"/>
      <w:r>
        <w:rPr>
          <w:rFonts w:ascii="Times New Roman" w:hAnsi="Times New Roman" w:cs="Times New Roman"/>
        </w:rPr>
        <w:t>第 2 章</w:t>
      </w:r>
      <w:r>
        <w:rPr>
          <w:rFonts w:hint="eastAsia" w:ascii="Times New Roman" w:hAnsi="Times New Roman" w:cs="Times New Roman"/>
          <w:lang w:val="en-US" w:eastAsia="zh-CN"/>
        </w:rPr>
        <w:t xml:space="preserve"> </w:t>
      </w:r>
      <w:r>
        <w:rPr>
          <w:rFonts w:ascii="Times New Roman" w:hAnsi="Times New Roman" w:cs="Times New Roman"/>
        </w:rPr>
        <w:t>文献综述</w:t>
      </w:r>
      <w:r>
        <w:rPr>
          <w:rFonts w:hint="eastAsia" w:ascii="Times New Roman" w:hAnsi="Times New Roman" w:cs="Times New Roman"/>
          <w:lang w:val="en-US" w:eastAsia="zh-CN"/>
        </w:rPr>
        <w:t>与研究假设</w:t>
      </w:r>
      <w:bookmarkEnd w:id="6"/>
    </w:p>
    <w:p w14:paraId="713B1516">
      <w:pPr>
        <w:pStyle w:val="3"/>
        <w:bidi w:val="0"/>
      </w:pPr>
      <w:bookmarkStart w:id="7" w:name="_Toc31800"/>
      <w:r>
        <w:t>2.1  需求侧减排的成本效益分析与非经济成本</w:t>
      </w:r>
      <w:bookmarkEnd w:id="7"/>
    </w:p>
    <w:p w14:paraId="2EE0D629">
      <w:pPr>
        <w:ind w:firstLine="480"/>
        <w:rPr>
          <w:rFonts w:hint="eastAsia" w:cs="Times New Roman"/>
        </w:rPr>
      </w:pPr>
      <w:r>
        <w:rPr>
          <w:rFonts w:hint="eastAsia" w:cs="Times New Roman"/>
        </w:rPr>
        <w:t>需求侧减排评估长期依赖工程视角的理论减排量代替政策气候收益，默认行为成本仅限于显性货币损益。 Tan-Soo等（2024）对北京12种典型需求侧行为的综合评估发现，纳入时间耗损、舒适度损失等非经济成本后，8种行为导致个体净福利为负；即便内部化185美元/吨的社会碳成本，仍有7种行为的社会总福利为负；若要使全部行为实现正向社会福利，理论碳价须高达3460美元/吨</w:t>
      </w:r>
      <w:r>
        <w:rPr>
          <w:rFonts w:hint="eastAsia" w:cs="Times New Roman"/>
          <w:vertAlign w:val="superscript"/>
        </w:rPr>
        <w:t>[18]</w:t>
      </w:r>
      <w:r>
        <w:rPr>
          <w:rFonts w:hint="eastAsia" w:cs="Times New Roman"/>
        </w:rPr>
        <w:t>——说明</w:t>
      </w:r>
      <w:r>
        <w:rPr>
          <w:rFonts w:hint="eastAsia" w:cs="Times New Roman"/>
          <w:lang w:val="en-US" w:eastAsia="zh-CN"/>
        </w:rPr>
        <w:t>非经济成本</w:t>
      </w:r>
      <w:r>
        <w:rPr>
          <w:rFonts w:hint="eastAsia" w:cs="Times New Roman"/>
        </w:rPr>
        <w:t>是阻碍低碳行为采纳的核心壁垒。</w:t>
      </w:r>
    </w:p>
    <w:p w14:paraId="7361636D">
      <w:pPr>
        <w:ind w:firstLine="480"/>
        <w:rPr>
          <w:rFonts w:cs="Times New Roman" w:eastAsiaTheme="minorEastAsia"/>
        </w:rPr>
      </w:pPr>
      <w:r>
        <w:rPr>
          <w:rFonts w:hint="eastAsia" w:cs="Times New Roman"/>
        </w:rPr>
        <w:t>然而现有CBA研究存在两项共同局限：</w:t>
      </w:r>
      <w:r>
        <w:rPr>
          <w:rFonts w:hint="eastAsia" w:cs="Times New Roman"/>
          <w:lang w:val="en-US" w:eastAsia="zh-CN"/>
        </w:rPr>
        <w:t>非经济成本</w:t>
      </w:r>
      <w:r>
        <w:rPr>
          <w:rFonts w:hint="eastAsia" w:cs="Times New Roman"/>
        </w:rPr>
        <w:t>估算多依赖研究者主观赋值，缺乏与公众感知的系统性校验；框架均为静态核算，忽视行为改变后随即引发的动态反弹效应。本研究通过MaxDiff实验对</w:t>
      </w:r>
      <w:r>
        <w:rPr>
          <w:rFonts w:hint="eastAsia" w:cs="Times New Roman"/>
          <w:lang w:val="en-US" w:eastAsia="zh-CN"/>
        </w:rPr>
        <w:t>纳入非经济成本后的总减排成本</w:t>
      </w:r>
      <w:r>
        <w:rPr>
          <w:rFonts w:hint="eastAsia" w:cs="Times New Roman"/>
        </w:rPr>
        <w:t>进行主客观双轨校准，并将反弹机制嵌入模拟框架，以弥补上述缺口。</w:t>
      </w:r>
    </w:p>
    <w:p w14:paraId="7DD2BFD6">
      <w:pPr>
        <w:pStyle w:val="3"/>
        <w:bidi w:val="0"/>
      </w:pPr>
      <w:bookmarkStart w:id="8" w:name="_Toc2362"/>
      <w:r>
        <w:t>2.2  坎贝尔范式</w:t>
      </w:r>
      <w:bookmarkEnd w:id="8"/>
    </w:p>
    <w:p w14:paraId="6509BDA7">
      <w:pPr>
        <w:ind w:firstLine="480"/>
        <w:rPr>
          <w:rFonts w:cs="Times New Roman" w:eastAsiaTheme="minorEastAsia"/>
        </w:rPr>
      </w:pPr>
      <w:r>
        <w:rPr>
          <w:rFonts w:hint="eastAsia" w:cs="Times New Roman" w:eastAsiaTheme="minorEastAsia"/>
          <w:lang w:eastAsia="zh-CN"/>
        </w:rPr>
        <w:t>“知行不一”是需求侧减排研究的核心难题。坎贝尔范式（Kaiser等，2010）对此提出了根本性再解释：个体行为是内在态度强度与行为客观执行成本代数均衡的结果，“知行不一”意味着行为成本超越了当前态度阈值，而非态度虚伪</w:t>
      </w:r>
      <w:r>
        <w:rPr>
          <w:rFonts w:hint="eastAsia" w:cs="Times New Roman" w:eastAsiaTheme="minorEastAsia"/>
          <w:vertAlign w:val="superscript"/>
          <w:lang w:eastAsia="zh-CN"/>
        </w:rPr>
        <w:t>[17]</w:t>
      </w:r>
      <w:r>
        <w:rPr>
          <w:rFonts w:hint="eastAsia" w:cs="Times New Roman" w:eastAsiaTheme="minorEastAsia"/>
          <w:lang w:eastAsia="zh-CN"/>
        </w:rPr>
        <w:t>。然而该范式在应用于需求侧减排时存在关键缺口：其“行为成本”概念停留于心理测量层面，与微观经济学成本核算体系缺乏对接，难以直接为政策模拟提供参数。本研究将坎贝尔范式的“综合客观阻力”与</w:t>
      </w:r>
      <w:r>
        <w:rPr>
          <w:rFonts w:hint="eastAsia" w:cs="Times New Roman" w:eastAsiaTheme="minorEastAsia"/>
          <w:lang w:val="en-US" w:eastAsia="zh-CN"/>
        </w:rPr>
        <w:t>非经济成本</w:t>
      </w:r>
      <w:r>
        <w:rPr>
          <w:rFonts w:hint="eastAsia" w:cs="Times New Roman" w:eastAsiaTheme="minorEastAsia"/>
          <w:lang w:eastAsia="zh-CN"/>
        </w:rPr>
        <w:t>核算体系对接，使其可操作化为CBA模拟的输入参数；同时采用简化NEP量表（Dunlap等，2000）测度环境价值观，用于检验心理反弹的调节机制</w:t>
      </w:r>
      <w:r>
        <w:rPr>
          <w:rFonts w:hint="eastAsia" w:cs="Times New Roman" w:eastAsiaTheme="minorEastAsia"/>
          <w:vertAlign w:val="superscript"/>
          <w:lang w:eastAsia="zh-CN"/>
        </w:rPr>
        <w:t>[70]</w:t>
      </w:r>
      <w:r>
        <w:rPr>
          <w:rFonts w:cs="Times New Roman" w:eastAsiaTheme="minorEastAsia"/>
        </w:rPr>
        <w:t>。</w:t>
      </w:r>
    </w:p>
    <w:p w14:paraId="5FBA8FA5">
      <w:pPr>
        <w:ind w:firstLine="480"/>
        <w:rPr>
          <w:rFonts w:cs="Times New Roman" w:eastAsiaTheme="minorEastAsia"/>
        </w:rPr>
      </w:pPr>
      <w:r>
        <w:rPr>
          <w:rFonts w:cs="Times New Roman" w:eastAsiaTheme="minorEastAsia"/>
        </w:rPr>
        <w:t>基于上述逻辑，本研究提出理论前提：前提1行为门槛假说——</w:t>
      </w:r>
      <w:r>
        <w:rPr>
          <w:rFonts w:hint="eastAsia" w:cs="Times New Roman" w:eastAsiaTheme="minorEastAsia"/>
        </w:rPr>
        <w:t>在城市居民需求侧低碳行为决策中，包含金钱损益与</w:t>
      </w:r>
      <w:r>
        <w:rPr>
          <w:rFonts w:hint="eastAsia" w:cs="Times New Roman" w:eastAsiaTheme="minorEastAsia"/>
          <w:lang w:val="en-US" w:eastAsia="zh-CN"/>
        </w:rPr>
        <w:t>非经济成本</w:t>
      </w:r>
      <w:r>
        <w:rPr>
          <w:rFonts w:hint="eastAsia" w:cs="Times New Roman" w:eastAsiaTheme="minorEastAsia"/>
        </w:rPr>
        <w:t>的综合客观阻力是决定个体主观感知排斥度与执行难度的核心锚点——客观阻力越高的行为，主观感知难度越大</w:t>
      </w:r>
      <w:r>
        <w:rPr>
          <w:rFonts w:cs="Times New Roman" w:eastAsiaTheme="minorEastAsia"/>
        </w:rPr>
        <w:t>。</w:t>
      </w:r>
    </w:p>
    <w:p w14:paraId="5CAC8BF8">
      <w:pPr>
        <w:ind w:firstLine="480"/>
        <w:rPr>
          <w:rFonts w:cs="Times New Roman" w:eastAsiaTheme="minorEastAsia"/>
        </w:rPr>
      </w:pPr>
    </w:p>
    <w:p w14:paraId="0000001A">
      <w:pPr>
        <w:pStyle w:val="3"/>
        <w:bidi w:val="0"/>
      </w:pPr>
      <w:bookmarkStart w:id="9" w:name="_Toc18497"/>
      <w:r>
        <w:t>2.3  反弹效应</w:t>
      </w:r>
      <w:bookmarkEnd w:id="9"/>
    </w:p>
    <w:p w14:paraId="6083BAB2">
      <w:pPr>
        <w:pStyle w:val="4"/>
        <w:bidi w:val="0"/>
      </w:pPr>
      <w:bookmarkStart w:id="10" w:name="_Toc2297"/>
      <w:r>
        <w:t>2.3.1 直接反弹效应</w:t>
      </w:r>
      <w:bookmarkEnd w:id="10"/>
    </w:p>
    <w:p w14:paraId="609935DE">
      <w:pPr>
        <w:rPr>
          <w:rFonts w:hint="default"/>
        </w:rPr>
      </w:pPr>
      <w:r>
        <w:rPr>
          <w:rFonts w:hint="default"/>
        </w:rPr>
        <w:t>直接反弹效应指能效提升后，因单位服务边际成本下降，消费者增加设备使用量，部分抵消预期减排量</w:t>
      </w:r>
      <w:r>
        <w:rPr>
          <w:rFonts w:hint="default"/>
          <w:vertAlign w:val="superscript"/>
        </w:rPr>
        <w:t>[25]</w:t>
      </w:r>
      <w:r>
        <w:rPr>
          <w:rFonts w:hint="default"/>
        </w:rPr>
        <w:t>。现有文献的核心争议集中在反弹幅度的收入异质性上。表2</w:t>
      </w:r>
      <w:r>
        <w:rPr>
          <w:rFonts w:hint="eastAsia"/>
          <w:lang w:val="en-US" w:eastAsia="zh-CN"/>
        </w:rPr>
        <w:t>-</w:t>
      </w:r>
      <w:r>
        <w:rPr>
          <w:rFonts w:hint="default"/>
        </w:rPr>
        <w:t>1梳理了主要文献的反弹率估算结果。</w:t>
      </w:r>
    </w:p>
    <w:p w14:paraId="6F4A895A">
      <w:pPr>
        <w:rPr>
          <w:rFonts w:hint="default"/>
        </w:rPr>
      </w:pPr>
    </w:p>
    <w:p w14:paraId="5189F31B">
      <w:pPr>
        <w:pStyle w:val="23"/>
        <w:bidi w:val="0"/>
        <w:rPr>
          <w:rFonts w:hint="default"/>
        </w:rPr>
      </w:pPr>
      <w:r>
        <w:rPr>
          <w:rFonts w:hint="default"/>
        </w:rPr>
        <w:t>表2</w:t>
      </w:r>
      <w:r>
        <w:rPr>
          <w:rFonts w:hint="eastAsia"/>
          <w:lang w:val="en-US" w:eastAsia="zh-CN"/>
        </w:rPr>
        <w:t>-</w:t>
      </w:r>
      <w:r>
        <w:rPr>
          <w:rFonts w:hint="default"/>
        </w:rPr>
        <w:t>1主要文献的反弹率估算结果</w:t>
      </w:r>
    </w:p>
    <w:p w14:paraId="0ABA9571">
      <w:pPr>
        <w:pStyle w:val="23"/>
        <w:bidi w:val="0"/>
        <w:rPr>
          <w:rFonts w:hint="default"/>
        </w:rPr>
      </w:pPr>
      <w:r>
        <w:rPr>
          <w:rFonts w:hint="default"/>
        </w:rPr>
        <w:t>Table 2-1 Estimated Results of Rebound Rates from Major Literature</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5"/>
        <w:gridCol w:w="1202"/>
        <w:gridCol w:w="1431"/>
        <w:gridCol w:w="1242"/>
        <w:gridCol w:w="2356"/>
      </w:tblGrid>
      <w:tr w14:paraId="1EC2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24A5BAC6">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研究</w:t>
            </w:r>
          </w:p>
        </w:tc>
        <w:tc>
          <w:tcPr>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554DEFAC">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情境</w:t>
            </w:r>
          </w:p>
        </w:tc>
        <w:tc>
          <w:tcPr>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7E41EC00">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方法</w:t>
            </w:r>
          </w:p>
        </w:tc>
        <w:tc>
          <w:tcPr>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5D76C59F">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收入分层</w:t>
            </w:r>
          </w:p>
        </w:tc>
        <w:tc>
          <w:tcPr>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18AB49A">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直接反弹率</w:t>
            </w:r>
          </w:p>
        </w:tc>
      </w:tr>
      <w:tr w14:paraId="5EFD6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nil"/>
              <w:bottom w:val="nil"/>
              <w:right w:val="nil"/>
            </w:tcBorders>
            <w:shd w:val="clear" w:color="auto" w:fill="FFFFFF"/>
            <w:tcMar>
              <w:top w:w="60" w:type="dxa"/>
              <w:left w:w="120" w:type="dxa"/>
              <w:bottom w:w="60" w:type="dxa"/>
              <w:right w:w="120" w:type="dxa"/>
            </w:tcMar>
            <w:vAlign w:val="center"/>
          </w:tcPr>
          <w:p w14:paraId="6765AEF1">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Sorrell &amp; Dimitropoulos（2008）</w:t>
            </w:r>
          </w:p>
        </w:tc>
        <w:tc>
          <w:tcPr>
            <w:tcBorders>
              <w:top w:val="single" w:color="000000" w:sz="4" w:space="0"/>
              <w:left w:val="nil"/>
              <w:bottom w:val="nil"/>
              <w:right w:val="nil"/>
            </w:tcBorders>
            <w:shd w:val="clear" w:color="auto" w:fill="FFFFFF"/>
            <w:tcMar>
              <w:top w:w="60" w:type="dxa"/>
              <w:left w:w="120" w:type="dxa"/>
              <w:bottom w:w="60" w:type="dxa"/>
              <w:right w:w="120" w:type="dxa"/>
            </w:tcMar>
            <w:vAlign w:val="center"/>
          </w:tcPr>
          <w:p w14:paraId="46EAA788">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英国家庭电器</w:t>
            </w:r>
          </w:p>
        </w:tc>
        <w:tc>
          <w:tcPr>
            <w:tcBorders>
              <w:top w:val="single" w:color="000000" w:sz="4" w:space="0"/>
              <w:left w:val="nil"/>
              <w:bottom w:val="nil"/>
              <w:right w:val="nil"/>
            </w:tcBorders>
            <w:shd w:val="clear" w:color="auto" w:fill="FFFFFF"/>
            <w:tcMar>
              <w:top w:w="60" w:type="dxa"/>
              <w:left w:w="120" w:type="dxa"/>
              <w:bottom w:w="60" w:type="dxa"/>
              <w:right w:w="120" w:type="dxa"/>
            </w:tcMar>
            <w:vAlign w:val="center"/>
          </w:tcPr>
          <w:p w14:paraId="54A76857">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宏观弹性估算</w:t>
            </w:r>
          </w:p>
        </w:tc>
        <w:tc>
          <w:tcPr>
            <w:tcBorders>
              <w:top w:val="single" w:color="000000" w:sz="4" w:space="0"/>
              <w:left w:val="nil"/>
              <w:bottom w:val="nil"/>
              <w:right w:val="nil"/>
            </w:tcBorders>
            <w:shd w:val="clear" w:color="auto" w:fill="FFFFFF"/>
            <w:tcMar>
              <w:top w:w="60" w:type="dxa"/>
              <w:left w:w="120" w:type="dxa"/>
              <w:bottom w:w="60" w:type="dxa"/>
              <w:right w:w="120" w:type="dxa"/>
            </w:tcMar>
            <w:vAlign w:val="center"/>
          </w:tcPr>
          <w:p w14:paraId="75448112">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未区分</w:t>
            </w:r>
          </w:p>
        </w:tc>
        <w:tc>
          <w:tcPr>
            <w:tcBorders>
              <w:top w:val="single" w:color="000000" w:sz="4" w:space="0"/>
              <w:left w:val="nil"/>
              <w:bottom w:val="nil"/>
              <w:right w:val="nil"/>
            </w:tcBorders>
            <w:shd w:val="clear" w:color="auto" w:fill="FFFFFF"/>
            <w:tcMar>
              <w:top w:w="60" w:type="dxa"/>
              <w:left w:w="120" w:type="dxa"/>
              <w:bottom w:w="60" w:type="dxa"/>
              <w:right w:w="120" w:type="dxa"/>
            </w:tcMar>
            <w:vAlign w:val="center"/>
          </w:tcPr>
          <w:p w14:paraId="2C412DCE">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10%—30%</w:t>
            </w:r>
          </w:p>
        </w:tc>
      </w:tr>
      <w:tr w14:paraId="627A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left w:w="120" w:type="dxa"/>
              <w:bottom w:w="60" w:type="dxa"/>
              <w:right w:w="120" w:type="dxa"/>
            </w:tcMar>
            <w:vAlign w:val="center"/>
          </w:tcPr>
          <w:p w14:paraId="11A28EAF">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Chitnis &amp; Hunt（2012）</w:t>
            </w:r>
          </w:p>
        </w:tc>
        <w:tc>
          <w:tcPr>
            <w:tcBorders>
              <w:top w:val="nil"/>
              <w:left w:val="nil"/>
              <w:bottom w:val="nil"/>
              <w:right w:val="nil"/>
            </w:tcBorders>
            <w:shd w:val="clear" w:color="auto" w:fill="FFFFFF"/>
            <w:tcMar>
              <w:top w:w="60" w:type="dxa"/>
              <w:left w:w="120" w:type="dxa"/>
              <w:bottom w:w="60" w:type="dxa"/>
              <w:right w:w="120" w:type="dxa"/>
            </w:tcMar>
            <w:vAlign w:val="center"/>
          </w:tcPr>
          <w:p w14:paraId="250F757F">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英国家庭能源</w:t>
            </w:r>
          </w:p>
        </w:tc>
        <w:tc>
          <w:tcPr>
            <w:tcBorders>
              <w:top w:val="nil"/>
              <w:left w:val="nil"/>
              <w:bottom w:val="nil"/>
              <w:right w:val="nil"/>
            </w:tcBorders>
            <w:shd w:val="clear" w:color="auto" w:fill="FFFFFF"/>
            <w:tcMar>
              <w:top w:w="60" w:type="dxa"/>
              <w:left w:w="120" w:type="dxa"/>
              <w:bottom w:w="60" w:type="dxa"/>
              <w:right w:w="120" w:type="dxa"/>
            </w:tcMar>
            <w:vAlign w:val="center"/>
          </w:tcPr>
          <w:p w14:paraId="60DB1533">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面板数据回归</w:t>
            </w:r>
          </w:p>
        </w:tc>
        <w:tc>
          <w:tcPr>
            <w:tcBorders>
              <w:top w:val="nil"/>
              <w:left w:val="nil"/>
              <w:bottom w:val="nil"/>
              <w:right w:val="nil"/>
            </w:tcBorders>
            <w:shd w:val="clear" w:color="auto" w:fill="FFFFFF"/>
            <w:tcMar>
              <w:top w:w="60" w:type="dxa"/>
              <w:left w:w="120" w:type="dxa"/>
              <w:bottom w:w="60" w:type="dxa"/>
              <w:right w:w="120" w:type="dxa"/>
            </w:tcMar>
            <w:vAlign w:val="center"/>
          </w:tcPr>
          <w:p w14:paraId="79CD8860">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未区分</w:t>
            </w:r>
          </w:p>
        </w:tc>
        <w:tc>
          <w:tcPr>
            <w:tcBorders>
              <w:top w:val="nil"/>
              <w:left w:val="nil"/>
              <w:bottom w:val="nil"/>
              <w:right w:val="nil"/>
            </w:tcBorders>
            <w:shd w:val="clear" w:color="auto" w:fill="FFFFFF"/>
            <w:tcMar>
              <w:top w:w="60" w:type="dxa"/>
              <w:left w:w="120" w:type="dxa"/>
              <w:bottom w:w="60" w:type="dxa"/>
              <w:right w:w="120" w:type="dxa"/>
            </w:tcMar>
            <w:vAlign w:val="center"/>
          </w:tcPr>
          <w:p w14:paraId="42B78B31">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15%—60%</w:t>
            </w:r>
          </w:p>
        </w:tc>
      </w:tr>
      <w:tr w14:paraId="0FF8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left w:w="120" w:type="dxa"/>
              <w:bottom w:w="60" w:type="dxa"/>
              <w:right w:w="120" w:type="dxa"/>
            </w:tcMar>
            <w:vAlign w:val="center"/>
          </w:tcPr>
          <w:p w14:paraId="33BEE769">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Druckman et al.（2011）</w:t>
            </w:r>
          </w:p>
        </w:tc>
        <w:tc>
          <w:tcPr>
            <w:tcBorders>
              <w:top w:val="nil"/>
              <w:left w:val="nil"/>
              <w:bottom w:val="nil"/>
              <w:right w:val="nil"/>
            </w:tcBorders>
            <w:shd w:val="clear" w:color="auto" w:fill="FFFFFF"/>
            <w:tcMar>
              <w:top w:w="60" w:type="dxa"/>
              <w:left w:w="120" w:type="dxa"/>
              <w:bottom w:w="60" w:type="dxa"/>
              <w:right w:w="120" w:type="dxa"/>
            </w:tcMar>
            <w:vAlign w:val="center"/>
          </w:tcPr>
          <w:p w14:paraId="73D05427">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英国家庭综合</w:t>
            </w:r>
          </w:p>
        </w:tc>
        <w:tc>
          <w:tcPr>
            <w:tcBorders>
              <w:top w:val="nil"/>
              <w:left w:val="nil"/>
              <w:bottom w:val="nil"/>
              <w:right w:val="nil"/>
            </w:tcBorders>
            <w:shd w:val="clear" w:color="auto" w:fill="FFFFFF"/>
            <w:tcMar>
              <w:top w:w="60" w:type="dxa"/>
              <w:left w:w="120" w:type="dxa"/>
              <w:bottom w:w="60" w:type="dxa"/>
              <w:right w:w="120" w:type="dxa"/>
            </w:tcMar>
            <w:vAlign w:val="center"/>
          </w:tcPr>
          <w:p w14:paraId="6EF2B9B4">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IO-LCA联合</w:t>
            </w:r>
          </w:p>
        </w:tc>
        <w:tc>
          <w:tcPr>
            <w:tcBorders>
              <w:top w:val="nil"/>
              <w:left w:val="nil"/>
              <w:bottom w:val="nil"/>
              <w:right w:val="nil"/>
            </w:tcBorders>
            <w:shd w:val="clear" w:color="auto" w:fill="FFFFFF"/>
            <w:tcMar>
              <w:top w:w="60" w:type="dxa"/>
              <w:left w:w="120" w:type="dxa"/>
              <w:bottom w:w="60" w:type="dxa"/>
              <w:right w:w="120" w:type="dxa"/>
            </w:tcMar>
            <w:vAlign w:val="center"/>
          </w:tcPr>
          <w:p w14:paraId="7866CB7F">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未区分</w:t>
            </w:r>
          </w:p>
        </w:tc>
        <w:tc>
          <w:tcPr>
            <w:tcBorders>
              <w:top w:val="nil"/>
              <w:left w:val="nil"/>
              <w:bottom w:val="nil"/>
              <w:right w:val="nil"/>
            </w:tcBorders>
            <w:shd w:val="clear" w:color="auto" w:fill="FFFFFF"/>
            <w:tcMar>
              <w:top w:w="60" w:type="dxa"/>
              <w:left w:w="120" w:type="dxa"/>
              <w:bottom w:w="60" w:type="dxa"/>
              <w:right w:w="120" w:type="dxa"/>
            </w:tcMar>
            <w:vAlign w:val="center"/>
          </w:tcPr>
          <w:p w14:paraId="4485F680">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约50%</w:t>
            </w:r>
          </w:p>
        </w:tc>
      </w:tr>
      <w:tr w14:paraId="2658E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left w:w="120" w:type="dxa"/>
              <w:bottom w:w="60" w:type="dxa"/>
              <w:right w:w="120" w:type="dxa"/>
            </w:tcMar>
            <w:vAlign w:val="center"/>
          </w:tcPr>
          <w:p w14:paraId="49FE723A">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Davis（2010）</w:t>
            </w:r>
          </w:p>
        </w:tc>
        <w:tc>
          <w:tcPr>
            <w:tcBorders>
              <w:top w:val="nil"/>
              <w:left w:val="nil"/>
              <w:bottom w:val="nil"/>
              <w:right w:val="nil"/>
            </w:tcBorders>
            <w:shd w:val="clear" w:color="auto" w:fill="FFFFFF"/>
            <w:tcMar>
              <w:top w:w="60" w:type="dxa"/>
              <w:left w:w="120" w:type="dxa"/>
              <w:bottom w:w="60" w:type="dxa"/>
              <w:right w:w="120" w:type="dxa"/>
            </w:tcMar>
            <w:vAlign w:val="center"/>
          </w:tcPr>
          <w:p w14:paraId="4BC62A57">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美国空调</w:t>
            </w:r>
          </w:p>
        </w:tc>
        <w:tc>
          <w:tcPr>
            <w:tcBorders>
              <w:top w:val="nil"/>
              <w:left w:val="nil"/>
              <w:bottom w:val="nil"/>
              <w:right w:val="nil"/>
            </w:tcBorders>
            <w:shd w:val="clear" w:color="auto" w:fill="FFFFFF"/>
            <w:tcMar>
              <w:top w:w="60" w:type="dxa"/>
              <w:left w:w="120" w:type="dxa"/>
              <w:bottom w:w="60" w:type="dxa"/>
              <w:right w:w="120" w:type="dxa"/>
            </w:tcMar>
            <w:vAlign w:val="center"/>
          </w:tcPr>
          <w:p w14:paraId="1B2CA0D5">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自然实验</w:t>
            </w:r>
          </w:p>
        </w:tc>
        <w:tc>
          <w:tcPr>
            <w:tcBorders>
              <w:top w:val="nil"/>
              <w:left w:val="nil"/>
              <w:bottom w:val="nil"/>
              <w:right w:val="nil"/>
            </w:tcBorders>
            <w:shd w:val="clear" w:color="auto" w:fill="FFFFFF"/>
            <w:tcMar>
              <w:top w:w="60" w:type="dxa"/>
              <w:left w:w="120" w:type="dxa"/>
              <w:bottom w:w="60" w:type="dxa"/>
              <w:right w:w="120" w:type="dxa"/>
            </w:tcMar>
            <w:vAlign w:val="center"/>
          </w:tcPr>
          <w:p w14:paraId="2B318492">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未区分</w:t>
            </w:r>
          </w:p>
        </w:tc>
        <w:tc>
          <w:tcPr>
            <w:tcBorders>
              <w:top w:val="nil"/>
              <w:left w:val="nil"/>
              <w:bottom w:val="nil"/>
              <w:right w:val="nil"/>
            </w:tcBorders>
            <w:shd w:val="clear" w:color="auto" w:fill="FFFFFF"/>
            <w:tcMar>
              <w:top w:w="60" w:type="dxa"/>
              <w:left w:w="120" w:type="dxa"/>
              <w:bottom w:w="60" w:type="dxa"/>
              <w:right w:w="120" w:type="dxa"/>
            </w:tcMar>
            <w:vAlign w:val="center"/>
          </w:tcPr>
          <w:p w14:paraId="211EF052">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低收入&gt;高收入（未量化）</w:t>
            </w:r>
          </w:p>
        </w:tc>
      </w:tr>
      <w:tr w14:paraId="1049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single" w:color="000000" w:sz="12" w:space="0"/>
              <w:right w:val="nil"/>
            </w:tcBorders>
            <w:shd w:val="clear" w:color="auto" w:fill="FFFFFF"/>
            <w:tcMar>
              <w:top w:w="60" w:type="dxa"/>
              <w:left w:w="120" w:type="dxa"/>
              <w:bottom w:w="60" w:type="dxa"/>
              <w:right w:w="120" w:type="dxa"/>
            </w:tcMar>
            <w:vAlign w:val="center"/>
          </w:tcPr>
          <w:p w14:paraId="22415EFE">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Aydin et al.（2017）</w:t>
            </w:r>
          </w:p>
        </w:tc>
        <w:tc>
          <w:tcPr>
            <w:tcBorders>
              <w:top w:val="nil"/>
              <w:left w:val="nil"/>
              <w:bottom w:val="single" w:color="000000" w:sz="12" w:space="0"/>
              <w:right w:val="nil"/>
            </w:tcBorders>
            <w:shd w:val="clear" w:color="auto" w:fill="FFFFFF"/>
            <w:tcMar>
              <w:top w:w="60" w:type="dxa"/>
              <w:left w:w="120" w:type="dxa"/>
              <w:bottom w:w="60" w:type="dxa"/>
              <w:right w:w="120" w:type="dxa"/>
            </w:tcMar>
            <w:vAlign w:val="center"/>
          </w:tcPr>
          <w:p w14:paraId="37EED9FA">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荷兰家庭供暖</w:t>
            </w:r>
          </w:p>
        </w:tc>
        <w:tc>
          <w:tcPr>
            <w:tcBorders>
              <w:top w:val="nil"/>
              <w:left w:val="nil"/>
              <w:bottom w:val="single" w:color="000000" w:sz="12" w:space="0"/>
              <w:right w:val="nil"/>
            </w:tcBorders>
            <w:shd w:val="clear" w:color="auto" w:fill="FFFFFF"/>
            <w:tcMar>
              <w:top w:w="60" w:type="dxa"/>
              <w:left w:w="120" w:type="dxa"/>
              <w:bottom w:w="60" w:type="dxa"/>
              <w:right w:w="120" w:type="dxa"/>
            </w:tcMar>
            <w:vAlign w:val="center"/>
          </w:tcPr>
          <w:p w14:paraId="0EA7A9CC">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DID估计</w:t>
            </w:r>
          </w:p>
        </w:tc>
        <w:tc>
          <w:tcPr>
            <w:tcBorders>
              <w:top w:val="nil"/>
              <w:left w:val="nil"/>
              <w:bottom w:val="single" w:color="000000" w:sz="12" w:space="0"/>
              <w:right w:val="nil"/>
            </w:tcBorders>
            <w:shd w:val="clear" w:color="auto" w:fill="FFFFFF"/>
            <w:tcMar>
              <w:top w:w="60" w:type="dxa"/>
              <w:left w:w="120" w:type="dxa"/>
              <w:bottom w:w="60" w:type="dxa"/>
              <w:right w:w="120" w:type="dxa"/>
            </w:tcMar>
            <w:vAlign w:val="center"/>
          </w:tcPr>
          <w:p w14:paraId="05B98C42">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低/高收入分组</w:t>
            </w:r>
          </w:p>
        </w:tc>
        <w:tc>
          <w:tcPr>
            <w:tcBorders>
              <w:top w:val="nil"/>
              <w:left w:val="nil"/>
              <w:bottom w:val="single" w:color="000000" w:sz="12" w:space="0"/>
              <w:right w:val="nil"/>
            </w:tcBorders>
            <w:shd w:val="clear" w:color="auto" w:fill="FFFFFF"/>
            <w:tcMar>
              <w:top w:w="60" w:type="dxa"/>
              <w:left w:w="120" w:type="dxa"/>
              <w:bottom w:w="60" w:type="dxa"/>
              <w:right w:w="120" w:type="dxa"/>
            </w:tcMar>
            <w:vAlign w:val="center"/>
          </w:tcPr>
          <w:p w14:paraId="4906F672">
            <w:pPr>
              <w:keepNext w:val="0"/>
              <w:keepLines w:val="0"/>
              <w:suppressLineNumbers w:val="0"/>
              <w:spacing w:before="0" w:beforeAutospacing="0" w:after="0" w:afterAutospacing="0"/>
              <w:ind w:left="0" w:leftChars="0" w:right="0" w:firstLine="0" w:firstLineChars="0"/>
              <w:jc w:val="center"/>
              <w:rPr>
                <w:rFonts w:hint="default"/>
                <w:b w:val="0"/>
                <w:color w:val="000000"/>
              </w:rPr>
            </w:pPr>
            <w:r>
              <w:rPr>
                <w:rFonts w:hint="default"/>
                <w:b w:val="0"/>
                <w:color w:val="000000"/>
              </w:rPr>
              <w:t>低收入≈高收入3倍</w:t>
            </w:r>
          </w:p>
        </w:tc>
      </w:tr>
    </w:tbl>
    <w:p w14:paraId="5D8A3E12">
      <w:pPr>
        <w:rPr>
          <w:rFonts w:hint="default"/>
        </w:rPr>
      </w:pPr>
    </w:p>
    <w:p w14:paraId="79AC1DC2">
      <w:pPr>
        <w:ind w:firstLine="480"/>
        <w:rPr>
          <w:rFonts w:hint="eastAsia" w:cs="Times New Roman"/>
        </w:rPr>
      </w:pPr>
      <w:r>
        <w:rPr>
          <w:rFonts w:hint="eastAsia" w:cs="Times New Roman"/>
        </w:rPr>
        <w:t>从表2</w:t>
      </w:r>
      <w:r>
        <w:rPr>
          <w:rFonts w:hint="eastAsia" w:cs="Times New Roman"/>
          <w:lang w:val="en-US" w:eastAsia="zh-CN"/>
        </w:rPr>
        <w:t>-</w:t>
      </w:r>
      <w:r>
        <w:rPr>
          <w:rFonts w:hint="eastAsia" w:cs="Times New Roman"/>
        </w:rPr>
        <w:t>1可见，现有估算结果差异显著，且多数研究未对收入群体进行分层处理。Aydin等（2017）的研究是少数明确引入收入分层的案例，其结果显示低收入群体的直接反弹约为高收入群体的3倍，核心机制在于"饱和效应"：低收入群体长期受制于预算约束，对基础能源服务（如制冷、供暖）存在被压制的隐性未满足需求，一旦能效提升带来使用成本下降，便优先将节余转化为使用量增加</w:t>
      </w:r>
      <w:r>
        <w:rPr>
          <w:rFonts w:hint="eastAsia" w:cs="Times New Roman"/>
          <w:vertAlign w:val="superscript"/>
        </w:rPr>
        <w:t>[27]</w:t>
      </w:r>
      <w:r>
        <w:rPr>
          <w:rFonts w:hint="eastAsia" w:cs="Times New Roman"/>
        </w:rPr>
        <w:t>。然而，主流政策评估工具（如边际减排成本曲线MACC）在测算技术替代潜力时，仍普遍使用跨收入阶层的平均反弹系数，系统性低估了面向低收入群体补贴的减排折损</w:t>
      </w:r>
      <w:r>
        <w:rPr>
          <w:rFonts w:hint="eastAsia" w:cs="Times New Roman"/>
          <w:vertAlign w:val="superscript"/>
        </w:rPr>
        <w:t>[28]</w:t>
      </w:r>
      <w:r>
        <w:rPr>
          <w:rFonts w:hint="eastAsia" w:cs="Times New Roman"/>
        </w:rPr>
        <w:t>。本研究通过分收入组的情境实验，在中国城市居民样本中直接检验这一异质性，为分层政策参数的设定提供微观依据。</w:t>
      </w:r>
    </w:p>
    <w:p w14:paraId="17EFBCC6">
      <w:pPr>
        <w:ind w:firstLine="480"/>
        <w:rPr>
          <w:rFonts w:hint="eastAsia" w:cs="Times New Roman"/>
        </w:rPr>
      </w:pPr>
      <w:r>
        <w:rPr>
          <w:rFonts w:hint="eastAsia" w:cs="Times New Roman"/>
        </w:rPr>
        <w:t>据此提出：H1直接反弹的收入异质性假说——技术效率型行为（如节能空调）引发的直接反弹倾向在低收入群体中显著高于高收入群体；而日常习惯型行为（如饮食改变）引发的跨界经济反弹意向则在各收入阶层中普遍存在，表现出阶层穿透性。</w:t>
      </w:r>
    </w:p>
    <w:p w14:paraId="211ABA25">
      <w:pPr>
        <w:ind w:firstLine="480"/>
        <w:rPr>
          <w:rFonts w:hint="eastAsia" w:cs="Times New Roman"/>
        </w:rPr>
      </w:pPr>
    </w:p>
    <w:p w14:paraId="0000001C">
      <w:pPr>
        <w:pStyle w:val="4"/>
        <w:bidi w:val="0"/>
        <w:rPr>
          <w:rFonts w:hint="default"/>
        </w:rPr>
      </w:pPr>
      <w:bookmarkStart w:id="11" w:name="_Toc32152"/>
      <w:r>
        <w:rPr>
          <w:rFonts w:hint="default"/>
        </w:rPr>
        <w:t>2.3.</w:t>
      </w:r>
      <w:r>
        <w:rPr>
          <w:rFonts w:hint="eastAsia"/>
          <w:lang w:val="en-US" w:eastAsia="zh-CN"/>
        </w:rPr>
        <w:t>2</w:t>
      </w:r>
      <w:r>
        <w:rPr>
          <w:rFonts w:hint="default"/>
        </w:rPr>
        <w:t xml:space="preserve"> 间接反弹效应</w:t>
      </w:r>
      <w:r>
        <w:rPr>
          <w:rFonts w:hint="eastAsia"/>
          <w:lang w:eastAsia="zh-CN"/>
        </w:rPr>
        <w:t>—</w:t>
      </w:r>
      <w:r>
        <w:rPr>
          <w:rFonts w:hint="default"/>
        </w:rPr>
        <w:t>经济反弹</w:t>
      </w:r>
      <w:bookmarkEnd w:id="11"/>
    </w:p>
    <w:p w14:paraId="2D7933EA">
      <w:pPr>
        <w:ind w:firstLine="480"/>
        <w:rPr>
          <w:rFonts w:hint="default" w:cs="Times New Roman"/>
        </w:rPr>
      </w:pPr>
      <w:r>
        <w:rPr>
          <w:rFonts w:hint="default" w:cs="Times New Roman"/>
        </w:rPr>
        <w:t>经济反弹关注行为节余资金的跨界流向：个体通过节能或饮食改变获得财务盈余后，节余资金受边际消费倾向驱使转移至其他高碳消费领域，在极端情形下可完全抵消初始减排量，触发</w:t>
      </w:r>
      <w:r>
        <w:rPr>
          <w:rFonts w:hint="eastAsia" w:cs="Times New Roman"/>
          <w:lang w:eastAsia="zh-CN"/>
        </w:rPr>
        <w:t>“</w:t>
      </w:r>
      <w:r>
        <w:rPr>
          <w:rFonts w:hint="default" w:cs="Times New Roman"/>
        </w:rPr>
        <w:t>气候反噬效应</w:t>
      </w:r>
      <w:r>
        <w:rPr>
          <w:rFonts w:hint="eastAsia" w:cs="Times New Roman"/>
          <w:lang w:eastAsia="zh-CN"/>
        </w:rPr>
        <w:t>”</w:t>
      </w:r>
      <w:r>
        <w:rPr>
          <w:rFonts w:hint="default" w:cs="Times New Roman"/>
          <w:vertAlign w:val="superscript"/>
        </w:rPr>
        <w:t>[23]</w:t>
      </w:r>
      <w:r>
        <w:rPr>
          <w:rFonts w:hint="default" w:cs="Times New Roman"/>
        </w:rPr>
        <w:t>。现有研究多集中于宏观能源价格弹性估算，对微观家庭层面——尤其是习惯型行为（饮食改变、减少日常浪费）产生的小额日常节余——的跨界溢出路径几乎缺乏实证追踪</w:t>
      </w:r>
      <w:r>
        <w:rPr>
          <w:rFonts w:hint="default" w:cs="Times New Roman"/>
          <w:vertAlign w:val="superscript"/>
        </w:rPr>
        <w:t>[22]</w:t>
      </w:r>
      <w:r>
        <w:rPr>
          <w:rFonts w:hint="default" w:cs="Times New Roman"/>
        </w:rPr>
        <w:t>。本研究通过情境实验直接测量受访者针对具体行为节余的边际消费意向，为经济反弹的微观参数化提供实证基础。</w:t>
      </w:r>
    </w:p>
    <w:p w14:paraId="38683DBD">
      <w:pPr>
        <w:pStyle w:val="4"/>
        <w:bidi w:val="0"/>
        <w:rPr>
          <w:rFonts w:hint="default"/>
        </w:rPr>
      </w:pPr>
      <w:bookmarkStart w:id="12" w:name="_Toc10971"/>
      <w:r>
        <w:rPr>
          <w:rFonts w:hint="default"/>
        </w:rPr>
        <w:t>2.3.3 间接反弹效应</w:t>
      </w:r>
      <w:r>
        <w:rPr>
          <w:rFonts w:hint="eastAsia"/>
          <w:lang w:eastAsia="zh-CN"/>
        </w:rPr>
        <w:t>—</w:t>
      </w:r>
      <w:r>
        <w:rPr>
          <w:rFonts w:hint="default"/>
        </w:rPr>
        <w:t>心理反弹</w:t>
      </w:r>
      <w:bookmarkEnd w:id="12"/>
    </w:p>
    <w:p w14:paraId="49B64E28">
      <w:pPr>
        <w:ind w:firstLine="480"/>
        <w:rPr>
          <w:rFonts w:hint="default" w:cs="Times New Roman"/>
        </w:rPr>
      </w:pPr>
      <w:r>
        <w:rPr>
          <w:rFonts w:hint="default" w:cs="Times New Roman"/>
        </w:rPr>
        <w:t>心理反弹研究至今存在根本性结论分歧。Mazar和Zhong（2010）最早发现绿色消费可激活"道德信用"，为后续高碳行为提供内部许可</w:t>
      </w:r>
      <w:r>
        <w:rPr>
          <w:rFonts w:hint="default" w:cs="Times New Roman"/>
          <w:vertAlign w:val="superscript"/>
        </w:rPr>
        <w:t>[33]</w:t>
      </w:r>
      <w:r>
        <w:rPr>
          <w:rFonts w:hint="default" w:cs="Times New Roman"/>
        </w:rPr>
        <w:t>；但Urban等（2019）及Blanken等（2015）的严格重复实验均未能稳定复现该效应。这一争议暴露了两个方法论盲区：早期研究忽视了行为执行阻力对道德账户激活程度的调节作用；现有研究将样本视为同质群体，未区分不同环境价值观人群的异质性反应，可能导致方向相反的效应相互抵消、主效应表面不显著。</w:t>
      </w:r>
    </w:p>
    <w:p w14:paraId="7B91DFFD">
      <w:pPr>
        <w:ind w:firstLine="480"/>
        <w:rPr>
          <w:rFonts w:hint="default" w:eastAsia="宋体" w:cs="Times New Roman"/>
          <w:lang w:val="en-US" w:eastAsia="zh-CN"/>
        </w:rPr>
      </w:pPr>
      <w:r>
        <w:rPr>
          <w:rFonts w:hint="default" w:cs="Times New Roman"/>
        </w:rPr>
        <w:t>据此提出</w:t>
      </w:r>
      <w:r>
        <w:rPr>
          <w:rFonts w:hint="eastAsia" w:cs="Times New Roman"/>
          <w:lang w:val="en-US" w:eastAsia="zh-CN"/>
        </w:rPr>
        <w:t>本文</w:t>
      </w:r>
      <w:r>
        <w:rPr>
          <w:rFonts w:hint="default" w:cs="Times New Roman"/>
        </w:rPr>
        <w:t>两项假设：</w:t>
      </w:r>
    </w:p>
    <w:p w14:paraId="11CD6890">
      <w:pPr>
        <w:ind w:firstLine="480"/>
        <w:rPr>
          <w:rFonts w:hint="default" w:cs="Times New Roman"/>
        </w:rPr>
      </w:pPr>
      <w:r>
        <w:rPr>
          <w:rFonts w:hint="default" w:cs="Times New Roman"/>
        </w:rPr>
        <w:t>H2a心理反弹的中介机制：在高综合阻力低碳行为干预下，个体产生的补偿性</w:t>
      </w:r>
      <w:r>
        <w:rPr>
          <w:rFonts w:hint="eastAsia" w:cs="Times New Roman"/>
          <w:lang w:eastAsia="zh-CN"/>
        </w:rPr>
        <w:t>“</w:t>
      </w:r>
      <w:r>
        <w:rPr>
          <w:rFonts w:hint="default" w:cs="Times New Roman"/>
        </w:rPr>
        <w:t>权利感</w:t>
      </w:r>
      <w:r>
        <w:rPr>
          <w:rFonts w:hint="eastAsia" w:cs="Times New Roman"/>
          <w:lang w:eastAsia="zh-CN"/>
        </w:rPr>
        <w:t>”</w:t>
      </w:r>
      <w:r>
        <w:rPr>
          <w:rFonts w:hint="default" w:cs="Times New Roman"/>
        </w:rPr>
        <w:t>将</w:t>
      </w:r>
      <w:r>
        <w:rPr>
          <w:rFonts w:hint="eastAsia" w:cs="Times New Roman"/>
          <w:lang w:val="en-US" w:eastAsia="zh-CN"/>
        </w:rPr>
        <w:t>负面影响个体后续向低碳行为的转移</w:t>
      </w:r>
      <w:r>
        <w:rPr>
          <w:rFonts w:hint="default" w:cs="Times New Roman"/>
        </w:rPr>
        <w:t>。</w:t>
      </w:r>
    </w:p>
    <w:p w14:paraId="7BBD438C">
      <w:pPr>
        <w:ind w:firstLine="480"/>
        <w:rPr>
          <w:rFonts w:hint="default" w:cs="Times New Roman"/>
        </w:rPr>
      </w:pPr>
      <w:r>
        <w:rPr>
          <w:rFonts w:hint="default" w:cs="Times New Roman"/>
        </w:rPr>
        <w:t>H2b调节式失效假说：</w:t>
      </w:r>
      <w:r>
        <w:rPr>
          <w:rFonts w:hint="eastAsia" w:cs="Times New Roman"/>
          <w:lang w:val="en-US" w:eastAsia="zh-CN"/>
        </w:rPr>
        <w:t>个人</w:t>
      </w:r>
      <w:r>
        <w:rPr>
          <w:rFonts w:hint="default" w:cs="Times New Roman"/>
        </w:rPr>
        <w:t>环境价值观在</w:t>
      </w:r>
      <w:r>
        <w:rPr>
          <w:rFonts w:hint="eastAsia" w:cs="Times New Roman"/>
          <w:lang w:eastAsia="zh-CN"/>
        </w:rPr>
        <w:t>“</w:t>
      </w:r>
      <w:r>
        <w:rPr>
          <w:rFonts w:hint="default" w:cs="Times New Roman"/>
        </w:rPr>
        <w:t>客观阻力</w:t>
      </w:r>
      <w:r>
        <w:rPr>
          <w:rFonts w:hint="eastAsia" w:cs="Times New Roman"/>
          <w:lang w:eastAsia="zh-CN"/>
        </w:rPr>
        <w:t>—</w:t>
      </w:r>
      <w:r>
        <w:rPr>
          <w:rFonts w:hint="default" w:cs="Times New Roman"/>
        </w:rPr>
        <w:t>权利感</w:t>
      </w:r>
      <w:r>
        <w:rPr>
          <w:rFonts w:hint="eastAsia" w:cs="Times New Roman"/>
          <w:lang w:eastAsia="zh-CN"/>
        </w:rPr>
        <w:t>—</w:t>
      </w:r>
      <w:r>
        <w:rPr>
          <w:rFonts w:hint="eastAsia" w:cs="Times New Roman"/>
          <w:lang w:val="en-US" w:eastAsia="zh-CN"/>
        </w:rPr>
        <w:t>低碳意愿</w:t>
      </w:r>
      <w:r>
        <w:rPr>
          <w:rFonts w:hint="eastAsia" w:cs="Times New Roman"/>
          <w:lang w:eastAsia="zh-CN"/>
        </w:rPr>
        <w:t>”</w:t>
      </w:r>
      <w:r>
        <w:rPr>
          <w:rFonts w:hint="default" w:cs="Times New Roman"/>
        </w:rPr>
        <w:t>传导路径中发挥负向调节作用；高低环境认同群体的权利感激活方向截然相反，两类条件效应在总体样本中代数抵消，导致宏观层面主效应不显著。</w:t>
      </w:r>
    </w:p>
    <w:p w14:paraId="00000021">
      <w:pPr>
        <w:pStyle w:val="3"/>
        <w:bidi w:val="0"/>
        <w:rPr>
          <w:rFonts w:hint="eastAsia"/>
        </w:rPr>
      </w:pPr>
      <w:bookmarkStart w:id="13" w:name="_Toc13151"/>
      <w:r>
        <w:rPr>
          <w:rFonts w:hint="eastAsia"/>
        </w:rPr>
        <w:t>2.5  研究缺口与本文定位</w:t>
      </w:r>
      <w:bookmarkEnd w:id="13"/>
    </w:p>
    <w:p w14:paraId="521FEA4A">
      <w:pPr>
        <w:ind w:firstLine="480"/>
        <w:rPr>
          <w:rFonts w:cs="Times New Roman"/>
        </w:rPr>
      </w:pPr>
      <w:r>
        <w:rPr>
          <w:rFonts w:cs="Times New Roman"/>
        </w:rPr>
        <w:t>通过对现有文献的系统梳理，本研究识别出现有需求侧低碳行为评估体系在成本核算、反弹机制解析方面存在的</w:t>
      </w:r>
      <w:r>
        <w:rPr>
          <w:rFonts w:hint="eastAsia" w:cs="Times New Roman"/>
          <w:lang w:val="en-US" w:eastAsia="zh-CN"/>
        </w:rPr>
        <w:t>两</w:t>
      </w:r>
      <w:r>
        <w:rPr>
          <w:rFonts w:cs="Times New Roman"/>
        </w:rPr>
        <w:t>个核心维度缺口。本研究的理论与方法学定位正是为了逐一填补这些空白（详见表 2</w:t>
      </w:r>
      <w:r>
        <w:rPr>
          <w:rFonts w:hint="eastAsia" w:cs="Times New Roman"/>
          <w:lang w:val="en-US" w:eastAsia="zh-CN"/>
        </w:rPr>
        <w:t>-2</w:t>
      </w:r>
      <w:r>
        <w:rPr>
          <w:rFonts w:cs="Times New Roman"/>
        </w:rPr>
        <w:t>）。</w:t>
      </w:r>
    </w:p>
    <w:p w14:paraId="6F4FCB25">
      <w:pPr>
        <w:ind w:firstLine="480"/>
        <w:rPr>
          <w:rFonts w:cs="Times New Roman"/>
        </w:rPr>
      </w:pPr>
    </w:p>
    <w:p w14:paraId="00000023">
      <w:pPr>
        <w:pStyle w:val="23"/>
        <w:rPr>
          <w:rFonts w:cs="Times New Roman"/>
        </w:rPr>
      </w:pPr>
      <w:r>
        <w:rPr>
          <w:rFonts w:cs="Times New Roman"/>
        </w:rPr>
        <w:t>表</w:t>
      </w:r>
      <w:r>
        <w:rPr>
          <w:rFonts w:ascii="Arial" w:hAnsi="Arial"/>
        </w:rPr>
        <w:t>2</w:t>
      </w:r>
      <w:r>
        <w:rPr>
          <w:rFonts w:hint="eastAsia" w:ascii="Arial" w:hAnsi="Arial"/>
          <w:lang w:val="en-US" w:eastAsia="zh-CN"/>
        </w:rPr>
        <w:t>-2</w:t>
      </w:r>
      <w:r>
        <w:rPr>
          <w:rFonts w:cs="Times New Roman"/>
        </w:rPr>
        <w:t xml:space="preserve"> 现有文献缺口与本研究的理论定位</w:t>
      </w:r>
    </w:p>
    <w:p w14:paraId="0AD00E77">
      <w:pPr>
        <w:pStyle w:val="23"/>
        <w:rPr>
          <w:rFonts w:cs="Times New Roman"/>
          <w:b/>
          <w:bCs/>
        </w:rPr>
      </w:pPr>
      <w:r>
        <w:rPr>
          <w:rFonts w:hint="eastAsia" w:cs="Times New Roman"/>
          <w:b/>
          <w:bCs/>
        </w:rPr>
        <w:t>Table 2</w:t>
      </w:r>
      <w:r>
        <w:rPr>
          <w:rFonts w:hint="eastAsia" w:cs="Times New Roman"/>
          <w:b/>
          <w:bCs/>
          <w:lang w:val="en-US" w:eastAsia="zh-CN"/>
        </w:rPr>
        <w:t>-2</w:t>
      </w:r>
      <w:r>
        <w:rPr>
          <w:rFonts w:hint="eastAsia" w:cs="Times New Roman"/>
          <w:b/>
          <w:bCs/>
        </w:rPr>
        <w:t xml:space="preserve"> </w:t>
      </w:r>
      <w:r>
        <w:rPr>
          <w:rFonts w:cs="Times New Roman"/>
          <w:b/>
          <w:bCs/>
        </w:rPr>
        <w:t>Existing Literature Gaps and Theoretical Positioning of This Study</w:t>
      </w:r>
    </w:p>
    <w:tbl>
      <w:tblPr>
        <w:tblStyle w:val="28"/>
        <w:tblW w:w="864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127"/>
        <w:gridCol w:w="3543"/>
        <w:gridCol w:w="2977"/>
      </w:tblGrid>
      <w:tr w14:paraId="6D3ECF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2127" w:type="dxa"/>
            <w:tcBorders>
              <w:top w:val="single" w:color="auto" w:sz="4" w:space="0"/>
              <w:left w:val="nil"/>
              <w:bottom w:val="single" w:color="000000" w:sz="4" w:space="0"/>
              <w:right w:val="nil"/>
              <w:tl2br w:val="nil"/>
            </w:tcBorders>
            <w:shd w:val="clear" w:color="auto" w:fill="FFFFFF"/>
            <w:tcMar>
              <w:top w:w="120" w:type="dxa"/>
              <w:left w:w="180" w:type="dxa"/>
              <w:bottom w:w="120" w:type="dxa"/>
              <w:right w:w="180" w:type="dxa"/>
            </w:tcMar>
          </w:tcPr>
          <w:p w14:paraId="00000024">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评估维度</w:t>
            </w:r>
          </w:p>
        </w:tc>
        <w:tc>
          <w:tcPr>
            <w:tcW w:w="3543" w:type="dxa"/>
            <w:tcBorders>
              <w:top w:val="single" w:color="auto" w:sz="4" w:space="0"/>
              <w:left w:val="nil"/>
              <w:bottom w:val="single" w:color="000000" w:sz="4" w:space="0"/>
              <w:right w:val="nil"/>
            </w:tcBorders>
            <w:shd w:val="clear" w:color="auto" w:fill="FFFFFF"/>
            <w:tcMar>
              <w:top w:w="120" w:type="dxa"/>
              <w:left w:w="180" w:type="dxa"/>
              <w:bottom w:w="120" w:type="dxa"/>
              <w:right w:w="180" w:type="dxa"/>
            </w:tcMar>
          </w:tcPr>
          <w:p w14:paraId="00000025">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现有文献的主要局限与缺口</w:t>
            </w:r>
          </w:p>
        </w:tc>
        <w:tc>
          <w:tcPr>
            <w:tcW w:w="2977" w:type="dxa"/>
            <w:tcBorders>
              <w:top w:val="single" w:color="auto" w:sz="4" w:space="0"/>
              <w:left w:val="nil"/>
              <w:bottom w:val="single" w:color="000000" w:sz="4" w:space="0"/>
              <w:right w:val="nil"/>
            </w:tcBorders>
            <w:shd w:val="clear" w:color="auto" w:fill="FFFFFF"/>
            <w:tcMar>
              <w:top w:w="120" w:type="dxa"/>
              <w:left w:w="180" w:type="dxa"/>
              <w:bottom w:w="120" w:type="dxa"/>
              <w:right w:w="180" w:type="dxa"/>
            </w:tcMar>
          </w:tcPr>
          <w:p w14:paraId="00000026">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本研究的定位与创新填补</w:t>
            </w:r>
          </w:p>
        </w:tc>
      </w:tr>
      <w:tr w14:paraId="0BC893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2127" w:type="dxa"/>
            <w:tcBorders>
              <w:top w:val="single" w:color="000000" w:sz="4" w:space="0"/>
              <w:left w:val="nil"/>
              <w:bottom w:val="nil"/>
              <w:right w:val="nil"/>
            </w:tcBorders>
            <w:shd w:val="clear" w:color="auto" w:fill="FFFFFF"/>
            <w:tcMar>
              <w:top w:w="120" w:type="dxa"/>
              <w:left w:w="180" w:type="dxa"/>
              <w:bottom w:w="120" w:type="dxa"/>
              <w:right w:w="180" w:type="dxa"/>
            </w:tcMar>
          </w:tcPr>
          <w:p w14:paraId="00000027">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成本效益核算的边界</w:t>
            </w:r>
          </w:p>
        </w:tc>
        <w:tc>
          <w:tcPr>
            <w:tcW w:w="3543" w:type="dxa"/>
            <w:tcBorders>
              <w:top w:val="single" w:color="000000" w:sz="4" w:space="0"/>
              <w:left w:val="nil"/>
              <w:bottom w:val="nil"/>
              <w:right w:val="nil"/>
            </w:tcBorders>
            <w:shd w:val="clear" w:color="auto" w:fill="FFFFFF"/>
            <w:tcMar>
              <w:top w:w="120" w:type="dxa"/>
              <w:left w:w="180" w:type="dxa"/>
              <w:bottom w:w="120" w:type="dxa"/>
              <w:right w:w="180" w:type="dxa"/>
            </w:tcMar>
          </w:tcPr>
          <w:p w14:paraId="00000028">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过度依赖显性金钱损益，系统性忽视非经济成本，导致严重高估个体的执行意愿与真实福利红利。</w:t>
            </w:r>
          </w:p>
        </w:tc>
        <w:tc>
          <w:tcPr>
            <w:tcW w:w="2977" w:type="dxa"/>
            <w:tcBorders>
              <w:top w:val="single" w:color="000000" w:sz="4" w:space="0"/>
              <w:left w:val="nil"/>
              <w:bottom w:val="nil"/>
              <w:right w:val="nil"/>
            </w:tcBorders>
            <w:shd w:val="clear" w:color="auto" w:fill="FFFFFF"/>
            <w:tcMar>
              <w:top w:w="120" w:type="dxa"/>
              <w:left w:w="180" w:type="dxa"/>
              <w:bottom w:w="120" w:type="dxa"/>
              <w:right w:w="180" w:type="dxa"/>
            </w:tcMar>
          </w:tcPr>
          <w:p w14:paraId="00000029">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将时间耗损、认知摩擦等NPC深度纳入综合客观阻力体系，通过交叉验证重估微观执行的真实情境门槛。</w:t>
            </w:r>
          </w:p>
        </w:tc>
      </w:tr>
      <w:tr w14:paraId="5014B1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2127" w:type="dxa"/>
            <w:tcBorders>
              <w:top w:val="nil"/>
              <w:left w:val="nil"/>
              <w:bottom w:val="nil"/>
              <w:right w:val="nil"/>
            </w:tcBorders>
            <w:shd w:val="clear" w:color="auto" w:fill="FFFFFF"/>
            <w:tcMar>
              <w:top w:w="120" w:type="dxa"/>
              <w:left w:w="180" w:type="dxa"/>
              <w:bottom w:w="120" w:type="dxa"/>
              <w:right w:w="180" w:type="dxa"/>
            </w:tcMar>
          </w:tcPr>
          <w:p w14:paraId="0000002A">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反弹效应的拆解与归因</w:t>
            </w:r>
          </w:p>
        </w:tc>
        <w:tc>
          <w:tcPr>
            <w:tcW w:w="3543" w:type="dxa"/>
            <w:tcBorders>
              <w:top w:val="nil"/>
              <w:left w:val="nil"/>
              <w:bottom w:val="nil"/>
              <w:right w:val="nil"/>
            </w:tcBorders>
            <w:shd w:val="clear" w:color="auto" w:fill="FFFFFF"/>
            <w:tcMar>
              <w:top w:w="120" w:type="dxa"/>
              <w:left w:w="180" w:type="dxa"/>
              <w:bottom w:w="120" w:type="dxa"/>
              <w:right w:w="180" w:type="dxa"/>
            </w:tcMar>
          </w:tcPr>
          <w:p w14:paraId="0000002B">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侧重宏观能源经济视角的直接反弹，对间接反弹中微观维度的经济跨界反弹与心理反弹缺乏集成分析，且对心理补偿的复现争议未能厘清边界。</w:t>
            </w:r>
          </w:p>
        </w:tc>
        <w:tc>
          <w:tcPr>
            <w:tcW w:w="2977" w:type="dxa"/>
            <w:tcBorders>
              <w:top w:val="nil"/>
              <w:left w:val="nil"/>
              <w:bottom w:val="nil"/>
              <w:right w:val="nil"/>
            </w:tcBorders>
            <w:shd w:val="clear" w:color="auto" w:fill="FFFFFF"/>
            <w:tcMar>
              <w:top w:w="120" w:type="dxa"/>
              <w:left w:w="180" w:type="dxa"/>
              <w:bottom w:w="120" w:type="dxa"/>
              <w:right w:w="180" w:type="dxa"/>
            </w:tcMar>
          </w:tcPr>
          <w:p w14:paraId="0000002C">
            <w:pPr>
              <w:pStyle w:val="23"/>
              <w:spacing w:line="240" w:lineRule="exact"/>
              <w:rPr>
                <w:rFonts w:hint="default" w:cs="Times New Roman" w:asciiTheme="minorEastAsia" w:hAnsiTheme="minorEastAsia" w:eastAsiaTheme="minorEastAsia"/>
                <w:sz w:val="21"/>
                <w:lang w:val="en-US" w:eastAsia="zh-CN"/>
              </w:rPr>
            </w:pPr>
            <w:r>
              <w:rPr>
                <w:rFonts w:cs="Times New Roman" w:asciiTheme="minorEastAsia" w:hAnsiTheme="minorEastAsia" w:eastAsiaTheme="minorEastAsia"/>
                <w:sz w:val="21"/>
              </w:rPr>
              <w:t>构建集成框架，精准剥离直接反弹、间接反弹中预算</w:t>
            </w:r>
            <w:r>
              <w:rPr>
                <w:rFonts w:hint="eastAsia" w:cs="Times New Roman" w:asciiTheme="minorEastAsia" w:hAnsiTheme="minorEastAsia" w:eastAsiaTheme="minorEastAsia"/>
                <w:sz w:val="21"/>
                <w:lang w:val="en-US" w:eastAsia="zh-CN"/>
              </w:rPr>
              <w:t>活心理账户盈余</w:t>
            </w:r>
            <w:r>
              <w:rPr>
                <w:rFonts w:cs="Times New Roman" w:asciiTheme="minorEastAsia" w:hAnsiTheme="minorEastAsia" w:eastAsiaTheme="minorEastAsia"/>
                <w:sz w:val="21"/>
              </w:rPr>
              <w:t>放松带来的经济反弹</w:t>
            </w:r>
            <w:r>
              <w:rPr>
                <w:rFonts w:hint="eastAsia" w:cs="Times New Roman" w:asciiTheme="minorEastAsia" w:hAnsiTheme="minorEastAsia" w:eastAsiaTheme="minorEastAsia"/>
                <w:sz w:val="21"/>
                <w:lang w:val="en-US" w:eastAsia="zh-CN"/>
              </w:rPr>
              <w:t>以及行为转移的心理反弹。</w:t>
            </w:r>
          </w:p>
        </w:tc>
      </w:tr>
      <w:tr w14:paraId="426D7F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2127" w:type="dxa"/>
            <w:tcBorders>
              <w:top w:val="nil"/>
              <w:left w:val="nil"/>
              <w:bottom w:val="single" w:color="auto" w:sz="4" w:space="0"/>
              <w:right w:val="nil"/>
            </w:tcBorders>
            <w:shd w:val="clear" w:color="auto" w:fill="FFFFFF"/>
            <w:tcMar>
              <w:top w:w="120" w:type="dxa"/>
              <w:left w:w="180" w:type="dxa"/>
              <w:bottom w:w="120" w:type="dxa"/>
              <w:right w:w="180" w:type="dxa"/>
            </w:tcMar>
          </w:tcPr>
          <w:p w14:paraId="0000002D">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维度三：行为溢出的拓扑假设</w:t>
            </w:r>
          </w:p>
        </w:tc>
        <w:tc>
          <w:tcPr>
            <w:tcW w:w="3543" w:type="dxa"/>
            <w:tcBorders>
              <w:top w:val="nil"/>
              <w:left w:val="nil"/>
              <w:bottom w:val="single" w:color="auto" w:sz="4" w:space="0"/>
              <w:right w:val="nil"/>
            </w:tcBorders>
            <w:shd w:val="clear" w:color="auto" w:fill="FFFFFF"/>
            <w:tcMar>
              <w:top w:w="120" w:type="dxa"/>
              <w:left w:w="180" w:type="dxa"/>
              <w:bottom w:w="120" w:type="dxa"/>
              <w:right w:w="180" w:type="dxa"/>
            </w:tcMar>
          </w:tcPr>
          <w:p w14:paraId="0000002E">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传统研究多依赖线性回归或潜变量模型，将行为视为孤立事件或假设单向溢出，无法客观刻画多维行为之间自发连结的复杂网络。</w:t>
            </w:r>
          </w:p>
        </w:tc>
        <w:tc>
          <w:tcPr>
            <w:tcW w:w="2977" w:type="dxa"/>
            <w:tcBorders>
              <w:top w:val="nil"/>
              <w:left w:val="nil"/>
              <w:bottom w:val="single" w:color="auto" w:sz="4" w:space="0"/>
              <w:right w:val="nil"/>
            </w:tcBorders>
            <w:shd w:val="clear" w:color="auto" w:fill="FFFFFF"/>
            <w:tcMar>
              <w:top w:w="120" w:type="dxa"/>
              <w:left w:w="180" w:type="dxa"/>
              <w:bottom w:w="120" w:type="dxa"/>
              <w:right w:w="180" w:type="dxa"/>
            </w:tcMar>
          </w:tcPr>
          <w:p w14:paraId="0000002F">
            <w:pPr>
              <w:pStyle w:val="23"/>
              <w:spacing w:line="240" w:lineRule="exact"/>
              <w:rPr>
                <w:rFonts w:hint="eastAsia" w:cs="Times New Roman" w:asciiTheme="minorEastAsia" w:hAnsiTheme="minorEastAsia" w:eastAsiaTheme="minorEastAsia"/>
                <w:sz w:val="21"/>
              </w:rPr>
            </w:pPr>
            <w:r>
              <w:rPr>
                <w:rFonts w:cs="Times New Roman" w:asciiTheme="minorEastAsia" w:hAnsiTheme="minorEastAsia" w:eastAsiaTheme="minorEastAsia"/>
                <w:sz w:val="21"/>
              </w:rPr>
              <w:t>引入前沿的心理网络分析（EBICglasso算法），提取出自然状态下的底层特质网络，并建立马尔可夫链稳态基线以排除实验噪音。</w:t>
            </w:r>
          </w:p>
        </w:tc>
      </w:tr>
    </w:tbl>
    <w:p w14:paraId="4412F0DF">
      <w:pPr>
        <w:ind w:left="0" w:leftChars="0" w:firstLine="420" w:firstLineChars="0"/>
        <w:rPr>
          <w:rFonts w:hint="eastAsia" w:cs="Times New Roman"/>
        </w:rPr>
      </w:pPr>
      <w:r>
        <w:rPr>
          <w:rFonts w:hint="eastAsia" w:cs="Times New Roman"/>
        </w:rPr>
        <w:t>本研究正是针对上述三项缺口，构建整合</w:t>
      </w:r>
      <w:r>
        <w:rPr>
          <w:rFonts w:hint="eastAsia" w:cs="Times New Roman"/>
          <w:lang w:val="en-US" w:eastAsia="zh-CN"/>
        </w:rPr>
        <w:t>非经济成本与</w:t>
      </w:r>
      <w:r>
        <w:rPr>
          <w:rFonts w:hint="eastAsia" w:cs="Times New Roman"/>
        </w:rPr>
        <w:t>反弹机制的微观动态CBA框架，对六种典型城市需求侧低碳行为的真实减排潜力与福利效应进行重估。</w:t>
      </w:r>
      <w:r>
        <w:rPr>
          <w:rFonts w:hint="eastAsia" w:cs="Times New Roman"/>
          <w:lang w:val="en-US" w:eastAsia="zh-CN"/>
        </w:rPr>
        <w:t>以上的</w:t>
      </w:r>
      <w:r>
        <w:rPr>
          <w:rFonts w:hint="eastAsia" w:cs="Times New Roman"/>
        </w:rPr>
        <w:t>前提与假设（前提1、H1、H2a、H2b、H3）将在后续实证章节中逐一检验。</w:t>
      </w:r>
    </w:p>
    <w:p w14:paraId="418B1F65">
      <w:pPr>
        <w:rPr>
          <w:rFonts w:ascii="Times New Roman" w:hAnsi="Times New Roman" w:cs="Times New Roman"/>
        </w:rPr>
      </w:pPr>
      <w:r>
        <w:rPr>
          <w:rFonts w:ascii="Times New Roman" w:hAnsi="Times New Roman" w:cs="Times New Roman"/>
        </w:rPr>
        <w:br w:type="page"/>
      </w:r>
    </w:p>
    <w:p w14:paraId="7F9FC914">
      <w:pPr>
        <w:pStyle w:val="2"/>
        <w:numPr>
          <w:ilvl w:val="0"/>
          <w:numId w:val="0"/>
        </w:numPr>
        <w:ind w:left="425" w:hanging="425"/>
        <w:rPr>
          <w:rFonts w:ascii="Times New Roman" w:hAnsi="Times New Roman" w:cs="Times New Roman"/>
        </w:rPr>
      </w:pPr>
      <w:bookmarkStart w:id="14" w:name="_Toc5082"/>
      <w:r>
        <w:rPr>
          <w:rFonts w:ascii="Times New Roman" w:hAnsi="Times New Roman" w:cs="Times New Roman"/>
        </w:rPr>
        <w:t xml:space="preserve">第 </w:t>
      </w:r>
      <w:r>
        <w:rPr>
          <w:rFonts w:hint="eastAsia" w:ascii="Times New Roman" w:hAnsi="Times New Roman" w:cs="Times New Roman"/>
          <w:lang w:val="en-US" w:eastAsia="zh-CN"/>
        </w:rPr>
        <w:t>3</w:t>
      </w:r>
      <w:r>
        <w:rPr>
          <w:rFonts w:ascii="Times New Roman" w:hAnsi="Times New Roman" w:cs="Times New Roman"/>
        </w:rPr>
        <w:t xml:space="preserve"> 章</w:t>
      </w:r>
      <w:r>
        <w:rPr>
          <w:rFonts w:hint="eastAsia" w:ascii="Times New Roman" w:hAnsi="Times New Roman" w:cs="Times New Roman"/>
          <w:lang w:val="en-US" w:eastAsia="zh-CN"/>
        </w:rPr>
        <w:t xml:space="preserve"> </w:t>
      </w:r>
      <w:r>
        <w:rPr>
          <w:rFonts w:ascii="Times New Roman" w:hAnsi="Times New Roman" w:cs="Times New Roman"/>
        </w:rPr>
        <w:t>研究方法与数据设计</w:t>
      </w:r>
      <w:bookmarkEnd w:id="14"/>
      <w:r>
        <w:rPr>
          <w:rFonts w:ascii="Times New Roman" w:hAnsi="Times New Roman" w:cs="Times New Roman"/>
        </w:rPr>
        <w:t xml:space="preserve"> </w:t>
      </w:r>
    </w:p>
    <w:p w14:paraId="1EB1CF0C">
      <w:pPr>
        <w:pStyle w:val="3"/>
        <w:bidi w:val="0"/>
      </w:pPr>
      <w:bookmarkStart w:id="15" w:name="_Toc17288"/>
      <w:r>
        <w:rPr>
          <w:rFonts w:hint="eastAsia"/>
          <w:lang w:val="en-US" w:eastAsia="zh-CN"/>
        </w:rPr>
        <w:t>3</w:t>
      </w:r>
      <w:r>
        <w:t>.1  行为遴选与样本设计</w:t>
      </w:r>
      <w:bookmarkEnd w:id="15"/>
    </w:p>
    <w:p w14:paraId="024043E3">
      <w:pPr>
        <w:pStyle w:val="4"/>
        <w:bidi w:val="0"/>
        <w:rPr>
          <w:rFonts w:hint="default"/>
        </w:rPr>
      </w:pPr>
      <w:bookmarkStart w:id="16" w:name="_Toc17300"/>
      <w:r>
        <w:rPr>
          <w:rFonts w:hint="eastAsia"/>
          <w:lang w:val="en-US" w:eastAsia="zh-CN"/>
        </w:rPr>
        <w:t>3</w:t>
      </w:r>
      <w:r>
        <w:rPr>
          <w:rFonts w:hint="default"/>
        </w:rPr>
        <w:t>.1.1  行为遴选</w:t>
      </w:r>
      <w:bookmarkEnd w:id="16"/>
    </w:p>
    <w:p w14:paraId="652C9408">
      <w:pPr>
        <w:ind w:firstLine="480"/>
        <w:rPr>
          <w:rFonts w:cs="Times New Roman"/>
        </w:rPr>
      </w:pPr>
      <w:r>
        <w:rPr>
          <w:rFonts w:hint="eastAsia" w:cs="Times New Roman"/>
        </w:rPr>
        <w:t>为避免主观挑选导致的样本代表性偏差，本研究以Tan-Soo等（2024）与IPCC AR6的城市居民典型减排行为库为初始备选池，依据</w:t>
      </w:r>
      <w:r>
        <w:rPr>
          <w:rFonts w:hint="eastAsia" w:cs="Times New Roman"/>
          <w:lang w:eastAsia="zh-CN"/>
        </w:rPr>
        <w:t>“</w:t>
      </w:r>
      <w:r>
        <w:rPr>
          <w:rFonts w:hint="eastAsia" w:cs="Times New Roman"/>
        </w:rPr>
        <w:t>干预属性（技术替代</w:t>
      </w:r>
      <w:r>
        <w:rPr>
          <w:rFonts w:hint="eastAsia" w:cs="Times New Roman"/>
          <w:lang w:eastAsia="zh-CN"/>
        </w:rPr>
        <w:t>、</w:t>
      </w:r>
      <w:r>
        <w:rPr>
          <w:rFonts w:hint="eastAsia" w:cs="Times New Roman"/>
        </w:rPr>
        <w:t>习惯养成）</w:t>
      </w:r>
      <w:r>
        <w:rPr>
          <w:rFonts w:hint="eastAsia" w:cs="Times New Roman"/>
          <w:lang w:eastAsia="zh-CN"/>
        </w:rPr>
        <w:t>”</w:t>
      </w:r>
      <w:r>
        <w:rPr>
          <w:rFonts w:hint="eastAsia" w:cs="Times New Roman"/>
        </w:rPr>
        <w:t>与</w:t>
      </w:r>
      <w:r>
        <w:rPr>
          <w:rFonts w:hint="eastAsia" w:cs="Times New Roman"/>
          <w:lang w:eastAsia="zh-CN"/>
        </w:rPr>
        <w:t>“</w:t>
      </w:r>
      <w:r>
        <w:rPr>
          <w:rFonts w:hint="eastAsia" w:cs="Times New Roman"/>
        </w:rPr>
        <w:t>综合客观阻力（</w:t>
      </w:r>
      <w:r>
        <w:rPr>
          <w:rFonts w:hint="eastAsia" w:cs="Times New Roman"/>
          <w:lang w:val="en-US" w:eastAsia="zh-CN"/>
        </w:rPr>
        <w:t>高成本、低成本</w:t>
      </w:r>
      <w:r>
        <w:rPr>
          <w:rFonts w:hint="eastAsia" w:cs="Times New Roman"/>
        </w:rPr>
        <w:t>）</w:t>
      </w:r>
      <w:r>
        <w:rPr>
          <w:rFonts w:hint="eastAsia" w:cs="Times New Roman"/>
          <w:lang w:eastAsia="zh-CN"/>
        </w:rPr>
        <w:t>”</w:t>
      </w:r>
      <w:r>
        <w:rPr>
          <w:rFonts w:hint="eastAsia" w:cs="Times New Roman"/>
        </w:rPr>
        <w:t>两个维度构建正交分类矩阵，在各象限目的性抽样，最终确定六种代表行为：换购纯电动汽车（</w:t>
      </w:r>
      <w:r>
        <w:rPr>
          <w:rFonts w:hint="eastAsia" w:cs="Times New Roman"/>
          <w:lang w:val="en-US" w:eastAsia="zh-CN"/>
        </w:rPr>
        <w:t>高经济成本</w:t>
      </w:r>
      <w:r>
        <w:rPr>
          <w:rFonts w:hint="eastAsia" w:cs="Times New Roman"/>
        </w:rPr>
        <w:t>技术替代）、换节能空调与高铁代飞机（</w:t>
      </w:r>
      <w:r>
        <w:rPr>
          <w:rFonts w:hint="eastAsia" w:cs="Times New Roman"/>
          <w:lang w:val="en-US" w:eastAsia="zh-CN"/>
        </w:rPr>
        <w:t>低经济成本技术</w:t>
      </w:r>
      <w:r>
        <w:rPr>
          <w:rFonts w:hint="eastAsia" w:cs="Times New Roman"/>
        </w:rPr>
        <w:t>替代）、豆腐代肉与垃圾分类（</w:t>
      </w:r>
      <w:r>
        <w:rPr>
          <w:rFonts w:hint="eastAsia" w:cs="Times New Roman"/>
          <w:lang w:val="en-US" w:eastAsia="zh-CN"/>
        </w:rPr>
        <w:t>高非经济成本</w:t>
      </w:r>
      <w:r>
        <w:rPr>
          <w:rFonts w:hint="eastAsia" w:cs="Times New Roman"/>
        </w:rPr>
        <w:t>习惯型）、减少外卖餐具（</w:t>
      </w:r>
      <w:r>
        <w:rPr>
          <w:rFonts w:hint="eastAsia" w:cs="Times New Roman"/>
          <w:lang w:val="en-US" w:eastAsia="zh-CN"/>
        </w:rPr>
        <w:t>低非经济成本</w:t>
      </w:r>
      <w:r>
        <w:rPr>
          <w:rFonts w:hint="eastAsia" w:cs="Times New Roman"/>
        </w:rPr>
        <w:t>习惯</w:t>
      </w:r>
      <w:r>
        <w:rPr>
          <w:rFonts w:hint="eastAsia" w:cs="Times New Roman"/>
          <w:lang w:val="en-US" w:eastAsia="zh-CN"/>
        </w:rPr>
        <w:t>型</w:t>
      </w:r>
      <w:r>
        <w:rPr>
          <w:rFonts w:hint="eastAsia" w:cs="Times New Roman"/>
        </w:rPr>
        <w:t>）。六种行为跨越"食、住、行、废"四大排放领域，在技术属性与阻力特征上形成系统性对照，为反弹效应的异质性检验提供了差异化的行为样本基础。</w:t>
      </w:r>
    </w:p>
    <w:p w14:paraId="05F777AB">
      <w:pPr>
        <w:pStyle w:val="4"/>
        <w:bidi w:val="0"/>
        <w:rPr>
          <w:rFonts w:hint="default"/>
        </w:rPr>
      </w:pPr>
      <w:bookmarkStart w:id="17" w:name="_Toc20188"/>
      <w:r>
        <w:rPr>
          <w:rFonts w:hint="eastAsia"/>
          <w:lang w:val="en-US" w:eastAsia="zh-CN"/>
        </w:rPr>
        <w:t>3</w:t>
      </w:r>
      <w:r>
        <w:rPr>
          <w:rFonts w:hint="default"/>
        </w:rPr>
        <w:t>.1.2  问卷设计</w:t>
      </w:r>
      <w:bookmarkEnd w:id="17"/>
    </w:p>
    <w:p w14:paraId="740A2362">
      <w:pPr>
        <w:ind w:firstLine="480"/>
        <w:rPr>
          <w:rFonts w:cs="Times New Roman"/>
        </w:rPr>
      </w:pPr>
      <w:r>
        <w:rPr>
          <w:rFonts w:cs="Times New Roman"/>
        </w:rPr>
        <w:t>该综合问卷嵌套了以下两大核心测试模块：</w:t>
      </w:r>
    </w:p>
    <w:p w14:paraId="73D50A0B">
      <w:pPr>
        <w:ind w:firstLine="480"/>
        <w:rPr>
          <w:rFonts w:cs="Times New Roman"/>
        </w:rPr>
      </w:pPr>
      <w:r>
        <w:rPr>
          <w:rFonts w:hint="eastAsia" w:cs="Times New Roman"/>
          <w:lang w:eastAsia="zh-CN"/>
        </w:rPr>
        <w:t>（</w:t>
      </w:r>
      <w:r>
        <w:rPr>
          <w:rFonts w:cs="Times New Roman"/>
        </w:rPr>
        <w:t>1</w:t>
      </w:r>
      <w:r>
        <w:rPr>
          <w:rFonts w:hint="eastAsia" w:cs="Times New Roman"/>
          <w:lang w:eastAsia="zh-CN"/>
        </w:rPr>
        <w:t>）</w:t>
      </w:r>
      <w:r>
        <w:rPr>
          <w:rFonts w:hint="eastAsia" w:cs="Times New Roman"/>
        </w:rPr>
        <w:t>MaxDiff阻力测度模块通过多次离散选择任务拟合受访者对各行为的主观感知难度，用于与CBA客观成本进行交叉校验（见4.2节）</w:t>
      </w:r>
      <w:r>
        <w:rPr>
          <w:rFonts w:cs="Times New Roman"/>
        </w:rPr>
        <w:t>。</w:t>
      </w:r>
    </w:p>
    <w:p w14:paraId="2865FB02">
      <w:pPr>
        <w:ind w:firstLine="480"/>
        <w:rPr>
          <w:rFonts w:cs="Times New Roman"/>
        </w:rPr>
      </w:pPr>
      <w:r>
        <w:rPr>
          <w:rFonts w:hint="eastAsia" w:cs="Times New Roman"/>
          <w:lang w:eastAsia="zh-CN"/>
        </w:rPr>
        <w:t>（</w:t>
      </w:r>
      <w:r>
        <w:rPr>
          <w:rFonts w:cs="Times New Roman"/>
        </w:rPr>
        <w:t>2</w:t>
      </w:r>
      <w:r>
        <w:rPr>
          <w:rFonts w:hint="eastAsia" w:cs="Times New Roman"/>
          <w:lang w:eastAsia="zh-CN"/>
        </w:rPr>
        <w:t>）</w:t>
      </w:r>
      <w:r>
        <w:rPr>
          <w:rFonts w:hint="eastAsia" w:cs="Times New Roman"/>
        </w:rPr>
        <w:t>情境实验与心理量表模块通过具体低碳执行情境，测量权利感唤醒程度、环境价值观及直接与经济反弹倾向，构成探究多重反弹心理机制的核心数据源（见4.3、4.4节）</w:t>
      </w:r>
      <w:r>
        <w:rPr>
          <w:rFonts w:cs="Times New Roman"/>
        </w:rPr>
        <w:t>。</w:t>
      </w:r>
    </w:p>
    <w:p w14:paraId="2D671B1C">
      <w:pPr>
        <w:pStyle w:val="3"/>
        <w:bidi w:val="0"/>
      </w:pPr>
      <w:bookmarkStart w:id="18" w:name="_Toc8365"/>
      <w:r>
        <w:rPr>
          <w:rFonts w:hint="eastAsia"/>
          <w:lang w:val="en-US" w:eastAsia="zh-CN"/>
        </w:rPr>
        <w:t>3</w:t>
      </w:r>
      <w:r>
        <w:t>.3  包含动态反弹的微观 CBA 模型构建</w:t>
      </w:r>
      <w:bookmarkEnd w:id="18"/>
    </w:p>
    <w:p w14:paraId="0E1CC1AC">
      <w:pPr>
        <w:pStyle w:val="4"/>
        <w:bidi w:val="0"/>
        <w:rPr>
          <w:rFonts w:hint="default"/>
        </w:rPr>
      </w:pPr>
      <w:bookmarkStart w:id="19" w:name="_Toc20078"/>
      <w:r>
        <w:rPr>
          <w:rFonts w:hint="eastAsia"/>
          <w:lang w:val="en-US" w:eastAsia="zh-CN"/>
        </w:rPr>
        <w:t>3</w:t>
      </w:r>
      <w:r>
        <w:t>.3.1</w:t>
      </w:r>
      <w:r>
        <w:rPr>
          <w:rFonts w:hint="default"/>
        </w:rPr>
        <w:t xml:space="preserve"> </w:t>
      </w:r>
      <w:r>
        <w:t>动态CBA模拟框架</w:t>
      </w:r>
      <w:bookmarkEnd w:id="19"/>
    </w:p>
    <w:p w14:paraId="0DA6854F">
      <w:pPr>
        <w:ind w:firstLine="480"/>
        <w:rPr>
          <w:rFonts w:hint="eastAsia" w:cs="Times New Roman"/>
          <w:lang w:val="en-US" w:eastAsia="zh-CN"/>
        </w:rPr>
      </w:pPr>
      <w:r>
        <w:rPr>
          <w:rFonts w:cs="Times New Roman"/>
        </w:rPr>
        <w:t>本研究的动态模拟以微观成本效益分析（CBA）为骨架，通过</w:t>
      </w:r>
      <w:r>
        <w:rPr>
          <w:rFonts w:hint="eastAsia" w:cs="Times New Roman"/>
          <w:lang w:eastAsia="zh-CN"/>
        </w:rPr>
        <w:t>“</w:t>
      </w:r>
      <w:r>
        <w:rPr>
          <w:rFonts w:cs="Times New Roman"/>
        </w:rPr>
        <w:t>逐层叠加</w:t>
      </w:r>
      <w:r>
        <w:rPr>
          <w:rFonts w:hint="eastAsia" w:cs="Times New Roman"/>
          <w:lang w:eastAsia="zh-CN"/>
        </w:rPr>
        <w:t>”</w:t>
      </w:r>
      <w:r>
        <w:rPr>
          <w:rFonts w:cs="Times New Roman"/>
        </w:rPr>
        <w:t>的方式将三类反弹效应依次嵌入，最终产出各行为的真实净减排量（NER）与社会福利变化（ΔSW）。核算方程的完整形式为：</w:t>
      </w:r>
      <w:r>
        <w:rPr>
          <w:rFonts w:hint="eastAsia" w:cs="Times New Roman"/>
        </w:rPr>
        <w:t xml:space="preserve">    </w:t>
      </w:r>
      <w:r>
        <w:rPr>
          <w:rFonts w:hint="eastAsia" w:cs="Times New Roman"/>
        </w:rPr>
        <w:br w:type="textWrapping"/>
      </w:r>
      <w:r>
        <w:rPr>
          <w:rFonts w:hint="eastAsia" w:cs="Times New Roman"/>
          <w:lang w:val="en-US" w:eastAsia="zh-CN"/>
        </w:rPr>
        <w:t xml:space="preserve">               </w:t>
      </w:r>
      <m:oMath>
        <m:sSub>
          <m:sSubPr>
            <m:ctrlPr>
              <w:rPr>
                <w:rFonts w:ascii="Cambria Math" w:hAnsi="Cambria Math" w:cs="Times New Roman"/>
                <w:i/>
              </w:rPr>
            </m:ctrlPr>
          </m:sSubPr>
          <m:e>
            <m:r>
              <m:rPr/>
              <w:rPr>
                <w:rFonts w:ascii="Cambria Math" w:hAnsi="Cambria Math" w:cs="Times New Roman"/>
              </w:rPr>
              <m:t>NER</m:t>
            </m:r>
            <m:ctrlPr>
              <w:rPr>
                <w:rFonts w:ascii="Cambria Math" w:hAnsi="Cambria Math" w:cs="Times New Roman"/>
                <w:i/>
              </w:rPr>
            </m:ctrlPr>
          </m:e>
          <m:sub>
            <m:r>
              <m:rPr/>
              <w:rPr>
                <w:rFonts w:hint="eastAsia" w:ascii="Cambria Math" w:hAnsi="Cambria Math" w:cs="Times New Roman"/>
              </w:rPr>
              <m:t>i</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ascii="Cambria Math" w:hAnsi="Cambria Math" w:cs="Times New Roman"/>
              </w:rPr>
              <m:t>AE</m:t>
            </m:r>
            <m:r>
              <m:rPr/>
              <w:rPr>
                <w:rFonts w:hint="default" w:ascii="Cambria Math" w:hAnsi="Cambria Math" w:cs="Times New Roman"/>
                <w:lang w:val="en-US" w:eastAsia="zh-CN"/>
              </w:rPr>
              <m:t>I</m:t>
            </m:r>
            <m:ctrlPr>
              <w:rPr>
                <w:rFonts w:ascii="Cambria Math" w:hAnsi="Cambria Math" w:cs="Times New Roman"/>
                <w:i/>
              </w:rPr>
            </m:ctrlPr>
          </m:e>
          <m:sub>
            <m:r>
              <m:rPr/>
              <w:rPr>
                <w:rFonts w:hint="eastAsia" w:ascii="Cambria Math" w:hAnsi="Cambria Math" w:cs="Times New Roman"/>
              </w:rPr>
              <m:t>i</m:t>
            </m:r>
            <m:ctrlPr>
              <w:rPr>
                <w:rFonts w:ascii="Cambria Math" w:hAnsi="Cambria Math" w:cs="Times New Roman"/>
                <w:i/>
              </w:rPr>
            </m:ctrlPr>
          </m:sub>
        </m:sSub>
        <m:r>
          <m:rPr/>
          <w:rPr>
            <w:rFonts w:ascii="Cambria Math" w:hAnsi="Cambria Math" w:cs="Cambria Math"/>
          </w:rPr>
          <m:t>−</m:t>
        </m:r>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direct,</m:t>
            </m:r>
            <m:r>
              <m:rPr/>
              <w:rPr>
                <w:rFonts w:hint="eastAsia" w:ascii="Cambria Math" w:hAnsi="Cambria Math" w:cs="Times New Roman"/>
              </w:rPr>
              <m:t>i</m:t>
            </m:r>
            <m:ctrlPr>
              <w:rPr>
                <w:rFonts w:ascii="Cambria Math" w:hAnsi="Cambria Math" w:cs="Times New Roman"/>
                <w:i/>
              </w:rPr>
            </m:ctrlPr>
          </m:sub>
        </m:sSub>
        <m:r>
          <m:rPr/>
          <w:rPr>
            <w:rFonts w:ascii="Cambria Math" w:hAnsi="Cambria Math" w:cs="Cambria Math"/>
          </w:rPr>
          <m:t>−</m:t>
        </m:r>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econ,</m:t>
            </m:r>
            <m:r>
              <m:rPr/>
              <w:rPr>
                <w:rFonts w:hint="eastAsia" w:ascii="Cambria Math" w:hAnsi="Cambria Math" w:cs="Times New Roman"/>
              </w:rPr>
              <m:t>i</m:t>
            </m:r>
            <m:ctrlPr>
              <w:rPr>
                <w:rFonts w:ascii="Cambria Math" w:hAnsi="Cambria Math" w:cs="Times New Roman"/>
                <w:i/>
              </w:rPr>
            </m:ctrlPr>
          </m:sub>
        </m:sSub>
        <m:r>
          <m:rPr/>
          <w:rPr>
            <w:rFonts w:ascii="Cambria Math" w:hAnsi="Cambria Math" w:cs="Cambria Math"/>
          </w:rPr>
          <m:t>−</m:t>
        </m:r>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hint="default" w:ascii="Cambria Math" w:hAnsi="Cambria Math" w:cs="Times New Roman"/>
                <w:lang w:val="en-US" w:eastAsia="zh-CN"/>
              </w:rPr>
              <m:t>psy</m:t>
            </m:r>
            <m:r>
              <m:rPr/>
              <w:rPr>
                <w:rFonts w:ascii="Cambria Math" w:hAnsi="Cambria Math" w:cs="Times New Roman"/>
              </w:rPr>
              <m:t>,</m:t>
            </m:r>
            <m:r>
              <m:rPr/>
              <w:rPr>
                <w:rFonts w:hint="eastAsia" w:ascii="Cambria Math" w:hAnsi="Cambria Math" w:cs="Times New Roman"/>
              </w:rPr>
              <m:t>i</m:t>
            </m:r>
            <m:ctrlPr>
              <w:rPr>
                <w:rFonts w:ascii="Cambria Math" w:hAnsi="Cambria Math" w:cs="Times New Roman"/>
                <w:i/>
              </w:rPr>
            </m:ctrlPr>
          </m:sub>
        </m:sSub>
      </m:oMath>
      <w:r>
        <w:rPr>
          <w:rFonts w:cs="Times New Roman"/>
          <w:szCs w:val="21"/>
        </w:rPr>
        <w:t>（</w:t>
      </w:r>
      <w:r>
        <w:rPr>
          <w:rFonts w:hint="eastAsia" w:cs="Times New Roman"/>
          <w:szCs w:val="21"/>
        </w:rPr>
        <w:t>公式</w:t>
      </w:r>
      <w:r>
        <w:rPr>
          <w:rFonts w:hint="eastAsia" w:cs="Times New Roman"/>
          <w:szCs w:val="21"/>
          <w:lang w:eastAsia="zh-CN"/>
        </w:rPr>
        <w:t>3</w:t>
      </w:r>
      <w:r>
        <w:rPr>
          <w:rFonts w:hint="eastAsia" w:cs="Times New Roman"/>
          <w:szCs w:val="21"/>
        </w:rPr>
        <w:t>-1</w:t>
      </w:r>
      <w:r>
        <w:rPr>
          <w:rFonts w:cs="Times New Roman"/>
          <w:szCs w:val="21"/>
        </w:rPr>
        <w:t>）</w:t>
      </w:r>
      <w:r>
        <w:rPr>
          <w:rFonts w:hint="eastAsia" w:cs="Times New Roman"/>
        </w:rPr>
        <w:t xml:space="preserve">     </w:t>
      </w:r>
      <w:r>
        <w:rPr>
          <w:rFonts w:hint="eastAsia" w:cs="Times New Roman"/>
          <w:lang w:val="en-US" w:eastAsia="zh-CN"/>
        </w:rPr>
        <w:t xml:space="preserve">    </w:t>
      </w:r>
    </w:p>
    <w:p w14:paraId="03E7476A">
      <w:pPr>
        <w:ind w:left="0" w:leftChars="0" w:firstLine="2400" w:firstLineChars="1000"/>
        <w:rPr>
          <w:rFonts w:cs="Times New Roman"/>
          <w:szCs w:val="21"/>
        </w:rPr>
      </w:pPr>
      <m:oMath>
        <m:sSub>
          <m:sSubPr>
            <m:ctrlPr>
              <w:rPr>
                <w:rFonts w:ascii="Cambria Math" w:hAnsi="Cambria Math" w:cs="Times New Roman"/>
                <w:i/>
              </w:rPr>
            </m:ctrlPr>
          </m:sSubPr>
          <m:e>
            <m:r>
              <m:rPr/>
              <w:rPr>
                <w:rFonts w:ascii="Cambria Math" w:hAnsi="Cambria Math" w:cs="Times New Roman"/>
              </w:rPr>
              <m:t>ΔSW</m:t>
            </m:r>
            <m:ctrlPr>
              <w:rPr>
                <w:rFonts w:ascii="Cambria Math" w:hAnsi="Cambria Math" w:cs="Times New Roman"/>
                <w:i/>
              </w:rPr>
            </m:ctrlPr>
          </m:e>
          <m:sub>
            <m:r>
              <m:rPr/>
              <w:rPr>
                <w:rFonts w:hint="eastAsia" w:ascii="Cambria Math" w:hAnsi="Cambria Math" w:cs="Times New Roman"/>
              </w:rPr>
              <m:t>i</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ascii="Cambria Math" w:hAnsi="Cambria Math" w:cs="Times New Roman"/>
              </w:rPr>
              <m:t>ΔW</m:t>
            </m:r>
            <m:ctrlPr>
              <w:rPr>
                <w:rFonts w:ascii="Cambria Math" w:hAnsi="Cambria Math" w:cs="Times New Roman"/>
                <w:i/>
              </w:rPr>
            </m:ctrlPr>
          </m:e>
          <m:sub>
            <m:r>
              <m:rPr/>
              <w:rPr>
                <w:rFonts w:ascii="Cambria Math" w:hAnsi="Cambria Math" w:cs="Times New Roman"/>
              </w:rPr>
              <m:t>private,i</m:t>
            </m:r>
            <m:ctrlPr>
              <w:rPr>
                <w:rFonts w:ascii="Cambria Math" w:hAnsi="Cambria Math" w:cs="Times New Roman"/>
                <w:i/>
              </w:rPr>
            </m:ctrlPr>
          </m:sub>
        </m:sSub>
        <m:r>
          <m:rPr/>
          <w:rPr>
            <w:rFonts w:ascii="Cambria Math" w:hAnsi="Cambria Math" w:cs="Cambria Math"/>
          </w:rPr>
          <m:t>+</m:t>
        </m:r>
        <m:sSub>
          <m:sSubPr>
            <m:ctrlPr>
              <w:rPr>
                <w:rFonts w:ascii="Cambria Math" w:hAnsi="Cambria Math" w:cs="Times New Roman"/>
                <w:i/>
              </w:rPr>
            </m:ctrlPr>
          </m:sSubPr>
          <m:e>
            <m:r>
              <m:rPr/>
              <w:rPr>
                <w:rFonts w:ascii="Cambria Math" w:hAnsi="Cambria Math" w:cs="Times New Roman"/>
              </w:rPr>
              <m:t>NER</m:t>
            </m:r>
            <m:ctrlPr>
              <w:rPr>
                <w:rFonts w:ascii="Cambria Math" w:hAnsi="Cambria Math" w:cs="Times New Roman"/>
                <w:i/>
              </w:rPr>
            </m:ctrlPr>
          </m:e>
          <m:sub>
            <m:r>
              <m:rPr/>
              <w:rPr>
                <w:rFonts w:hint="eastAsia" w:ascii="Cambria Math" w:hAnsi="Cambria Math" w:cs="Times New Roman"/>
              </w:rPr>
              <m:t>i</m:t>
            </m:r>
            <m:ctrlPr>
              <w:rPr>
                <w:rFonts w:ascii="Cambria Math" w:hAnsi="Cambria Math" w:cs="Times New Roman"/>
                <w:i/>
              </w:rPr>
            </m:ctrlPr>
          </m:sub>
        </m:sSub>
        <m:r>
          <m:rPr/>
          <w:rPr>
            <w:rFonts w:ascii="Cambria Math" w:hAnsi="Cambria Math" w:cs="Times New Roman"/>
          </w:rPr>
          <m:t>×SCC</m:t>
        </m:r>
      </m:oMath>
      <w:r>
        <w:rPr>
          <w:rFonts w:cs="Times New Roman"/>
        </w:rPr>
        <w:t>（</w:t>
      </w:r>
      <w:r>
        <w:rPr>
          <w:rFonts w:hint="eastAsia" w:cs="Times New Roman"/>
        </w:rPr>
        <w:t>公式</w:t>
      </w:r>
      <w:r>
        <w:rPr>
          <w:rFonts w:hint="eastAsia" w:cs="Times New Roman"/>
          <w:szCs w:val="21"/>
          <w:lang w:eastAsia="zh-CN"/>
        </w:rPr>
        <w:t>3</w:t>
      </w:r>
      <w:r>
        <w:rPr>
          <w:rFonts w:hint="eastAsia" w:cs="Times New Roman"/>
          <w:szCs w:val="21"/>
        </w:rPr>
        <w:t>-2</w:t>
      </w:r>
      <w:r>
        <w:rPr>
          <w:rFonts w:cs="Times New Roman"/>
          <w:szCs w:val="21"/>
        </w:rPr>
        <w:t>）</w:t>
      </w:r>
    </w:p>
    <w:p w14:paraId="119C33D5">
      <w:pPr>
        <w:ind w:firstLine="480"/>
        <w:rPr>
          <w:rFonts w:cs="Times New Roman"/>
        </w:rPr>
      </w:pPr>
      <w:r>
        <w:rPr>
          <w:rFonts w:cs="Times New Roman"/>
        </w:rPr>
        <w:t>其中，AEI为</w:t>
      </w:r>
      <w:r>
        <w:rPr>
          <w:rFonts w:hint="eastAsia" w:cs="Times New Roman"/>
          <w:lang w:val="en-US" w:eastAsia="zh-CN"/>
        </w:rPr>
        <w:t>未引入反弹效应计算的原减排量</w:t>
      </w:r>
      <w:r>
        <w:rPr>
          <w:rFonts w:hint="eastAsia" w:cs="Times New Roman"/>
        </w:rPr>
        <w:t>，</w:t>
      </w:r>
      <m:oMath>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direct,</m:t>
            </m:r>
            <m:r>
              <m:rPr/>
              <w:rPr>
                <w:rFonts w:hint="eastAsia" w:ascii="Cambria Math" w:hAnsi="Cambria Math" w:cs="Times New Roman"/>
              </w:rPr>
              <m:t>i</m:t>
            </m:r>
            <m:ctrlPr>
              <w:rPr>
                <w:rFonts w:ascii="Cambria Math" w:hAnsi="Cambria Math" w:cs="Times New Roman"/>
                <w:i/>
              </w:rPr>
            </m:ctrlPr>
          </m:sub>
        </m:sSub>
      </m:oMath>
      <w:r>
        <w:rPr>
          <w:rFonts w:cs="Times New Roman"/>
        </w:rPr>
        <w:t>为直接反弹（仅换节能空调</w:t>
      </w:r>
      <w:r>
        <w:rPr>
          <w:rFonts w:hint="eastAsia" w:cs="Times New Roman"/>
          <w:lang w:val="en-US" w:eastAsia="zh-CN"/>
        </w:rPr>
        <w:t>与换用电车</w:t>
      </w:r>
      <w:r>
        <w:rPr>
          <w:rFonts w:cs="Times New Roman"/>
        </w:rPr>
        <w:t>有效激活</w:t>
      </w:r>
      <w:r>
        <w:rPr>
          <w:rFonts w:hint="eastAsia" w:cs="Times New Roman"/>
          <w:lang w:val="en-US" w:eastAsia="zh-CN"/>
        </w:rPr>
        <w:t>该效应</w:t>
      </w:r>
      <w:r>
        <w:rPr>
          <w:rFonts w:cs="Times New Roman"/>
        </w:rPr>
        <w:t>）；</w:t>
      </w:r>
      <m:oMath>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econ,</m:t>
            </m:r>
            <m:r>
              <m:rPr/>
              <w:rPr>
                <w:rFonts w:hint="eastAsia" w:ascii="Cambria Math" w:hAnsi="Cambria Math" w:cs="Times New Roman"/>
              </w:rPr>
              <m:t>i</m:t>
            </m:r>
            <m:ctrlPr>
              <w:rPr>
                <w:rFonts w:ascii="Cambria Math" w:hAnsi="Cambria Math" w:cs="Times New Roman"/>
                <w:i/>
              </w:rPr>
            </m:ctrlPr>
          </m:sub>
        </m:sSub>
      </m:oMath>
      <w:r>
        <w:rPr>
          <w:rFonts w:cs="Times New Roman"/>
        </w:rPr>
        <w:t>为行为节余资金转移至跨界高碳消费所产生的经济反弹；</w:t>
      </w:r>
      <m:oMath>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hint="default" w:ascii="Cambria Math" w:hAnsi="Cambria Math" w:cs="Times New Roman"/>
                <w:lang w:val="en-US" w:eastAsia="zh-CN"/>
              </w:rPr>
              <m:t>psy</m:t>
            </m:r>
            <m:r>
              <m:rPr/>
              <w:rPr>
                <w:rFonts w:ascii="Cambria Math" w:hAnsi="Cambria Math" w:cs="Times New Roman"/>
              </w:rPr>
              <m:t>,</m:t>
            </m:r>
            <m:r>
              <m:rPr/>
              <w:rPr>
                <w:rFonts w:hint="eastAsia" w:ascii="Cambria Math" w:hAnsi="Cambria Math" w:cs="Times New Roman"/>
              </w:rPr>
              <m:t>i</m:t>
            </m:r>
            <m:ctrlPr>
              <w:rPr>
                <w:rFonts w:ascii="Cambria Math" w:hAnsi="Cambria Math" w:cs="Times New Roman"/>
                <w:i/>
              </w:rPr>
            </m:ctrlPr>
          </m:sub>
        </m:sSub>
      </m:oMath>
      <w:r>
        <w:rPr>
          <w:rFonts w:cs="Times New Roman"/>
        </w:rPr>
        <w:t>为</w:t>
      </w:r>
      <w:r>
        <w:rPr>
          <w:rFonts w:hint="eastAsia" w:cs="Times New Roman"/>
          <w:lang w:val="en-US" w:eastAsia="zh-CN"/>
        </w:rPr>
        <w:t>促进后续行使高碳行为抑制低碳行为的心理反弹</w:t>
      </w:r>
      <w:r>
        <w:rPr>
          <w:rFonts w:cs="Times New Roman"/>
        </w:rPr>
        <w:t>；</w:t>
      </w:r>
      <m:oMath>
        <m:sSub>
          <m:sSubPr>
            <m:ctrlPr>
              <w:rPr>
                <w:rFonts w:ascii="Cambria Math" w:hAnsi="Cambria Math" w:cs="Times New Roman"/>
                <w:i/>
              </w:rPr>
            </m:ctrlPr>
          </m:sSubPr>
          <m:e>
            <m:r>
              <m:rPr/>
              <w:rPr>
                <w:rFonts w:ascii="Cambria Math" w:hAnsi="Cambria Math" w:cs="Times New Roman"/>
              </w:rPr>
              <m:t>ΔW</m:t>
            </m:r>
            <m:ctrlPr>
              <w:rPr>
                <w:rFonts w:ascii="Cambria Math" w:hAnsi="Cambria Math" w:cs="Times New Roman"/>
                <w:i/>
              </w:rPr>
            </m:ctrlPr>
          </m:e>
          <m:sub>
            <m:r>
              <m:rPr/>
              <w:rPr>
                <w:rFonts w:ascii="Cambria Math" w:hAnsi="Cambria Math" w:cs="Times New Roman"/>
              </w:rPr>
              <m:t>private,i</m:t>
            </m:r>
            <m:ctrlPr>
              <w:rPr>
                <w:rFonts w:ascii="Cambria Math" w:hAnsi="Cambria Math" w:cs="Times New Roman"/>
                <w:i/>
              </w:rPr>
            </m:ctrlPr>
          </m:sub>
        </m:sSub>
      </m:oMath>
      <w:r>
        <w:rPr>
          <w:rFonts w:cs="Times New Roman"/>
        </w:rPr>
        <w:t>为CBA静态框架中的私人福利净变化；SCC为社会碳成本（元/tCO₂e）。</w:t>
      </w:r>
    </w:p>
    <w:p w14:paraId="65D27939">
      <w:pPr>
        <w:pStyle w:val="4"/>
        <w:bidi w:val="0"/>
        <w:rPr>
          <w:rFonts w:hint="default"/>
        </w:rPr>
      </w:pPr>
      <w:bookmarkStart w:id="20" w:name="_Toc8451"/>
      <w:r>
        <w:rPr>
          <w:rFonts w:hint="eastAsia"/>
          <w:lang w:val="en-US" w:eastAsia="zh-CN"/>
        </w:rPr>
        <w:t>3</w:t>
      </w:r>
      <w:r>
        <w:rPr>
          <w:rFonts w:hint="default"/>
        </w:rPr>
        <w:t>.3.2 心理反弹参数计算</w:t>
      </w:r>
      <w:bookmarkEnd w:id="20"/>
    </w:p>
    <w:p w14:paraId="75C87208">
      <w:pPr>
        <w:ind w:firstLine="480"/>
        <w:rPr>
          <w:rFonts w:hint="eastAsia" w:cs="Times New Roman"/>
        </w:rPr>
      </w:pPr>
      <w:r>
        <w:rPr>
          <w:rFonts w:hint="eastAsia" w:cs="Times New Roman"/>
        </w:rPr>
        <w:t>心理反弹效应从两个维度展开：其一为六种行为间的直接相互转移；其二为过度行使低碳行为导致个体心理预期突破阈值，引发后续报复性高碳行为，抑制持续有效的低碳实践。</w:t>
      </w:r>
    </w:p>
    <w:p w14:paraId="68445037">
      <w:pPr>
        <w:ind w:firstLine="480"/>
        <w:rPr>
          <w:rFonts w:hint="eastAsia" w:cs="Times New Roman"/>
          <w:lang w:eastAsia="zh-CN"/>
        </w:rPr>
      </w:pPr>
      <w:r>
        <w:rPr>
          <w:rFonts w:hint="eastAsia" w:cs="Times New Roman"/>
        </w:rPr>
        <w:t>为在动态CBA框架中模拟单节点</w:t>
      </w:r>
      <w:r>
        <w:rPr>
          <w:rFonts w:hint="eastAsia" w:cs="Times New Roman"/>
          <w:lang w:val="en-US" w:eastAsia="zh-CN"/>
        </w:rPr>
        <w:t>干预</w:t>
      </w:r>
      <w:r>
        <w:rPr>
          <w:rFonts w:hint="eastAsia" w:cs="Times New Roman"/>
        </w:rPr>
        <w:t>引发的跨界</w:t>
      </w:r>
      <w:r>
        <w:rPr>
          <w:rFonts w:hint="eastAsia" w:cs="Times New Roman"/>
          <w:lang w:val="en-US" w:eastAsia="zh-CN"/>
        </w:rPr>
        <w:t>行为转移</w:t>
      </w:r>
      <w:r>
        <w:rPr>
          <w:rFonts w:hint="eastAsia" w:cs="Times New Roman"/>
          <w:lang w:eastAsia="zh-CN"/>
        </w:rPr>
        <w:t>，</w:t>
      </w:r>
      <w:r>
        <w:rPr>
          <w:rFonts w:hint="eastAsia" w:cs="Times New Roman"/>
        </w:rPr>
        <w:t>本文利用R语言EBICglasso算法提取了六种典型行为的高斯图偏相关网络，并计算了各节点中心性指标</w:t>
      </w:r>
      <w:r>
        <w:rPr>
          <w:rFonts w:hint="eastAsia" w:cs="Times New Roman"/>
          <w:lang w:eastAsia="zh-CN"/>
        </w:rPr>
        <w:t>，</w:t>
      </w:r>
      <w:r>
        <w:rPr>
          <w:rFonts w:hint="eastAsia" w:cs="Times New Roman"/>
        </w:rPr>
        <w:t>假设政策打破某节点平衡后，</w:t>
      </w:r>
      <w:r>
        <w:rPr>
          <w:rFonts w:hint="eastAsia" w:cs="Times New Roman"/>
          <w:lang w:val="en-US" w:eastAsia="zh-CN"/>
        </w:rPr>
        <w:t>行为转移的</w:t>
      </w:r>
      <w:r>
        <w:rPr>
          <w:rFonts w:hint="eastAsia" w:cs="Times New Roman"/>
        </w:rPr>
        <w:t>外溢势能按原有网络各边绝对权重比例向外扩散激活，从而生成行和为1的非对称激活概率矩阵</w:t>
      </w:r>
      <w:r>
        <w:rPr>
          <w:rFonts w:hint="eastAsia" w:cs="Times New Roman"/>
          <w:lang w:eastAsia="zh-CN"/>
        </w:rPr>
        <w:t>。</w:t>
      </w:r>
    </w:p>
    <w:p w14:paraId="38FE3DFD">
      <w:pPr>
        <w:ind w:firstLine="480"/>
        <w:rPr>
          <w:rFonts w:cs="Times New Roman"/>
        </w:rPr>
      </w:pPr>
      <w:r>
        <w:rPr>
          <w:rFonts w:hint="eastAsia" w:cs="Times New Roman"/>
        </w:rPr>
        <w:t>需明确指出，此转换生成的并非真实的长期马尔可夫时序转移概率，而是基于横截面权重的</w:t>
      </w:r>
      <w:r>
        <w:rPr>
          <w:rFonts w:hint="eastAsia" w:cs="Times New Roman"/>
          <w:lang w:eastAsia="zh-CN"/>
        </w:rPr>
        <w:t>“</w:t>
      </w:r>
      <w:r>
        <w:rPr>
          <w:rFonts w:hint="eastAsia" w:cs="Times New Roman"/>
        </w:rPr>
        <w:t>敏感性溢出基线</w:t>
      </w:r>
      <w:r>
        <w:rPr>
          <w:rFonts w:hint="eastAsia" w:cs="Times New Roman"/>
          <w:lang w:eastAsia="zh-CN"/>
        </w:rPr>
        <w:t>”</w:t>
      </w:r>
      <w:r>
        <w:rPr>
          <w:rFonts w:hint="eastAsia" w:cs="Times New Roman"/>
        </w:rPr>
        <w:t>，旨在压力测试下识别初始干预最可能沿哪些高权重路径引发网络反噬。</w:t>
      </w:r>
    </w:p>
    <w:p w14:paraId="2FE05D0E">
      <w:pPr>
        <w:ind w:firstLine="0" w:firstLineChars="0"/>
        <w:rPr>
          <w:rFonts w:cs="Times New Roman"/>
          <w:szCs w:val="24"/>
          <w:lang w:bidi="ar"/>
        </w:rPr>
      </w:pPr>
      <w:r>
        <w:rPr>
          <w:rFonts w:hint="eastAsia" w:cs="Times New Roman"/>
          <w:szCs w:val="24"/>
          <w:lang w:val="en-US" w:eastAsia="zh-CN" w:bidi="ar"/>
        </w:rPr>
        <w:t xml:space="preserve">        </w:t>
      </w:r>
      <w:r>
        <w:rPr>
          <w:rFonts w:cs="Times New Roman"/>
          <w:szCs w:val="24"/>
          <w:lang w:bidi="ar"/>
        </w:rPr>
        <w:drawing>
          <wp:inline distT="0" distB="0" distL="114300" distR="114300">
            <wp:extent cx="4349115" cy="3570605"/>
            <wp:effectExtent l="0" t="0" r="3810" b="1270"/>
            <wp:docPr id="1" name="图片 1" descr="Fig4_3_Undirected_Network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4_3_Undirected_Network_00"/>
                    <pic:cNvPicPr>
                      <a:picLocks noChangeAspect="1"/>
                    </pic:cNvPicPr>
                  </pic:nvPicPr>
                  <pic:blipFill>
                    <a:blip r:embed="rId11"/>
                    <a:stretch>
                      <a:fillRect/>
                    </a:stretch>
                  </pic:blipFill>
                  <pic:spPr>
                    <a:xfrm>
                      <a:off x="0" y="0"/>
                      <a:ext cx="4349115" cy="3570605"/>
                    </a:xfrm>
                    <a:prstGeom prst="rect">
                      <a:avLst/>
                    </a:prstGeom>
                  </pic:spPr>
                </pic:pic>
              </a:graphicData>
            </a:graphic>
          </wp:inline>
        </w:drawing>
      </w:r>
    </w:p>
    <w:p w14:paraId="523AC81E">
      <w:pPr>
        <w:tabs>
          <w:tab w:val="left" w:pos="377"/>
        </w:tabs>
        <w:ind w:firstLine="0" w:firstLineChars="0"/>
        <w:jc w:val="center"/>
        <w:rPr>
          <w:rFonts w:eastAsia="黑体" w:cs="Times New Roman"/>
        </w:rPr>
      </w:pPr>
      <w:r>
        <w:rPr>
          <w:rFonts w:hint="eastAsia" w:eastAsia="黑体"/>
        </w:rPr>
        <w:t>图</w:t>
      </w:r>
      <w:r>
        <w:rPr>
          <w:rFonts w:hint="eastAsia" w:eastAsia="黑体"/>
          <w:lang w:eastAsia="zh-CN"/>
        </w:rPr>
        <w:t>4</w:t>
      </w:r>
      <w:r>
        <w:rPr>
          <w:rFonts w:hint="eastAsia" w:eastAsia="黑体"/>
        </w:rPr>
        <w:t>-3</w:t>
      </w:r>
      <w:r>
        <w:rPr>
          <w:rFonts w:eastAsia="黑体" w:cs="Times New Roman"/>
        </w:rPr>
        <w:t xml:space="preserve"> </w:t>
      </w:r>
      <w:r>
        <w:rPr>
          <w:rFonts w:hint="eastAsia" w:eastAsia="黑体" w:cs="Times New Roman"/>
        </w:rPr>
        <w:t>低碳行为的无向偏相关网络</w:t>
      </w:r>
    </w:p>
    <w:p w14:paraId="6CB9A311">
      <w:pPr>
        <w:ind w:firstLine="0" w:firstLineChars="0"/>
        <w:jc w:val="center"/>
        <w:rPr>
          <w:rFonts w:eastAsia="黑体" w:cs="Times New Roman"/>
          <w:b/>
          <w:bCs/>
        </w:rPr>
      </w:pPr>
      <w:r>
        <w:rPr>
          <w:rFonts w:hint="eastAsia" w:eastAsia="黑体" w:cs="Times New Roman"/>
          <w:b/>
          <w:bCs/>
        </w:rPr>
        <w:t xml:space="preserve">Figure </w:t>
      </w:r>
      <w:r>
        <w:rPr>
          <w:rFonts w:hint="eastAsia" w:eastAsia="黑体" w:cs="Times New Roman"/>
          <w:b/>
          <w:bCs/>
          <w:lang w:eastAsia="zh-CN"/>
        </w:rPr>
        <w:t>4</w:t>
      </w:r>
      <w:r>
        <w:rPr>
          <w:rFonts w:hint="eastAsia" w:eastAsia="黑体" w:cs="Times New Roman"/>
          <w:b/>
          <w:bCs/>
        </w:rPr>
        <w:t>-3 Undirected Partial Correlation Network of Low-Carbon Behaviors</w:t>
      </w:r>
      <w:r>
        <w:rPr>
          <w:rFonts w:eastAsia="黑体" w:cs="Times New Roman"/>
          <w:b/>
          <w:bCs/>
        </w:rPr>
        <w:t xml:space="preserve"> </w:t>
      </w:r>
    </w:p>
    <w:p w14:paraId="6954BFDC">
      <w:pPr>
        <w:ind w:firstLine="0" w:firstLineChars="0"/>
        <w:rPr>
          <w:rFonts w:cs="Times New Roman"/>
          <w:i/>
          <w:iCs/>
          <w:sz w:val="15"/>
          <w:szCs w:val="16"/>
        </w:rPr>
      </w:pPr>
      <w:r>
        <w:rPr>
          <w:rFonts w:cs="Times New Roman"/>
          <w:i/>
          <w:iCs/>
          <w:sz w:val="15"/>
          <w:szCs w:val="16"/>
        </w:rPr>
        <w:t>数据来源：本研究问卷调查行为频率模块（N=538）；网络估计采用EBICglasso（γ=0.5）算法，基于高斯图模型（GGM）计算偏相关矩阵；图中连线粗细表示偏相关系数绝对值大小，蓝色为正相关，红色为负相关。</w:t>
      </w:r>
    </w:p>
    <w:p w14:paraId="35ACA6D0">
      <w:pPr>
        <w:ind w:firstLine="480"/>
        <w:rPr>
          <w:rFonts w:cs="Times New Roman"/>
        </w:rPr>
      </w:pPr>
    </w:p>
    <w:p w14:paraId="47CCD73A">
      <w:pPr>
        <w:ind w:firstLine="480"/>
        <w:rPr>
          <w:rFonts w:hint="eastAsia" w:cs="Times New Roman"/>
        </w:rPr>
      </w:pPr>
      <w:r>
        <w:rPr>
          <w:rFonts w:hint="eastAsia" w:cs="Times New Roman"/>
        </w:rPr>
        <w:t>如图4-3所示，基准特质关联网络揭示了行为间显著且异质的自然连带关系。</w:t>
      </w:r>
      <w:r>
        <w:rPr>
          <w:rFonts w:hint="eastAsia" w:cs="Times New Roman"/>
          <w:lang w:eastAsia="zh-CN"/>
        </w:rPr>
        <w:t>“</w:t>
      </w:r>
      <w:r>
        <w:rPr>
          <w:rFonts w:hint="eastAsia" w:cs="Times New Roman"/>
        </w:rPr>
        <w:t>换节能空调</w:t>
      </w:r>
      <w:r>
        <w:rPr>
          <w:rFonts w:hint="eastAsia" w:cs="Times New Roman"/>
          <w:lang w:eastAsia="zh-CN"/>
        </w:rPr>
        <w:t>”</w:t>
      </w:r>
      <w:r>
        <w:rPr>
          <w:rFonts w:hint="eastAsia" w:cs="Times New Roman"/>
        </w:rPr>
        <w:t>、</w:t>
      </w:r>
      <w:r>
        <w:rPr>
          <w:rFonts w:hint="eastAsia" w:cs="Times New Roman"/>
          <w:lang w:eastAsia="zh-CN"/>
        </w:rPr>
        <w:t>“</w:t>
      </w:r>
      <w:r>
        <w:rPr>
          <w:rFonts w:hint="eastAsia" w:cs="Times New Roman"/>
        </w:rPr>
        <w:t>垃圾分类</w:t>
      </w:r>
      <w:r>
        <w:rPr>
          <w:rFonts w:hint="eastAsia" w:cs="Times New Roman"/>
          <w:lang w:eastAsia="zh-CN"/>
        </w:rPr>
        <w:t>”</w:t>
      </w:r>
      <w:r>
        <w:rPr>
          <w:rFonts w:hint="eastAsia" w:cs="Times New Roman"/>
        </w:rPr>
        <w:t>与</w:t>
      </w:r>
      <w:r>
        <w:rPr>
          <w:rFonts w:hint="eastAsia" w:cs="Times New Roman"/>
          <w:lang w:eastAsia="zh-CN"/>
        </w:rPr>
        <w:t>“</w:t>
      </w:r>
      <w:r>
        <w:rPr>
          <w:rFonts w:hint="eastAsia" w:cs="Times New Roman"/>
        </w:rPr>
        <w:t>高铁代飞机</w:t>
      </w:r>
      <w:r>
        <w:rPr>
          <w:rFonts w:hint="eastAsia" w:cs="Times New Roman"/>
          <w:lang w:eastAsia="zh-CN"/>
        </w:rPr>
        <w:t>”</w:t>
      </w:r>
      <w:r>
        <w:rPr>
          <w:rFonts w:hint="eastAsia" w:cs="Times New Roman"/>
        </w:rPr>
        <w:t>之间存在密集强正相关，表明技术采纳型节能与长途低碳出行、日常环保习惯在生活特质中具有内在结构一致性。</w:t>
      </w:r>
    </w:p>
    <w:p w14:paraId="34C5A810">
      <w:pPr>
        <w:ind w:firstLine="480"/>
        <w:rPr>
          <w:rFonts w:hint="eastAsia" w:cs="Times New Roman"/>
        </w:rPr>
      </w:pPr>
      <w:r>
        <w:rPr>
          <w:rFonts w:hint="eastAsia" w:cs="Times New Roman"/>
        </w:rPr>
        <w:t>节点大小刻画各行为的枢纽地位：</w:t>
      </w:r>
      <w:r>
        <w:rPr>
          <w:rFonts w:hint="eastAsia" w:cs="Times New Roman"/>
          <w:lang w:eastAsia="zh-CN"/>
        </w:rPr>
        <w:t>“</w:t>
      </w:r>
      <w:r>
        <w:rPr>
          <w:rFonts w:hint="eastAsia" w:cs="Times New Roman"/>
        </w:rPr>
        <w:t>高铁代飞机</w:t>
      </w:r>
      <w:r>
        <w:rPr>
          <w:rFonts w:hint="eastAsia" w:cs="Times New Roman"/>
          <w:lang w:eastAsia="zh-CN"/>
        </w:rPr>
        <w:t>”</w:t>
      </w:r>
      <w:r>
        <w:rPr>
          <w:rFonts w:hint="eastAsia" w:cs="Times New Roman"/>
        </w:rPr>
        <w:t>与</w:t>
      </w:r>
      <w:r>
        <w:rPr>
          <w:rFonts w:hint="eastAsia" w:cs="Times New Roman"/>
          <w:lang w:eastAsia="zh-CN"/>
        </w:rPr>
        <w:t>“</w:t>
      </w:r>
      <w:r>
        <w:rPr>
          <w:rFonts w:hint="eastAsia" w:cs="Times New Roman"/>
        </w:rPr>
        <w:t>垃圾分类</w:t>
      </w:r>
      <w:r>
        <w:rPr>
          <w:rFonts w:hint="eastAsia" w:cs="Times New Roman"/>
          <w:lang w:eastAsia="zh-CN"/>
        </w:rPr>
        <w:t>”</w:t>
      </w:r>
      <w:r>
        <w:rPr>
          <w:rFonts w:hint="eastAsia" w:cs="Times New Roman"/>
        </w:rPr>
        <w:t>节点强度最高，一旦被激活最易带动整体低碳网络联动；</w:t>
      </w:r>
      <w:r>
        <w:rPr>
          <w:rFonts w:hint="eastAsia" w:cs="Times New Roman"/>
          <w:lang w:eastAsia="zh-CN"/>
        </w:rPr>
        <w:t>“</w:t>
      </w:r>
      <w:r>
        <w:rPr>
          <w:rFonts w:hint="eastAsia" w:cs="Times New Roman"/>
        </w:rPr>
        <w:t>换电动汽车</w:t>
      </w:r>
      <w:r>
        <w:rPr>
          <w:rFonts w:hint="eastAsia" w:cs="Times New Roman"/>
          <w:lang w:eastAsia="zh-CN"/>
        </w:rPr>
        <w:t>”</w:t>
      </w:r>
      <w:r>
        <w:rPr>
          <w:rFonts w:hint="eastAsia" w:cs="Times New Roman"/>
        </w:rPr>
        <w:t>节点强度最低，处于网络绝对边缘，与其他行为偏相关极弱，与4.1节测算的极高客观阻力形成交叉印证——作为重资产孤立决策，日常习惯的自然溢出难以带动该高门槛行为发生。</w:t>
      </w:r>
    </w:p>
    <w:p w14:paraId="58665C0F">
      <w:pPr>
        <w:ind w:firstLine="480"/>
        <w:rPr>
          <w:rFonts w:hint="eastAsia" w:cs="Times New Roman"/>
        </w:rPr>
      </w:pPr>
      <w:r>
        <w:rPr>
          <w:rFonts w:hint="eastAsia" w:cs="Times New Roman"/>
        </w:rPr>
        <w:t>综上，心理反弹中道德许可导致的行为转移严格受制于底层网络的拓扑结构与节点枢纽地位，并非随机漫步。</w:t>
      </w:r>
    </w:p>
    <w:p w14:paraId="515C1F32">
      <w:pPr>
        <w:pStyle w:val="4"/>
        <w:bidi w:val="0"/>
        <w:rPr>
          <w:rFonts w:hint="default"/>
        </w:rPr>
      </w:pPr>
      <w:bookmarkStart w:id="21" w:name="_Toc1386"/>
      <w:r>
        <w:rPr>
          <w:rFonts w:hint="eastAsia"/>
          <w:lang w:val="en-US" w:eastAsia="zh-CN"/>
        </w:rPr>
        <w:t>3</w:t>
      </w:r>
      <w:r>
        <w:rPr>
          <w:rFonts w:hint="default"/>
        </w:rPr>
        <w:t>.3.</w:t>
      </w:r>
      <w:r>
        <w:rPr>
          <w:rFonts w:hint="eastAsia"/>
          <w:lang w:val="en-US" w:eastAsia="zh-CN"/>
        </w:rPr>
        <w:t>3</w:t>
      </w:r>
      <w:r>
        <w:rPr>
          <w:rFonts w:hint="default"/>
        </w:rPr>
        <w:t xml:space="preserve"> </w:t>
      </w:r>
      <w:r>
        <w:t>经济</w:t>
      </w:r>
      <w:r>
        <w:rPr>
          <w:rFonts w:hint="default"/>
        </w:rPr>
        <w:t>反弹参数计算</w:t>
      </w:r>
      <w:bookmarkEnd w:id="21"/>
    </w:p>
    <w:p w14:paraId="0053AFE8">
      <w:pPr>
        <w:ind w:firstLine="480"/>
        <w:rPr>
          <w:rFonts w:cs="Times New Roman"/>
        </w:rPr>
      </w:pPr>
      <w:r>
        <w:rPr>
          <w:rFonts w:cs="Times New Roman"/>
        </w:rPr>
        <w:t>经济反弹的具体核算路径如下：行为 i 每人每年的预算节余（</w:t>
      </w:r>
      <m:oMath>
        <m:sSub>
          <m:sSubPr>
            <m:ctrlPr>
              <w:rPr>
                <w:rFonts w:ascii="Cambria Math" w:hAnsi="Cambria Math" w:cs="Times New Roman"/>
                <w:i/>
              </w:rPr>
            </m:ctrlPr>
          </m:sSubPr>
          <m:e>
            <m:r>
              <m:rPr/>
              <w:rPr>
                <w:rFonts w:ascii="Cambria Math" w:hAnsi="Cambria Math" w:cs="Times New Roman"/>
              </w:rPr>
              <m:t>ΔC</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hint="eastAsia" w:hAnsi="Cambria Math" w:cs="Times New Roman"/>
        </w:rPr>
        <w:t>，</w:t>
      </w:r>
      <w:r>
        <w:rPr>
          <w:rFonts w:cs="Times New Roman"/>
        </w:rPr>
        <w:t>由附录A静态参数计算）中，</w:t>
      </w:r>
      <w:r>
        <w:rPr>
          <w:rFonts w:hint="eastAsia" w:cs="Times New Roman"/>
          <w:lang w:val="en-US" w:eastAsia="zh-CN"/>
        </w:rPr>
        <w:t>按边际消费倾向的</w:t>
      </w:r>
      <w:r>
        <w:rPr>
          <w:rFonts w:cs="Times New Roman"/>
        </w:rPr>
        <w:t>比例被转移至一般性商品与服务消费，其额外碳排放量为：</w:t>
      </w:r>
    </w:p>
    <w:p w14:paraId="740A5ACC">
      <w:pPr>
        <w:tabs>
          <w:tab w:val="left" w:pos="7088"/>
        </w:tabs>
        <w:spacing w:before="160" w:after="160"/>
        <w:ind w:firstLine="480"/>
        <w:jc w:val="center"/>
        <w:rPr>
          <w:rFonts w:cs="Times New Roman"/>
        </w:rPr>
      </w:pPr>
      <w:r>
        <w:rPr>
          <w:rFonts w:hint="eastAsia" w:cs="Times New Roman"/>
        </w:rPr>
        <w:t xml:space="preserve">                  </w:t>
      </w:r>
      <m:oMath>
        <m:r>
          <m:rPr/>
          <w:rPr>
            <w:rFonts w:ascii="Cambria Math" w:hAnsi="Cambria Math" w:cs="Times New Roman"/>
          </w:rPr>
          <m:t>Recon,i=</m:t>
        </m:r>
        <m:sSub>
          <m:sSubPr>
            <m:ctrlPr>
              <w:rPr>
                <w:rFonts w:ascii="Cambria Math" w:hAnsi="Cambria Math" w:cs="Times New Roman"/>
                <w:i/>
              </w:rPr>
            </m:ctrlPr>
          </m:sSubPr>
          <m:e>
            <m:r>
              <m:rPr/>
              <w:rPr>
                <w:rFonts w:ascii="Cambria Math" w:hAnsi="Cambria Math" w:cs="Times New Roman"/>
              </w:rPr>
              <m:t>ΔC</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r>
          <m:rPr/>
          <w:rPr>
            <w:rFonts w:ascii="Cambria Math" w:hAnsi="Cambria Math" w:cs="Times New Roman"/>
          </w:rPr>
          <m:t>×MPC×CI</m:t>
        </m:r>
      </m:oMath>
      <w:r>
        <w:rPr>
          <w:rFonts w:cs="Times New Roman" w:eastAsiaTheme="minorEastAsia"/>
        </w:rPr>
        <w:tab/>
      </w:r>
      <w:r>
        <w:rPr>
          <w:rFonts w:eastAsia="Times New Roman" w:cs="Times New Roman"/>
          <w:szCs w:val="21"/>
        </w:rPr>
        <w:t>（</w:t>
      </w:r>
      <w:r>
        <w:rPr>
          <w:rFonts w:hint="eastAsia" w:cs="Times New Roman"/>
          <w:szCs w:val="21"/>
        </w:rPr>
        <w:t>公式</w:t>
      </w:r>
      <w:r>
        <w:rPr>
          <w:rFonts w:hint="eastAsia" w:cs="Times New Roman"/>
          <w:szCs w:val="21"/>
          <w:lang w:eastAsia="zh-CN"/>
        </w:rPr>
        <w:t>3</w:t>
      </w:r>
      <w:r>
        <w:rPr>
          <w:rFonts w:hint="eastAsia" w:cs="Times New Roman"/>
          <w:szCs w:val="21"/>
        </w:rPr>
        <w:t>-</w:t>
      </w:r>
      <w:r>
        <w:rPr>
          <w:rFonts w:hint="eastAsia" w:cs="Times New Roman"/>
          <w:szCs w:val="21"/>
          <w:lang w:val="en-US" w:eastAsia="zh-CN"/>
        </w:rPr>
        <w:t>4</w:t>
      </w:r>
      <w:r>
        <w:rPr>
          <w:rFonts w:eastAsia="Times New Roman" w:cs="Times New Roman"/>
          <w:szCs w:val="21"/>
        </w:rPr>
        <w:t>）</w:t>
      </w:r>
    </w:p>
    <w:p w14:paraId="737B399A">
      <w:pPr>
        <w:ind w:firstLine="480"/>
        <w:rPr>
          <w:rFonts w:cs="Times New Roman"/>
        </w:rPr>
      </w:pPr>
      <w:r>
        <w:rPr>
          <w:rFonts w:cs="Times New Roman"/>
        </w:rPr>
        <w:t>其中CI为居民消费碳强度（kgCO₂e/元），将货币支出换算为碳排放增量。</w:t>
      </w:r>
    </w:p>
    <w:p w14:paraId="1A845133">
      <w:pPr>
        <w:ind w:firstLine="0" w:firstLineChars="0"/>
        <w:rPr>
          <w:rFonts w:cs="Times New Roman"/>
        </w:rPr>
      </w:pPr>
    </w:p>
    <w:p w14:paraId="09F5DD6E">
      <w:pPr>
        <w:ind w:firstLine="480"/>
        <w:rPr>
          <w:rFonts w:cs="Times New Roman"/>
        </w:rPr>
      </w:pPr>
      <w:r>
        <w:rPr>
          <w:rFonts w:cs="Times New Roman"/>
        </w:rPr>
        <w:br w:type="page"/>
      </w:r>
    </w:p>
    <w:p w14:paraId="66E6DAD7">
      <w:pPr>
        <w:pStyle w:val="2"/>
        <w:numPr>
          <w:ilvl w:val="0"/>
          <w:numId w:val="0"/>
        </w:numPr>
        <w:ind w:left="425" w:hanging="425"/>
        <w:rPr>
          <w:rFonts w:ascii="Times New Roman" w:hAnsi="Times New Roman" w:cs="Times New Roman"/>
        </w:rPr>
      </w:pPr>
      <w:bookmarkStart w:id="22" w:name="_Toc13487"/>
      <w:r>
        <w:rPr>
          <w:rFonts w:ascii="Times New Roman" w:hAnsi="Times New Roman" w:cs="Times New Roman"/>
        </w:rPr>
        <w:t xml:space="preserve">第 </w:t>
      </w:r>
      <w:r>
        <w:rPr>
          <w:rFonts w:hint="eastAsia" w:ascii="Times New Roman" w:hAnsi="Times New Roman" w:cs="Times New Roman"/>
          <w:lang w:eastAsia="zh-CN"/>
        </w:rPr>
        <w:t>4</w:t>
      </w:r>
      <w:r>
        <w:rPr>
          <w:rFonts w:ascii="Times New Roman" w:hAnsi="Times New Roman" w:cs="Times New Roman"/>
        </w:rPr>
        <w:t xml:space="preserve"> 章</w:t>
      </w:r>
      <w:r>
        <w:rPr>
          <w:rFonts w:hint="eastAsia" w:ascii="Times New Roman" w:hAnsi="Times New Roman" w:cs="Times New Roman"/>
          <w:lang w:val="en-US" w:eastAsia="zh-CN"/>
        </w:rPr>
        <w:t xml:space="preserve"> </w:t>
      </w:r>
      <w:r>
        <w:rPr>
          <w:rFonts w:ascii="Times New Roman" w:hAnsi="Times New Roman" w:cs="Times New Roman"/>
        </w:rPr>
        <w:t>实证结果</w:t>
      </w:r>
      <w:bookmarkEnd w:id="22"/>
    </w:p>
    <w:p w14:paraId="13AA866D">
      <w:pPr>
        <w:pStyle w:val="3"/>
        <w:bidi w:val="0"/>
      </w:pPr>
      <w:bookmarkStart w:id="23" w:name="_Toc32419"/>
      <w:r>
        <w:rPr>
          <w:rFonts w:hint="eastAsia"/>
          <w:lang w:eastAsia="zh-CN"/>
        </w:rPr>
        <w:t>4</w:t>
      </w:r>
      <w:r>
        <w:t>.1  样本描述与变量基本特征</w:t>
      </w:r>
      <w:bookmarkEnd w:id="23"/>
    </w:p>
    <w:p w14:paraId="1571F371">
      <w:pPr>
        <w:pStyle w:val="4"/>
        <w:bidi w:val="0"/>
        <w:rPr>
          <w:rFonts w:hint="default"/>
        </w:rPr>
      </w:pPr>
      <w:bookmarkStart w:id="24" w:name="_Toc4588"/>
      <w:r>
        <w:rPr>
          <w:rFonts w:hint="eastAsia"/>
          <w:lang w:eastAsia="zh-CN"/>
        </w:rPr>
        <w:t>4</w:t>
      </w:r>
      <w:r>
        <w:rPr>
          <w:rFonts w:hint="default"/>
        </w:rPr>
        <w:t>.1.1 样本来源与质控程序</w:t>
      </w:r>
      <w:bookmarkEnd w:id="24"/>
    </w:p>
    <w:p w14:paraId="4B71A55A">
      <w:pPr>
        <w:ind w:firstLine="480"/>
        <w:rPr>
          <w:rFonts w:cs="Times New Roman"/>
        </w:rPr>
      </w:pPr>
      <w:r>
        <w:rPr>
          <w:rFonts w:hint="eastAsia" w:cs="Times New Roman"/>
        </w:rPr>
        <w:t>研究</w:t>
      </w:r>
      <w:r>
        <w:rPr>
          <w:rFonts w:hint="eastAsia" w:cs="Times New Roman"/>
          <w:lang w:val="en-US" w:eastAsia="zh-CN"/>
        </w:rPr>
        <w:t>在北京、浙江与黑龙江等地开展</w:t>
      </w:r>
      <w:r>
        <w:rPr>
          <w:rFonts w:hint="eastAsia" w:cs="Times New Roman"/>
        </w:rPr>
        <w:t>线上线下结合</w:t>
      </w:r>
      <w:r>
        <w:rPr>
          <w:rFonts w:hint="eastAsia" w:cs="Times New Roman"/>
          <w:lang w:val="en-US" w:eastAsia="zh-CN"/>
        </w:rPr>
        <w:t>的调查问卷</w:t>
      </w:r>
      <w:r>
        <w:rPr>
          <w:rFonts w:hint="eastAsia" w:cs="Times New Roman"/>
        </w:rPr>
        <w:t>方式回收初始样本824份，经三级质控——速答剔除（&lt;4分钟，82份）、逻辑校验（测谎题矛盾，141份</w:t>
      </w:r>
      <w:r>
        <w:rPr>
          <w:rFonts w:hint="eastAsia" w:cs="Times New Roman"/>
          <w:lang w:eastAsia="zh-CN"/>
        </w:rPr>
        <w:t>）、</w:t>
      </w:r>
      <w:r>
        <w:rPr>
          <w:rFonts w:hint="eastAsia" w:cs="Times New Roman"/>
        </w:rPr>
        <w:t>直线型作答（63份）——最终获有效样本538份，有效回收率65.3%</w:t>
      </w:r>
      <w:r>
        <w:rPr>
          <w:rFonts w:cs="Times New Roman"/>
        </w:rPr>
        <w:t>。</w:t>
      </w:r>
    </w:p>
    <w:p w14:paraId="730F0465">
      <w:pPr>
        <w:pStyle w:val="4"/>
        <w:bidi w:val="0"/>
        <w:rPr>
          <w:rFonts w:hint="default"/>
        </w:rPr>
      </w:pPr>
      <w:bookmarkStart w:id="25" w:name="_Toc23376"/>
      <w:r>
        <w:rPr>
          <w:rFonts w:hint="eastAsia"/>
          <w:lang w:eastAsia="zh-CN"/>
        </w:rPr>
        <w:t>4</w:t>
      </w:r>
      <w:r>
        <w:rPr>
          <w:rFonts w:hint="default"/>
        </w:rPr>
        <w:t>.1.2 样本人口学特征</w:t>
      </w:r>
      <w:bookmarkEnd w:id="25"/>
    </w:p>
    <w:p w14:paraId="7D8C0C15">
      <w:pPr>
        <w:ind w:firstLine="480"/>
        <w:rPr>
          <w:rFonts w:hint="eastAsia" w:cs="Times New Roman"/>
        </w:rPr>
      </w:pPr>
      <w:r>
        <w:rPr>
          <w:rFonts w:hint="eastAsia" w:cs="Times New Roman"/>
        </w:rPr>
        <w:t>有效样本呈现典型的城市青年消费群体特征：女性占58.9%；年龄集中于18</w:t>
      </w:r>
      <w:r>
        <w:rPr>
          <w:rFonts w:hint="eastAsia" w:cs="Times New Roman"/>
          <w:lang w:val="en-US" w:eastAsia="zh-CN"/>
        </w:rPr>
        <w:t>-</w:t>
      </w:r>
      <w:r>
        <w:rPr>
          <w:rFonts w:hint="eastAsia" w:cs="Times New Roman"/>
        </w:rPr>
        <w:t>35岁（87.2%）；学历以硕士及以上为主（约66.5%）；家庭年收入集中于3</w:t>
      </w:r>
      <w:r>
        <w:rPr>
          <w:rFonts w:hint="eastAsia" w:cs="Times New Roman"/>
          <w:lang w:val="en-US" w:eastAsia="zh-CN"/>
        </w:rPr>
        <w:t>-</w:t>
      </w:r>
      <w:r>
        <w:rPr>
          <w:rFonts w:hint="eastAsia" w:cs="Times New Roman"/>
        </w:rPr>
        <w:t>20万元区间；二线及以下城市占58.2%；私家车拥有率76.6%。</w:t>
      </w:r>
    </w:p>
    <w:p w14:paraId="1CF3E31C">
      <w:pPr>
        <w:ind w:firstLine="480"/>
        <w:rPr>
          <w:rFonts w:hint="default" w:eastAsia="宋体" w:cs="Times New Roman"/>
          <w:lang w:val="en-US" w:eastAsia="zh-CN"/>
        </w:rPr>
      </w:pPr>
      <w:r>
        <w:rPr>
          <w:rFonts w:hint="eastAsia" w:cs="Times New Roman"/>
        </w:rPr>
        <w:t>这一样本结构系抽样设计阶段的目的性定向选择。该群体是新能源汽车购置、外卖消费、高铁/航空出行及家电更换的主要决策主体，对六种干预行为的减排效果具有最直接影响；据WRI与能源基金会中国的报告，该群体约占城市人口20%—25%，却贡献消费端碳排放40%以上，政策杠杆效应显著。据此，本研究目标总体明确界定为"城市中青年高学历活跃消费群体"，所有政策结论均在此范围内成立，不作无条件全人群外推。</w:t>
      </w:r>
      <w:r>
        <w:rPr>
          <w:rFonts w:hint="eastAsia" w:cs="Times New Roman"/>
          <w:lang w:val="en-US" w:eastAsia="zh-CN"/>
        </w:rPr>
        <w:t>本研究详细样本特征见附录E。</w:t>
      </w:r>
    </w:p>
    <w:p w14:paraId="1D82DF4E">
      <w:pPr>
        <w:pStyle w:val="4"/>
        <w:bidi w:val="0"/>
        <w:rPr>
          <w:rFonts w:hint="default"/>
        </w:rPr>
      </w:pPr>
      <w:bookmarkStart w:id="26" w:name="_Toc12634"/>
      <w:r>
        <w:rPr>
          <w:rFonts w:hint="eastAsia"/>
          <w:lang w:val="en-US" w:eastAsia="zh-CN"/>
        </w:rPr>
        <w:t>4.1.3</w:t>
      </w:r>
      <w:r>
        <w:rPr>
          <w:rFonts w:hint="default"/>
        </w:rPr>
        <w:t xml:space="preserve"> 模拟情景设定</w:t>
      </w:r>
      <w:bookmarkEnd w:id="26"/>
    </w:p>
    <w:p w14:paraId="6DE8B5C2">
      <w:pPr>
        <w:ind w:firstLine="480"/>
        <w:rPr>
          <w:rFonts w:cs="Times New Roman"/>
        </w:rPr>
      </w:pPr>
      <w:r>
        <w:rPr>
          <w:rFonts w:hint="eastAsia" w:cs="Times New Roman"/>
        </w:rPr>
        <w:t>本节对</w:t>
      </w:r>
      <w:r>
        <w:rPr>
          <w:rFonts w:hint="eastAsia" w:cs="Times New Roman"/>
          <w:lang w:val="en-US" w:eastAsia="zh-CN"/>
        </w:rPr>
        <w:t>本</w:t>
      </w:r>
      <w:r>
        <w:rPr>
          <w:rFonts w:hint="eastAsia" w:cs="Times New Roman"/>
        </w:rPr>
        <w:t>章模拟所依赖的情景设定和关键输入参数作汇总说明</w:t>
      </w:r>
      <w:r>
        <w:rPr>
          <w:rFonts w:hint="eastAsia" w:cs="Times New Roman"/>
          <w:lang w:eastAsia="zh-CN"/>
        </w:rPr>
        <w:t>；</w:t>
      </w:r>
      <w:r>
        <w:rPr>
          <w:rFonts w:hint="eastAsia" w:cs="Times New Roman"/>
        </w:rPr>
        <w:t>各行为CBA静态参数详见附录A。</w:t>
      </w:r>
    </w:p>
    <w:p w14:paraId="5F7E67FC">
      <w:pPr>
        <w:ind w:firstLine="480"/>
        <w:rPr>
          <w:rFonts w:cs="Times New Roman"/>
        </w:rPr>
      </w:pPr>
      <w:r>
        <w:rPr>
          <w:rFonts w:cs="Times New Roman"/>
        </w:rPr>
        <w:t>为系统呈现反弹效应的层叠机制与边际贡献，本研究设计了由简至繁的三个模拟情景（表</w:t>
      </w:r>
      <w:r>
        <w:rPr>
          <w:rFonts w:hint="eastAsia" w:cs="Times New Roman"/>
          <w:lang w:eastAsia="zh-CN"/>
        </w:rPr>
        <w:t>5</w:t>
      </w:r>
      <w:r>
        <w:rPr>
          <w:rFonts w:cs="Times New Roman"/>
        </w:rPr>
        <w:t>-1），分别对应"无反弹基准"、"叠加经济反弹"与"叠加全动态反弹"三种假设。三情景共用同一套CBA静态参数（附录A），差异仅在于反弹模块是否激活及激活范围。</w:t>
      </w:r>
    </w:p>
    <w:p w14:paraId="25313627">
      <w:pPr>
        <w:ind w:firstLine="480"/>
        <w:rPr>
          <w:rFonts w:cs="Times New Roman"/>
        </w:rPr>
      </w:pPr>
    </w:p>
    <w:p w14:paraId="4D12AEC4">
      <w:pPr>
        <w:tabs>
          <w:tab w:val="left" w:pos="377"/>
        </w:tabs>
        <w:ind w:firstLine="0" w:firstLineChars="0"/>
        <w:jc w:val="center"/>
        <w:rPr>
          <w:rFonts w:eastAsia="黑体" w:cs="Times New Roman"/>
        </w:rPr>
      </w:pPr>
      <w:r>
        <w:rPr>
          <w:rFonts w:eastAsia="黑体" w:cs="Times New Roman"/>
        </w:rPr>
        <w:t>表</w:t>
      </w:r>
      <w:r>
        <w:rPr>
          <w:rFonts w:hint="eastAsia" w:eastAsia="黑体"/>
          <w:lang w:eastAsia="zh-CN"/>
        </w:rPr>
        <w:t>5</w:t>
      </w:r>
      <w:r>
        <w:rPr>
          <w:rFonts w:eastAsia="黑体"/>
        </w:rPr>
        <w:t xml:space="preserve">-1 </w:t>
      </w:r>
      <w:r>
        <w:rPr>
          <w:rFonts w:eastAsia="黑体" w:cs="Times New Roman"/>
        </w:rPr>
        <w:t>模拟情景设定汇总</w:t>
      </w:r>
    </w:p>
    <w:p w14:paraId="3DCCEFA0">
      <w:pPr>
        <w:tabs>
          <w:tab w:val="left" w:pos="377"/>
        </w:tabs>
        <w:ind w:firstLine="0" w:firstLineChars="0"/>
        <w:jc w:val="center"/>
        <w:rPr>
          <w:rFonts w:cs="Times New Roman"/>
          <w:b/>
          <w:bCs/>
        </w:rPr>
      </w:pPr>
      <w:r>
        <w:rPr>
          <w:rFonts w:hint="eastAsia" w:cs="Times New Roman"/>
          <w:b/>
          <w:bCs/>
        </w:rPr>
        <w:t xml:space="preserve">Table </w:t>
      </w:r>
      <w:r>
        <w:rPr>
          <w:rFonts w:hint="eastAsia" w:cs="Times New Roman"/>
          <w:b/>
          <w:bCs/>
          <w:lang w:eastAsia="zh-CN"/>
        </w:rPr>
        <w:t>5</w:t>
      </w:r>
      <w:r>
        <w:rPr>
          <w:rFonts w:hint="eastAsia" w:cs="Times New Roman"/>
          <w:b/>
          <w:bCs/>
        </w:rPr>
        <w:t xml:space="preserve">-1 </w:t>
      </w:r>
      <w:r>
        <w:rPr>
          <w:rFonts w:cs="Times New Roman"/>
          <w:b/>
          <w:bCs/>
        </w:rPr>
        <w:t>Summary of Scenario Settings</w:t>
      </w:r>
    </w:p>
    <w:tbl>
      <w:tblPr>
        <w:tblStyle w:val="29"/>
        <w:tblW w:w="4998"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00" w:type="dxa"/>
          <w:left w:w="100" w:type="dxa"/>
          <w:bottom w:w="100" w:type="dxa"/>
          <w:right w:w="100" w:type="dxa"/>
        </w:tblCellMar>
      </w:tblPr>
      <w:tblGrid>
        <w:gridCol w:w="626"/>
        <w:gridCol w:w="1502"/>
        <w:gridCol w:w="3005"/>
        <w:gridCol w:w="3703"/>
      </w:tblGrid>
      <w:tr w14:paraId="74CD6E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jc w:val="center"/>
        </w:trPr>
        <w:tc>
          <w:tcPr>
            <w:tcW w:w="354" w:type="pct"/>
            <w:tcBorders>
              <w:top w:val="single" w:color="000000" w:sz="12" w:space="0"/>
              <w:bottom w:val="single" w:color="000000" w:sz="4" w:space="0"/>
              <w:tl2br w:val="nil"/>
            </w:tcBorders>
            <w:shd w:val="clear" w:color="auto" w:fill="FFFFFF"/>
            <w:vAlign w:val="center"/>
          </w:tcPr>
          <w:p w14:paraId="21DEBC85">
            <w:pPr>
              <w:pStyle w:val="23"/>
              <w:jc w:val="center"/>
              <w:rPr>
                <w:rFonts w:hint="eastAsia" w:ascii="宋体" w:hAnsi="宋体" w:eastAsia="宋体" w:cs="Times New Roman"/>
                <w:color w:val="000000"/>
              </w:rPr>
            </w:pPr>
            <w:r>
              <w:rPr>
                <w:rFonts w:ascii="宋体" w:hAnsi="宋体" w:eastAsia="宋体" w:cs="Times New Roman"/>
                <w:color w:val="000000"/>
              </w:rPr>
              <w:t>情景</w:t>
            </w:r>
          </w:p>
        </w:tc>
        <w:tc>
          <w:tcPr>
            <w:tcW w:w="850" w:type="pct"/>
            <w:tcBorders>
              <w:top w:val="single" w:color="000000" w:sz="12" w:space="0"/>
              <w:bottom w:val="single" w:color="000000" w:sz="4" w:space="0"/>
            </w:tcBorders>
            <w:shd w:val="clear" w:color="auto" w:fill="FFFFFF"/>
            <w:vAlign w:val="center"/>
          </w:tcPr>
          <w:p w14:paraId="7C9C0A0D">
            <w:pPr>
              <w:pStyle w:val="23"/>
              <w:jc w:val="center"/>
              <w:rPr>
                <w:rFonts w:hint="eastAsia" w:ascii="宋体" w:hAnsi="宋体" w:eastAsia="宋体" w:cs="Times New Roman"/>
                <w:color w:val="000000"/>
              </w:rPr>
            </w:pPr>
            <w:r>
              <w:rPr>
                <w:rFonts w:ascii="宋体" w:hAnsi="宋体" w:eastAsia="宋体" w:cs="Times New Roman"/>
                <w:color w:val="000000"/>
              </w:rPr>
              <w:t>情景名称</w:t>
            </w:r>
          </w:p>
        </w:tc>
        <w:tc>
          <w:tcPr>
            <w:tcW w:w="1700" w:type="pct"/>
            <w:tcBorders>
              <w:top w:val="single" w:color="000000" w:sz="12" w:space="0"/>
              <w:bottom w:val="single" w:color="000000" w:sz="4" w:space="0"/>
            </w:tcBorders>
            <w:shd w:val="clear" w:color="auto" w:fill="FFFFFF"/>
            <w:vAlign w:val="center"/>
          </w:tcPr>
          <w:p w14:paraId="73ADCA4F">
            <w:pPr>
              <w:pStyle w:val="23"/>
              <w:jc w:val="center"/>
              <w:rPr>
                <w:rFonts w:hint="eastAsia" w:ascii="宋体" w:hAnsi="宋体" w:eastAsia="宋体" w:cs="Times New Roman"/>
                <w:color w:val="000000"/>
              </w:rPr>
            </w:pPr>
            <w:r>
              <w:rPr>
                <w:rFonts w:ascii="宋体" w:hAnsi="宋体" w:eastAsia="宋体" w:cs="Times New Roman"/>
                <w:color w:val="000000"/>
              </w:rPr>
              <w:t>核心设定</w:t>
            </w:r>
          </w:p>
        </w:tc>
        <w:tc>
          <w:tcPr>
            <w:tcW w:w="2095" w:type="pct"/>
            <w:tcBorders>
              <w:top w:val="single" w:color="000000" w:sz="12" w:space="0"/>
              <w:bottom w:val="single" w:color="000000" w:sz="4" w:space="0"/>
            </w:tcBorders>
            <w:shd w:val="clear" w:color="auto" w:fill="FFFFFF"/>
            <w:vAlign w:val="center"/>
          </w:tcPr>
          <w:p w14:paraId="2248D635">
            <w:pPr>
              <w:pStyle w:val="23"/>
              <w:jc w:val="center"/>
              <w:rPr>
                <w:rFonts w:hint="eastAsia" w:ascii="宋体" w:hAnsi="宋体" w:eastAsia="宋体" w:cs="Times New Roman"/>
                <w:color w:val="000000"/>
              </w:rPr>
            </w:pPr>
            <w:r>
              <w:rPr>
                <w:rFonts w:ascii="宋体" w:hAnsi="宋体" w:eastAsia="宋体" w:cs="Times New Roman"/>
                <w:color w:val="000000"/>
              </w:rPr>
              <w:t>政策含义</w:t>
            </w:r>
          </w:p>
        </w:tc>
      </w:tr>
      <w:tr w14:paraId="2096A3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jc w:val="center"/>
        </w:trPr>
        <w:tc>
          <w:tcPr>
            <w:tcW w:w="354" w:type="pct"/>
            <w:tcBorders>
              <w:top w:val="single" w:color="000000" w:sz="4" w:space="0"/>
            </w:tcBorders>
            <w:shd w:val="clear" w:color="auto" w:fill="FFFFFF"/>
            <w:vAlign w:val="center"/>
          </w:tcPr>
          <w:p w14:paraId="00A71E8B">
            <w:pPr>
              <w:pStyle w:val="23"/>
              <w:jc w:val="center"/>
              <w:rPr>
                <w:rFonts w:hint="eastAsia" w:ascii="宋体" w:hAnsi="宋体" w:eastAsia="宋体" w:cs="Times New Roman"/>
                <w:color w:val="000000"/>
              </w:rPr>
            </w:pPr>
            <w:r>
              <w:rPr>
                <w:rFonts w:ascii="宋体" w:hAnsi="宋体" w:eastAsia="宋体" w:cs="Times New Roman"/>
                <w:color w:val="000000"/>
              </w:rPr>
              <w:t>S0</w:t>
            </w:r>
          </w:p>
        </w:tc>
        <w:tc>
          <w:tcPr>
            <w:tcW w:w="850" w:type="pct"/>
            <w:tcBorders>
              <w:top w:val="single" w:color="000000" w:sz="4" w:space="0"/>
            </w:tcBorders>
            <w:shd w:val="clear" w:color="auto" w:fill="FFFFFF"/>
            <w:vAlign w:val="center"/>
          </w:tcPr>
          <w:p w14:paraId="1EE32C77">
            <w:pPr>
              <w:pStyle w:val="23"/>
              <w:jc w:val="center"/>
              <w:rPr>
                <w:rFonts w:hint="eastAsia" w:ascii="宋体" w:hAnsi="宋体" w:eastAsia="宋体" w:cs="Times New Roman"/>
                <w:color w:val="000000"/>
              </w:rPr>
            </w:pPr>
            <w:r>
              <w:rPr>
                <w:rFonts w:ascii="宋体" w:hAnsi="宋体" w:eastAsia="宋体" w:cs="Times New Roman"/>
                <w:color w:val="000000"/>
              </w:rPr>
              <w:t>静态基准情景</w:t>
            </w:r>
          </w:p>
        </w:tc>
        <w:tc>
          <w:tcPr>
            <w:tcW w:w="1700" w:type="pct"/>
            <w:tcBorders>
              <w:top w:val="single" w:color="000000" w:sz="4" w:space="0"/>
            </w:tcBorders>
            <w:shd w:val="clear" w:color="auto" w:fill="FFFFFF"/>
            <w:vAlign w:val="center"/>
          </w:tcPr>
          <w:p w14:paraId="6C482BAC">
            <w:pPr>
              <w:pStyle w:val="23"/>
              <w:jc w:val="center"/>
              <w:rPr>
                <w:rFonts w:hint="eastAsia" w:ascii="宋体" w:hAnsi="宋体" w:eastAsia="宋体" w:cs="Times New Roman"/>
                <w:color w:val="000000"/>
              </w:rPr>
            </w:pPr>
            <w:r>
              <w:rPr>
                <w:rFonts w:ascii="宋体" w:hAnsi="宋体" w:eastAsia="宋体" w:cs="Times New Roman"/>
                <w:color w:val="000000"/>
              </w:rPr>
              <w:t>仅纳入附录A的CBA静态参数；不叠加任何反弹效应；减排量 = AEI（理论工程减排量）</w:t>
            </w:r>
          </w:p>
        </w:tc>
        <w:tc>
          <w:tcPr>
            <w:tcW w:w="2095" w:type="pct"/>
            <w:tcBorders>
              <w:top w:val="single" w:color="000000" w:sz="4" w:space="0"/>
            </w:tcBorders>
            <w:shd w:val="clear" w:color="auto" w:fill="FFFFFF"/>
            <w:vAlign w:val="center"/>
          </w:tcPr>
          <w:p w14:paraId="2A0A341E">
            <w:pPr>
              <w:pStyle w:val="23"/>
              <w:jc w:val="center"/>
              <w:rPr>
                <w:rFonts w:hint="eastAsia" w:ascii="宋体" w:hAnsi="宋体" w:eastAsia="宋体" w:cs="Times New Roman"/>
                <w:color w:val="000000"/>
              </w:rPr>
            </w:pPr>
            <w:r>
              <w:rPr>
                <w:rFonts w:ascii="宋体" w:hAnsi="宋体" w:eastAsia="宋体" w:cs="Times New Roman"/>
                <w:color w:val="000000"/>
              </w:rPr>
              <w:t>基于本研究独立核算的本土化综合参数（见附录A）所构建的静态 CBA 基准。该情景在方法学核算逻辑上借鉴了 Tan-Soo 等（2024）的静态框架，但采用独立的参数基线，作为本研究后续叠加反弹效应的内部参照系。</w:t>
            </w:r>
          </w:p>
        </w:tc>
      </w:tr>
      <w:tr w14:paraId="248AF4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jc w:val="center"/>
        </w:trPr>
        <w:tc>
          <w:tcPr>
            <w:tcW w:w="354" w:type="pct"/>
            <w:shd w:val="clear" w:color="auto" w:fill="FFFFFF"/>
            <w:vAlign w:val="center"/>
          </w:tcPr>
          <w:p w14:paraId="24B377D4">
            <w:pPr>
              <w:pStyle w:val="23"/>
              <w:jc w:val="center"/>
              <w:rPr>
                <w:rFonts w:hint="eastAsia" w:ascii="宋体" w:hAnsi="宋体" w:eastAsia="宋体" w:cs="Times New Roman"/>
                <w:color w:val="000000"/>
              </w:rPr>
            </w:pPr>
            <w:r>
              <w:rPr>
                <w:rFonts w:ascii="宋体" w:hAnsi="宋体" w:eastAsia="宋体" w:cs="Times New Roman"/>
                <w:color w:val="000000"/>
              </w:rPr>
              <w:t>S1</w:t>
            </w:r>
          </w:p>
        </w:tc>
        <w:tc>
          <w:tcPr>
            <w:tcW w:w="850" w:type="pct"/>
            <w:shd w:val="clear" w:color="auto" w:fill="FFFFFF"/>
            <w:vAlign w:val="center"/>
          </w:tcPr>
          <w:p w14:paraId="59339430">
            <w:pPr>
              <w:pStyle w:val="23"/>
              <w:jc w:val="center"/>
              <w:rPr>
                <w:rFonts w:hint="eastAsia" w:ascii="宋体" w:hAnsi="宋体" w:eastAsia="宋体" w:cs="Times New Roman"/>
                <w:color w:val="000000"/>
              </w:rPr>
            </w:pPr>
            <w:r>
              <w:rPr>
                <w:rFonts w:ascii="宋体" w:hAnsi="宋体" w:eastAsia="宋体" w:cs="Times New Roman"/>
                <w:color w:val="000000"/>
              </w:rPr>
              <w:t>经济反弹情景 （Economic Rebound）</w:t>
            </w:r>
          </w:p>
        </w:tc>
        <w:tc>
          <w:tcPr>
            <w:tcW w:w="1700" w:type="pct"/>
            <w:shd w:val="clear" w:color="auto" w:fill="FFFFFF"/>
            <w:vAlign w:val="center"/>
          </w:tcPr>
          <w:p w14:paraId="1CAEA0B9">
            <w:pPr>
              <w:pStyle w:val="23"/>
              <w:jc w:val="center"/>
              <w:rPr>
                <w:rFonts w:hint="eastAsia" w:ascii="宋体" w:hAnsi="宋体" w:eastAsia="宋体" w:cs="Times New Roman"/>
                <w:color w:val="000000"/>
              </w:rPr>
            </w:pPr>
            <w:r>
              <w:rPr>
                <w:rFonts w:ascii="宋体" w:hAnsi="宋体" w:eastAsia="宋体" w:cs="Times New Roman"/>
                <w:color w:val="000000"/>
              </w:rPr>
              <w:t>在S0基础上叠加经济反弹：行为节余资金按</w:t>
            </w:r>
            <w:r>
              <w:rPr>
                <w:rFonts w:hint="eastAsia" w:ascii="宋体" w:hAnsi="宋体" w:eastAsia="宋体" w:cs="Times New Roman"/>
                <w:color w:val="000000"/>
                <w:lang w:val="en-US" w:eastAsia="zh-CN"/>
              </w:rPr>
              <w:t>边际消费倾向</w:t>
            </w:r>
            <w:r>
              <w:rPr>
                <w:rFonts w:ascii="宋体" w:hAnsi="宋体" w:eastAsia="宋体" w:cs="Times New Roman"/>
                <w:color w:val="000000"/>
              </w:rPr>
              <w:t>转移至跨界高碳消费，再乘以居民消费碳强度系数（CI = 0.52 kgCO</w:t>
            </w:r>
            <w:r>
              <w:rPr>
                <w:rFonts w:ascii="Cambria Math" w:hAnsi="Cambria Math" w:eastAsia="宋体" w:cs="Cambria Math"/>
                <w:color w:val="000000"/>
              </w:rPr>
              <w:t>₂</w:t>
            </w:r>
            <w:r>
              <w:rPr>
                <w:rFonts w:ascii="宋体" w:hAnsi="宋体" w:eastAsia="宋体" w:cs="Times New Roman"/>
                <w:color w:val="000000"/>
              </w:rPr>
              <w:t>e/元）计算额外碳排放</w:t>
            </w:r>
          </w:p>
        </w:tc>
        <w:tc>
          <w:tcPr>
            <w:tcW w:w="2095" w:type="pct"/>
            <w:shd w:val="clear" w:color="auto" w:fill="FFFFFF"/>
            <w:vAlign w:val="center"/>
          </w:tcPr>
          <w:p w14:paraId="6AF6BDBF">
            <w:pPr>
              <w:pStyle w:val="23"/>
              <w:jc w:val="center"/>
              <w:rPr>
                <w:rFonts w:hint="eastAsia" w:ascii="宋体" w:hAnsi="宋体" w:eastAsia="宋体" w:cs="Times New Roman"/>
                <w:color w:val="000000"/>
                <w:lang w:eastAsia="zh-CN"/>
              </w:rPr>
            </w:pPr>
            <w:r>
              <w:rPr>
                <w:rFonts w:ascii="宋体" w:hAnsi="宋体" w:eastAsia="宋体" w:cs="Times New Roman"/>
                <w:color w:val="000000"/>
              </w:rPr>
              <w:t>量化</w:t>
            </w:r>
            <w:r>
              <w:rPr>
                <w:rFonts w:hint="eastAsia" w:ascii="宋体" w:hAnsi="宋体" w:eastAsia="宋体" w:cs="Times New Roman"/>
                <w:color w:val="000000"/>
                <w:lang w:eastAsia="zh-CN"/>
              </w:rPr>
              <w:t>“</w:t>
            </w:r>
            <w:r>
              <w:rPr>
                <w:rFonts w:ascii="宋体" w:hAnsi="宋体" w:eastAsia="宋体" w:cs="Times New Roman"/>
                <w:color w:val="000000"/>
              </w:rPr>
              <w:t>省钱→多排</w:t>
            </w:r>
            <w:r>
              <w:rPr>
                <w:rFonts w:hint="eastAsia" w:ascii="宋体" w:hAnsi="宋体" w:eastAsia="宋体" w:cs="Times New Roman"/>
                <w:color w:val="000000"/>
                <w:lang w:eastAsia="zh-CN"/>
              </w:rPr>
              <w:t>”</w:t>
            </w:r>
            <w:r>
              <w:rPr>
                <w:rFonts w:ascii="宋体" w:hAnsi="宋体" w:eastAsia="宋体" w:cs="Times New Roman"/>
                <w:color w:val="000000"/>
              </w:rPr>
              <w:t>的预算约束放松效应；识别反弹后净减排量由正转负的</w:t>
            </w:r>
            <w:r>
              <w:rPr>
                <w:rFonts w:hint="eastAsia" w:ascii="宋体" w:hAnsi="宋体" w:eastAsia="宋体" w:cs="Times New Roman"/>
                <w:color w:val="000000"/>
                <w:lang w:eastAsia="zh-CN"/>
              </w:rPr>
              <w:t>“</w:t>
            </w:r>
            <w:r>
              <w:rPr>
                <w:rFonts w:ascii="宋体" w:hAnsi="宋体" w:eastAsia="宋体" w:cs="Times New Roman"/>
                <w:color w:val="000000"/>
              </w:rPr>
              <w:t>气候陷阱</w:t>
            </w:r>
            <w:r>
              <w:rPr>
                <w:rFonts w:hint="eastAsia" w:ascii="宋体" w:hAnsi="宋体" w:eastAsia="宋体" w:cs="Times New Roman"/>
                <w:color w:val="000000"/>
                <w:lang w:eastAsia="zh-CN"/>
              </w:rPr>
              <w:t>”</w:t>
            </w:r>
            <w:r>
              <w:rPr>
                <w:rFonts w:ascii="宋体" w:hAnsi="宋体" w:eastAsia="宋体" w:cs="Times New Roman"/>
                <w:color w:val="000000"/>
              </w:rPr>
              <w:t>行为</w:t>
            </w:r>
            <w:r>
              <w:rPr>
                <w:rFonts w:hint="eastAsia" w:ascii="宋体" w:hAnsi="宋体" w:eastAsia="宋体" w:cs="Times New Roman"/>
                <w:color w:val="000000"/>
                <w:lang w:eastAsia="zh-CN"/>
              </w:rPr>
              <w:t>。</w:t>
            </w:r>
          </w:p>
        </w:tc>
      </w:tr>
      <w:tr w14:paraId="363640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jc w:val="center"/>
        </w:trPr>
        <w:tc>
          <w:tcPr>
            <w:tcW w:w="354" w:type="pct"/>
            <w:tcBorders>
              <w:bottom w:val="single" w:color="000000" w:sz="12" w:space="0"/>
            </w:tcBorders>
            <w:shd w:val="clear" w:color="auto" w:fill="FFFFFF"/>
            <w:vAlign w:val="center"/>
          </w:tcPr>
          <w:p w14:paraId="23284045">
            <w:pPr>
              <w:pStyle w:val="23"/>
              <w:jc w:val="center"/>
              <w:rPr>
                <w:rFonts w:hint="eastAsia" w:ascii="宋体" w:hAnsi="宋体" w:eastAsia="宋体" w:cs="Times New Roman"/>
                <w:color w:val="000000"/>
              </w:rPr>
            </w:pPr>
            <w:r>
              <w:rPr>
                <w:rFonts w:ascii="宋体" w:hAnsi="宋体" w:eastAsia="宋体" w:cs="Times New Roman"/>
                <w:color w:val="000000"/>
              </w:rPr>
              <w:t>S2</w:t>
            </w:r>
          </w:p>
        </w:tc>
        <w:tc>
          <w:tcPr>
            <w:tcW w:w="850" w:type="pct"/>
            <w:tcBorders>
              <w:bottom w:val="single" w:color="000000" w:sz="12" w:space="0"/>
            </w:tcBorders>
            <w:shd w:val="clear" w:color="auto" w:fill="FFFFFF"/>
            <w:vAlign w:val="center"/>
          </w:tcPr>
          <w:p w14:paraId="5E652842">
            <w:pPr>
              <w:pStyle w:val="23"/>
              <w:jc w:val="center"/>
              <w:rPr>
                <w:rFonts w:hint="default" w:ascii="宋体" w:hAnsi="宋体" w:eastAsia="宋体" w:cs="Times New Roman"/>
                <w:color w:val="000000"/>
                <w:lang w:val="en-US" w:eastAsia="zh-CN"/>
              </w:rPr>
            </w:pPr>
            <w:r>
              <w:rPr>
                <w:rFonts w:hint="eastAsia" w:ascii="宋体" w:hAnsi="宋体" w:eastAsia="宋体" w:cs="Times New Roman"/>
                <w:color w:val="000000"/>
                <w:lang w:val="en-US" w:eastAsia="zh-CN"/>
              </w:rPr>
              <w:t>叠加全动态反弹</w:t>
            </w:r>
          </w:p>
        </w:tc>
        <w:tc>
          <w:tcPr>
            <w:tcW w:w="1700" w:type="pct"/>
            <w:tcBorders>
              <w:bottom w:val="single" w:color="000000" w:sz="12" w:space="0"/>
            </w:tcBorders>
            <w:shd w:val="clear" w:color="auto" w:fill="FFFFFF"/>
            <w:vAlign w:val="center"/>
          </w:tcPr>
          <w:p w14:paraId="3D23D635">
            <w:pPr>
              <w:pStyle w:val="23"/>
              <w:jc w:val="center"/>
              <w:rPr>
                <w:rFonts w:hint="eastAsia" w:ascii="宋体" w:hAnsi="宋体" w:eastAsia="宋体" w:cs="Times New Roman"/>
                <w:color w:val="000000"/>
              </w:rPr>
            </w:pPr>
            <w:r>
              <w:rPr>
                <w:rFonts w:ascii="宋体" w:hAnsi="宋体" w:eastAsia="宋体" w:cs="Times New Roman"/>
                <w:color w:val="000000"/>
              </w:rPr>
              <w:t>在 S1 基础上，进一步叠加基于横截面权重的马尔可夫</w:t>
            </w:r>
            <w:r>
              <w:rPr>
                <w:rFonts w:hint="eastAsia" w:ascii="宋体" w:hAnsi="宋体" w:eastAsia="宋体" w:cs="Times New Roman"/>
                <w:color w:val="000000"/>
                <w:lang w:val="en-US" w:eastAsia="zh-CN"/>
              </w:rPr>
              <w:t>行为转移心理</w:t>
            </w:r>
            <w:r>
              <w:rPr>
                <w:rFonts w:ascii="宋体" w:hAnsi="宋体" w:eastAsia="宋体" w:cs="Times New Roman"/>
                <w:color w:val="000000"/>
              </w:rPr>
              <w:t>反弹：评估当行为节点被强行打破稳态时引发的跨界溢出。</w:t>
            </w:r>
          </w:p>
        </w:tc>
        <w:tc>
          <w:tcPr>
            <w:tcW w:w="2095" w:type="pct"/>
            <w:tcBorders>
              <w:bottom w:val="single" w:color="000000" w:sz="12" w:space="0"/>
            </w:tcBorders>
            <w:shd w:val="clear" w:color="auto" w:fill="FFFFFF"/>
            <w:vAlign w:val="center"/>
          </w:tcPr>
          <w:p w14:paraId="74687B68">
            <w:pPr>
              <w:pStyle w:val="23"/>
              <w:jc w:val="center"/>
              <w:rPr>
                <w:rFonts w:hint="eastAsia" w:ascii="宋体" w:hAnsi="宋体" w:eastAsia="宋体" w:cs="Times New Roman"/>
                <w:color w:val="000000"/>
                <w:lang w:eastAsia="zh-CN"/>
              </w:rPr>
            </w:pPr>
            <w:r>
              <w:rPr>
                <w:rFonts w:ascii="宋体" w:hAnsi="宋体" w:eastAsia="宋体" w:cs="Times New Roman"/>
                <w:color w:val="000000"/>
              </w:rPr>
              <w:t>用于呈现</w:t>
            </w:r>
            <w:r>
              <w:rPr>
                <w:rFonts w:hint="eastAsia" w:ascii="宋体" w:hAnsi="宋体" w:eastAsia="宋体" w:cs="Times New Roman"/>
                <w:color w:val="000000"/>
                <w:lang w:val="en-US" w:eastAsia="zh-CN"/>
              </w:rPr>
              <w:t>所有反弹效应</w:t>
            </w:r>
            <w:r>
              <w:rPr>
                <w:rFonts w:ascii="宋体" w:hAnsi="宋体" w:eastAsia="宋体" w:cs="Times New Roman"/>
                <w:color w:val="000000"/>
              </w:rPr>
              <w:t>冲击下的系统最坏边界</w:t>
            </w:r>
            <w:r>
              <w:rPr>
                <w:rFonts w:hint="eastAsia" w:ascii="宋体" w:hAnsi="宋体" w:eastAsia="宋体" w:cs="Times New Roman"/>
                <w:color w:val="000000"/>
                <w:lang w:eastAsia="zh-CN"/>
              </w:rPr>
              <w:t>。</w:t>
            </w:r>
          </w:p>
        </w:tc>
      </w:tr>
    </w:tbl>
    <w:p w14:paraId="20C58367">
      <w:pPr>
        <w:widowControl/>
        <w:tabs>
          <w:tab w:val="left" w:pos="377"/>
        </w:tabs>
        <w:ind w:firstLine="0" w:firstLineChars="0"/>
        <w:rPr>
          <w:rFonts w:cs="Times New Roman"/>
          <w:i/>
          <w:iCs/>
          <w:kern w:val="0"/>
          <w:sz w:val="16"/>
          <w:szCs w:val="16"/>
        </w:rPr>
      </w:pPr>
      <w:r>
        <w:rPr>
          <w:rFonts w:hint="eastAsia" w:cs="Times New Roman"/>
          <w:i/>
          <w:iCs/>
          <w:kern w:val="0"/>
          <w:sz w:val="16"/>
          <w:szCs w:val="16"/>
          <w:lang w:val="en-US" w:eastAsia="zh-CN"/>
        </w:rPr>
        <w:t>注：</w:t>
      </w:r>
      <w:r>
        <w:rPr>
          <w:rFonts w:hint="eastAsia" w:cs="Times New Roman"/>
          <w:i/>
          <w:iCs/>
          <w:kern w:val="0"/>
          <w:sz w:val="16"/>
          <w:szCs w:val="16"/>
        </w:rPr>
        <w:t>1)Bootstrap 抽样次数为 5000 次；置信区间（CI）不包含 0 代表效应显著。</w:t>
      </w:r>
    </w:p>
    <w:p w14:paraId="4AD65625">
      <w:pPr>
        <w:widowControl/>
        <w:tabs>
          <w:tab w:val="left" w:pos="377"/>
        </w:tabs>
        <w:ind w:firstLine="0" w:firstLineChars="0"/>
        <w:rPr>
          <w:rFonts w:cs="Times New Roman"/>
          <w:kern w:val="0"/>
          <w:szCs w:val="24"/>
        </w:rPr>
      </w:pPr>
    </w:p>
    <w:p w14:paraId="00CFC853">
      <w:pPr>
        <w:pStyle w:val="3"/>
        <w:bidi w:val="0"/>
      </w:pPr>
      <w:bookmarkStart w:id="27" w:name="_Toc9419"/>
      <w:r>
        <w:rPr>
          <w:rFonts w:hint="eastAsia"/>
          <w:lang w:eastAsia="zh-CN"/>
        </w:rPr>
        <w:t>4</w:t>
      </w:r>
      <w:r>
        <w:t>.2  主客观阻力的交叉验证与参数校准</w:t>
      </w:r>
      <w:bookmarkEnd w:id="27"/>
    </w:p>
    <w:p w14:paraId="5258D9B3">
      <w:pPr>
        <w:ind w:firstLine="480"/>
        <w:rPr>
          <w:rFonts w:hint="eastAsia" w:cs="Times New Roman"/>
        </w:rPr>
      </w:pPr>
      <w:r>
        <w:rPr>
          <w:rFonts w:hint="eastAsia" w:cs="Times New Roman"/>
        </w:rPr>
        <w:t>本节对三类反弹效应的存在性进行独立路径收敛验证，以确保后续CBA动态修正所嵌入的反弹参数具有主客观双重经验支撑，该验证思路在方法论上与Tan-Soo等人（2024）以李克特量表校验CBA非经济成本参数的做法对称。</w:t>
      </w:r>
    </w:p>
    <w:p w14:paraId="554163C1">
      <w:pPr>
        <w:ind w:firstLine="480"/>
        <w:rPr>
          <w:rFonts w:hint="default" w:eastAsia="宋体" w:cs="Times New Roman"/>
          <w:lang w:val="en-US" w:eastAsia="zh-CN"/>
        </w:rPr>
      </w:pPr>
      <w:r>
        <w:rPr>
          <w:rFonts w:hint="eastAsia" w:cs="Times New Roman"/>
          <w:lang w:val="en-US" w:eastAsia="zh-CN"/>
        </w:rPr>
        <w:t>以下反弹效应的详细客观模型构建见附录D</w:t>
      </w:r>
    </w:p>
    <w:p w14:paraId="1CDF61B2">
      <w:pPr>
        <w:ind w:firstLine="480"/>
        <w:rPr>
          <w:rFonts w:hint="eastAsia" w:cs="Times New Roman"/>
        </w:rPr>
      </w:pPr>
      <w:r>
        <w:rPr>
          <w:rFonts w:hint="eastAsia" w:cs="Times New Roman"/>
          <w:lang w:eastAsia="zh-CN"/>
        </w:rPr>
        <w:t>（</w:t>
      </w:r>
      <w:r>
        <w:rPr>
          <w:rFonts w:hint="eastAsia" w:cs="Times New Roman"/>
          <w:lang w:val="en-US" w:eastAsia="zh-CN"/>
        </w:rPr>
        <w:t>1</w:t>
      </w:r>
      <w:r>
        <w:rPr>
          <w:rFonts w:hint="eastAsia" w:cs="Times New Roman"/>
          <w:lang w:eastAsia="zh-CN"/>
        </w:rPr>
        <w:t>）</w:t>
      </w:r>
      <w:r>
        <w:rPr>
          <w:rFonts w:hint="eastAsia" w:cs="Times New Roman"/>
        </w:rPr>
        <w:t>直接反弹：主观路径提取Q37/Q38问卷中受访者对六种行为使用强度变化的意愿均值。两列排序的Spearman相关系数为0.943（p=0.005），主客观路径高度收敛，直接反弹存在性得到独立验证（见图</w:t>
      </w:r>
      <w:r>
        <w:rPr>
          <w:rFonts w:hint="eastAsia" w:cs="Times New Roman"/>
          <w:lang w:val="en-US" w:eastAsia="zh-CN"/>
        </w:rPr>
        <w:t>4-1</w:t>
      </w:r>
      <w:r>
        <w:rPr>
          <w:rFonts w:hint="eastAsia" w:cs="Times New Roman"/>
        </w:rPr>
        <w:t xml:space="preserve"> Panel A</w:t>
      </w:r>
      <w:r>
        <w:rPr>
          <w:rFonts w:hint="eastAsia" w:cs="Times New Roman"/>
          <w:lang w:eastAsia="zh-CN"/>
        </w:rPr>
        <w:t>、</w:t>
      </w:r>
      <w:r>
        <w:rPr>
          <w:rFonts w:hint="eastAsia" w:cs="Times New Roman"/>
        </w:rPr>
        <w:t>B）。</w:t>
      </w:r>
    </w:p>
    <w:p w14:paraId="121DE720">
      <w:pPr>
        <w:ind w:firstLine="480"/>
        <w:rPr>
          <w:rFonts w:hint="eastAsia" w:cs="Times New Roman"/>
        </w:rPr>
      </w:pPr>
      <w:r>
        <w:rPr>
          <w:rFonts w:hint="eastAsia" w:cs="Times New Roman"/>
          <w:lang w:eastAsia="zh-CN"/>
        </w:rPr>
        <w:t>（</w:t>
      </w:r>
      <w:r>
        <w:rPr>
          <w:rFonts w:hint="eastAsia" w:cs="Times New Roman"/>
          <w:lang w:val="en-US" w:eastAsia="zh-CN"/>
        </w:rPr>
        <w:t>2</w:t>
      </w:r>
      <w:r>
        <w:rPr>
          <w:rFonts w:hint="eastAsia" w:cs="Times New Roman"/>
          <w:lang w:eastAsia="zh-CN"/>
        </w:rPr>
        <w:t>）</w:t>
      </w:r>
      <w:r>
        <w:rPr>
          <w:rFonts w:hint="eastAsia" w:cs="Times New Roman"/>
        </w:rPr>
        <w:t>经济反弹：主观路径以情境实验中受访者节余消费意向及流向的碳强度加权分值为序。Spearman相关系数同为0.943（p=0.005），验证成立（见图</w:t>
      </w:r>
      <w:r>
        <w:rPr>
          <w:rFonts w:hint="eastAsia" w:cs="Times New Roman"/>
          <w:lang w:val="en-US" w:eastAsia="zh-CN"/>
        </w:rPr>
        <w:t>4-1</w:t>
      </w:r>
      <w:r>
        <w:rPr>
          <w:rFonts w:hint="eastAsia" w:cs="Times New Roman"/>
        </w:rPr>
        <w:t xml:space="preserve"> Panel C）。</w:t>
      </w:r>
    </w:p>
    <w:p w14:paraId="7BE39285">
      <w:pPr>
        <w:ind w:firstLine="480"/>
        <w:rPr>
          <w:rFonts w:hint="eastAsia" w:cs="Times New Roman"/>
        </w:rPr>
      </w:pPr>
      <w:r>
        <w:rPr>
          <w:rFonts w:hint="eastAsia" w:cs="Times New Roman"/>
          <w:lang w:eastAsia="zh-CN"/>
        </w:rPr>
        <w:t>（</w:t>
      </w:r>
      <w:r>
        <w:rPr>
          <w:rFonts w:hint="eastAsia" w:cs="Times New Roman"/>
          <w:lang w:val="en-US" w:eastAsia="zh-CN"/>
        </w:rPr>
        <w:t>3</w:t>
      </w:r>
      <w:r>
        <w:rPr>
          <w:rFonts w:hint="eastAsia" w:cs="Times New Roman"/>
          <w:lang w:eastAsia="zh-CN"/>
        </w:rPr>
        <w:t>）</w:t>
      </w:r>
      <w:r>
        <w:rPr>
          <w:rFonts w:hint="eastAsia" w:cs="Times New Roman"/>
        </w:rPr>
        <w:t>心理反弹：以NEP量表中位数将样本分为深绿组与浅绿组，对高NPC行为情境下的权利感补偿倾向均值做Mann-Whitney检验，结果为U=3672，p=0.657。两组均值极为接近（深绿M=0.332</w:t>
      </w:r>
      <w:r>
        <w:rPr>
          <w:rFonts w:hint="eastAsia" w:cs="Times New Roman"/>
          <w:lang w:eastAsia="zh-CN"/>
        </w:rPr>
        <w:t>、</w:t>
      </w:r>
      <w:r>
        <w:rPr>
          <w:rFonts w:hint="eastAsia" w:cs="Times New Roman"/>
        </w:rPr>
        <w:t>浅绿M=0.323），说明约33%的补偿倾向在两类群体中普遍存在，心理反弹并非深绿人群的专属特征，而是跨环保意识层级的普遍行为规律（见图</w:t>
      </w:r>
      <w:r>
        <w:rPr>
          <w:rFonts w:hint="eastAsia" w:cs="Times New Roman"/>
          <w:lang w:val="en-US" w:eastAsia="zh-CN"/>
        </w:rPr>
        <w:t>4-1</w:t>
      </w:r>
      <w:r>
        <w:rPr>
          <w:rFonts w:hint="eastAsia" w:cs="Times New Roman"/>
        </w:rPr>
        <w:t xml:space="preserve"> Panel D）。该发现为后续</w:t>
      </w:r>
      <w:r>
        <w:rPr>
          <w:rFonts w:hint="eastAsia" w:cs="Times New Roman"/>
          <w:highlight w:val="yellow"/>
        </w:rPr>
        <w:t>4.4</w:t>
      </w:r>
      <w:r>
        <w:rPr>
          <w:rFonts w:hint="eastAsia" w:cs="Times New Roman"/>
        </w:rPr>
        <w:t>节"掩蔽效应"中的组内异质性分析提供了前置存在性依据。</w:t>
      </w:r>
    </w:p>
    <w:p w14:paraId="21D6027E">
      <w:pPr>
        <w:ind w:left="0" w:leftChars="0" w:firstLine="0" w:firstLineChars="0"/>
        <w:rPr>
          <w:rFonts w:hint="eastAsia" w:eastAsia="宋体" w:cs="Times New Roman"/>
          <w:lang w:eastAsia="zh-CN"/>
        </w:rPr>
      </w:pPr>
      <w:r>
        <w:rPr>
          <w:rFonts w:hint="eastAsia" w:eastAsia="宋体" w:cs="Times New Roman"/>
          <w:lang w:eastAsia="zh-CN"/>
        </w:rPr>
        <w:drawing>
          <wp:inline distT="0" distB="0" distL="114300" distR="114300">
            <wp:extent cx="5480050" cy="4730115"/>
            <wp:effectExtent l="0" t="0" r="6350" b="3810"/>
            <wp:docPr id="20" name="图片 20" descr="rebound_main_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rebound_main_figure"/>
                    <pic:cNvPicPr>
                      <a:picLocks noChangeAspect="1"/>
                    </pic:cNvPicPr>
                  </pic:nvPicPr>
                  <pic:blipFill>
                    <a:blip r:embed="rId12"/>
                    <a:stretch>
                      <a:fillRect/>
                    </a:stretch>
                  </pic:blipFill>
                  <pic:spPr>
                    <a:xfrm>
                      <a:off x="0" y="0"/>
                      <a:ext cx="5480050" cy="4730115"/>
                    </a:xfrm>
                    <a:prstGeom prst="rect">
                      <a:avLst/>
                    </a:prstGeom>
                  </pic:spPr>
                </pic:pic>
              </a:graphicData>
            </a:graphic>
          </wp:inline>
        </w:drawing>
      </w:r>
    </w:p>
    <w:p w14:paraId="200D0F37">
      <w:pPr>
        <w:tabs>
          <w:tab w:val="left" w:pos="377"/>
        </w:tabs>
        <w:ind w:firstLine="0" w:firstLineChars="0"/>
        <w:jc w:val="center"/>
        <w:rPr>
          <w:rFonts w:eastAsia="黑体" w:cs="Times New Roman"/>
        </w:rPr>
      </w:pPr>
      <w:r>
        <w:rPr>
          <w:rFonts w:hint="eastAsia" w:eastAsia="黑体"/>
        </w:rPr>
        <w:t>图</w:t>
      </w:r>
      <w:r>
        <w:rPr>
          <w:rFonts w:hint="eastAsia" w:eastAsia="黑体"/>
          <w:lang w:eastAsia="zh-CN"/>
        </w:rPr>
        <w:t>4</w:t>
      </w:r>
      <w:r>
        <w:rPr>
          <w:rFonts w:hint="eastAsia" w:eastAsia="黑体"/>
        </w:rPr>
        <w:t>-1</w:t>
      </w:r>
      <w:r>
        <w:rPr>
          <w:rFonts w:eastAsia="黑体" w:cs="Times New Roman"/>
        </w:rPr>
        <w:t xml:space="preserve"> </w:t>
      </w:r>
      <w:r>
        <w:rPr>
          <w:rFonts w:hint="eastAsia" w:eastAsia="黑体" w:cs="Times New Roman"/>
        </w:rPr>
        <w:t>主观感知难度与客观</w:t>
      </w:r>
      <w:r>
        <w:rPr>
          <w:rFonts w:hint="eastAsia" w:eastAsia="黑体" w:cs="Times New Roman"/>
          <w:lang w:val="en-US" w:eastAsia="zh-CN"/>
        </w:rPr>
        <w:t>反弹强度</w:t>
      </w:r>
      <w:r>
        <w:rPr>
          <w:rFonts w:hint="eastAsia" w:eastAsia="黑体" w:cs="Times New Roman"/>
        </w:rPr>
        <w:t>的交叉验证比较</w:t>
      </w:r>
    </w:p>
    <w:p w14:paraId="671F110B">
      <w:pPr>
        <w:ind w:firstLine="0" w:firstLineChars="0"/>
        <w:jc w:val="center"/>
        <w:rPr>
          <w:rFonts w:eastAsia="黑体" w:cs="Times New Roman"/>
          <w:b/>
          <w:bCs/>
        </w:rPr>
      </w:pPr>
      <w:r>
        <w:rPr>
          <w:rFonts w:hint="eastAsia" w:eastAsia="黑体" w:cs="Times New Roman"/>
          <w:b/>
          <w:bCs/>
        </w:rPr>
        <w:t xml:space="preserve">Figure </w:t>
      </w:r>
      <w:r>
        <w:rPr>
          <w:rFonts w:hint="eastAsia" w:eastAsia="黑体" w:cs="Times New Roman"/>
          <w:b/>
          <w:bCs/>
          <w:lang w:eastAsia="zh-CN"/>
        </w:rPr>
        <w:t>4</w:t>
      </w:r>
      <w:r>
        <w:rPr>
          <w:rFonts w:hint="eastAsia" w:eastAsia="黑体" w:cs="Times New Roman"/>
          <w:b/>
          <w:bCs/>
        </w:rPr>
        <w:t xml:space="preserve">-1 Cross-Validation Comparison Between Subjective Perceived Difficulty and Objective </w:t>
      </w:r>
      <w:r>
        <w:rPr>
          <w:rFonts w:hint="eastAsia" w:eastAsia="黑体" w:cs="Times New Roman"/>
          <w:b/>
          <w:bCs/>
          <w:lang w:val="en-US" w:eastAsia="zh-CN"/>
        </w:rPr>
        <w:t>Rebound Effect</w:t>
      </w:r>
    </w:p>
    <w:p w14:paraId="484F34D8">
      <w:pPr>
        <w:ind w:left="0" w:leftChars="0" w:firstLine="0" w:firstLineChars="0"/>
        <w:rPr>
          <w:rFonts w:hint="eastAsia" w:eastAsia="宋体" w:cs="Times New Roman"/>
          <w:lang w:eastAsia="zh-CN"/>
        </w:rPr>
      </w:pPr>
    </w:p>
    <w:p w14:paraId="1A76D766">
      <w:pPr>
        <w:pStyle w:val="3"/>
        <w:bidi w:val="0"/>
      </w:pPr>
      <w:bookmarkStart w:id="28" w:name="_Toc1337"/>
      <w:r>
        <w:rPr>
          <w:rFonts w:hint="eastAsia"/>
          <w:lang w:eastAsia="zh-CN"/>
        </w:rPr>
        <w:t>5</w:t>
      </w:r>
      <w:r>
        <w:t>.2  净减排量重估</w:t>
      </w:r>
      <w:bookmarkEnd w:id="28"/>
    </w:p>
    <w:p w14:paraId="48F2772F">
      <w:pPr>
        <w:ind w:firstLine="480"/>
        <w:rPr>
          <w:rFonts w:cs="Times New Roman"/>
        </w:rPr>
      </w:pPr>
      <w:r>
        <w:rPr>
          <w:rFonts w:cs="Times New Roman"/>
        </w:rPr>
        <w:t>传统的需求侧评估往往假定个体在采取低碳行为后，其消费结构与生活方式保持</w:t>
      </w:r>
      <w:r>
        <w:rPr>
          <w:rFonts w:hint="eastAsia" w:cs="Times New Roman"/>
          <w:lang w:val="en-US" w:eastAsia="zh-CN"/>
        </w:rPr>
        <w:t>前后一致</w:t>
      </w:r>
      <w:r>
        <w:rPr>
          <w:rFonts w:cs="Times New Roman"/>
        </w:rPr>
        <w:t>，从而过度乐观地估计了理论气候红利。本研究将直接反弹、经济反弹与</w:t>
      </w:r>
      <w:r>
        <w:rPr>
          <w:rFonts w:hint="eastAsia" w:cs="Times New Roman"/>
          <w:lang w:val="en-US" w:eastAsia="zh-CN"/>
        </w:rPr>
        <w:t>心理反弹</w:t>
      </w:r>
      <w:r>
        <w:rPr>
          <w:rFonts w:cs="Times New Roman"/>
        </w:rPr>
        <w:t>同步纳入微观动态模拟。测算结果表明（见图 5-1），6 种典型行为的真实净减排量（</w:t>
      </w:r>
      <w:r>
        <w:rPr>
          <w:rFonts w:cs="Times New Roman"/>
          <w:szCs w:val="24"/>
          <w:lang w:bidi="ar"/>
        </w:rPr>
        <w:object>
          <v:shape id="_x0000_i1025" o:spt="75" type="#_x0000_t75" style="height:18pt;width:21pt;" o:ole="t" filled="f" o:preferrelative="t" stroked="f" coordsize="21600,21600">
            <v:path/>
            <v:fill on="f" focussize="0,0"/>
            <v:stroke on="f" joinstyle="miter"/>
            <v:imagedata r:id="rId14" o:title=""/>
            <o:lock v:ext="edit" aspectratio="t"/>
            <w10:wrap type="none"/>
            <w10:anchorlock/>
          </v:shape>
          <o:OLEObject Type="Embed" ProgID="Equation.DSMT4" ShapeID="_x0000_i1025" DrawAspect="Content" ObjectID="_1468075725" r:id="rId13">
            <o:LockedField>false</o:LockedField>
          </o:OLEObject>
        </w:object>
      </w:r>
      <w:r>
        <w:rPr>
          <w:rFonts w:cs="Times New Roman"/>
        </w:rPr>
        <w:t>）与理论减排潜力（AEI）之间存在巨大的鸿沟，且呈现出极其极端的领域分化特征。</w:t>
      </w:r>
    </w:p>
    <w:p w14:paraId="34D3A87A">
      <w:pPr>
        <w:ind w:firstLine="0" w:firstLineChars="0"/>
        <w:jc w:val="center"/>
        <w:rPr>
          <w:rFonts w:cs="Times New Roman"/>
          <w:szCs w:val="24"/>
          <w:lang w:bidi="ar"/>
        </w:rPr>
      </w:pPr>
      <w:r>
        <w:rPr>
          <w:rFonts w:cs="Times New Roman"/>
          <w:szCs w:val="24"/>
          <w:lang w:bidi="ar"/>
        </w:rPr>
        <w:drawing>
          <wp:inline distT="0" distB="0" distL="114300" distR="114300">
            <wp:extent cx="5285105" cy="1986280"/>
            <wp:effectExtent l="0" t="0" r="1270" b="4445"/>
            <wp:docPr id="7" name="图片 7" descr="Fig1_Rebound_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1_Rebound_Effects"/>
                    <pic:cNvPicPr>
                      <a:picLocks noChangeAspect="1"/>
                    </pic:cNvPicPr>
                  </pic:nvPicPr>
                  <pic:blipFill>
                    <a:blip r:embed="rId15"/>
                    <a:srcRect b="16739"/>
                    <a:stretch>
                      <a:fillRect/>
                    </a:stretch>
                  </pic:blipFill>
                  <pic:spPr>
                    <a:xfrm>
                      <a:off x="0" y="0"/>
                      <a:ext cx="5292223" cy="1989171"/>
                    </a:xfrm>
                    <a:prstGeom prst="rect">
                      <a:avLst/>
                    </a:prstGeom>
                  </pic:spPr>
                </pic:pic>
              </a:graphicData>
            </a:graphic>
          </wp:inline>
        </w:drawing>
      </w:r>
    </w:p>
    <w:p w14:paraId="5C768995">
      <w:pPr>
        <w:tabs>
          <w:tab w:val="left" w:pos="377"/>
        </w:tabs>
        <w:ind w:firstLine="0" w:firstLineChars="0"/>
        <w:jc w:val="center"/>
        <w:rPr>
          <w:rFonts w:eastAsia="黑体" w:cs="Times New Roman"/>
        </w:rPr>
      </w:pPr>
      <w:r>
        <w:rPr>
          <w:rFonts w:hint="eastAsia" w:eastAsia="黑体"/>
        </w:rPr>
        <w:t>图</w:t>
      </w:r>
      <w:r>
        <w:rPr>
          <w:rFonts w:hint="eastAsia" w:eastAsia="黑体"/>
          <w:lang w:eastAsia="zh-CN"/>
        </w:rPr>
        <w:t>5</w:t>
      </w:r>
      <w:r>
        <w:rPr>
          <w:rFonts w:hint="eastAsia" w:eastAsia="黑体"/>
        </w:rPr>
        <w:t>-1</w:t>
      </w:r>
      <w:r>
        <w:rPr>
          <w:rFonts w:eastAsia="黑体" w:cs="Times New Roman"/>
        </w:rPr>
        <w:t xml:space="preserve"> </w:t>
      </w:r>
      <w:r>
        <w:rPr>
          <w:rFonts w:hint="eastAsia" w:eastAsia="黑体" w:cs="Times New Roman"/>
        </w:rPr>
        <w:t>低碳行为理论减排潜力及反弹效应对净减排的分解</w:t>
      </w:r>
    </w:p>
    <w:p w14:paraId="0D6A150C">
      <w:pPr>
        <w:ind w:firstLine="0" w:firstLineChars="0"/>
        <w:jc w:val="center"/>
        <w:rPr>
          <w:rFonts w:eastAsia="黑体" w:cs="Times New Roman"/>
          <w:b/>
          <w:bCs/>
        </w:rPr>
      </w:pPr>
      <w:r>
        <w:rPr>
          <w:rFonts w:hint="eastAsia" w:eastAsia="黑体" w:cs="Times New Roman"/>
          <w:b/>
          <w:bCs/>
        </w:rPr>
        <w:t xml:space="preserve">Figure </w:t>
      </w:r>
      <w:r>
        <w:rPr>
          <w:rFonts w:hint="eastAsia" w:eastAsia="黑体" w:cs="Times New Roman"/>
          <w:b/>
          <w:bCs/>
          <w:lang w:eastAsia="zh-CN"/>
        </w:rPr>
        <w:t>5</w:t>
      </w:r>
      <w:r>
        <w:rPr>
          <w:rFonts w:hint="eastAsia" w:eastAsia="黑体" w:cs="Times New Roman"/>
          <w:b/>
          <w:bCs/>
        </w:rPr>
        <w:t>-1 Theoretical Emission Reduction Potential and Decomposition of Rebound Effects on Net Emission Reduction</w:t>
      </w:r>
    </w:p>
    <w:p w14:paraId="4E138175">
      <w:pPr>
        <w:ind w:left="0" w:leftChars="0" w:firstLine="0" w:firstLineChars="0"/>
        <w:rPr>
          <w:rFonts w:cs="Times New Roman"/>
          <w:i/>
          <w:iCs/>
          <w:sz w:val="16"/>
          <w:szCs w:val="18"/>
        </w:rPr>
      </w:pPr>
      <w:r>
        <w:rPr>
          <w:rFonts w:cs="Times New Roman"/>
          <w:i/>
          <w:iCs/>
          <w:sz w:val="16"/>
          <w:szCs w:val="18"/>
        </w:rPr>
        <w:t>数据来源：本研究微观动态CBA模型模拟结果；反弹参数（DRP、MPC、心理反弹率φ）均来自本研究问卷调查（N=538）情境实验模块实测值；碳排放因子参数来源见附录A表A-1</w:t>
      </w:r>
    </w:p>
    <w:p w14:paraId="584D6BF8">
      <w:pPr>
        <w:ind w:left="0" w:leftChars="0" w:firstLine="0" w:firstLineChars="0"/>
        <w:rPr>
          <w:rFonts w:cs="Times New Roman"/>
          <w:i/>
          <w:iCs/>
          <w:sz w:val="16"/>
          <w:szCs w:val="18"/>
        </w:rPr>
      </w:pPr>
    </w:p>
    <w:p w14:paraId="39F2FB0E">
      <w:pPr>
        <w:ind w:firstLine="480"/>
        <w:rPr>
          <w:rFonts w:cs="Times New Roman"/>
        </w:rPr>
      </w:pPr>
      <w:r>
        <w:rPr>
          <w:rFonts w:cs="Times New Roman"/>
        </w:rPr>
        <w:t>以“高铁代飞机”为代表</w:t>
      </w:r>
      <w:r>
        <w:rPr>
          <w:rFonts w:hint="eastAsia" w:cs="Times New Roman"/>
          <w:lang w:val="en-US" w:eastAsia="zh-CN"/>
        </w:rPr>
        <w:t>结构性技术替代</w:t>
      </w:r>
      <w:r>
        <w:rPr>
          <w:rFonts w:cs="Times New Roman"/>
        </w:rPr>
        <w:t>行为表现出</w:t>
      </w:r>
      <w:r>
        <w:rPr>
          <w:rFonts w:hint="eastAsia" w:cs="Times New Roman"/>
          <w:lang w:val="en-US" w:eastAsia="zh-CN"/>
        </w:rPr>
        <w:t>显著的</w:t>
      </w:r>
      <w:r>
        <w:rPr>
          <w:rFonts w:cs="Times New Roman"/>
        </w:rPr>
        <w:t xml:space="preserve">抗反弹韧性。如图 </w:t>
      </w:r>
      <w:r>
        <w:rPr>
          <w:rFonts w:hint="eastAsia" w:cs="Times New Roman"/>
          <w:lang w:eastAsia="zh-CN"/>
        </w:rPr>
        <w:t>5</w:t>
      </w:r>
      <w:r>
        <w:rPr>
          <w:rFonts w:cs="Times New Roman"/>
        </w:rPr>
        <w:t xml:space="preserve">-1(b) 瀑布图所示，该行为的初始理论减排潜力达 371.8 kg </w:t>
      </w:r>
      <w:r>
        <w:rPr>
          <w:rFonts w:cs="Times New Roman"/>
          <w:szCs w:val="24"/>
          <w:lang w:bidi="ar"/>
        </w:rPr>
        <w:object>
          <v:shape id="_x0000_i1026" o:spt="75" type="#_x0000_t75" style="height:18pt;width:28.9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cs="Times New Roman"/>
        </w:rPr>
        <w:t>/(人·年)</w:t>
      </w:r>
      <w:r>
        <w:rPr>
          <w:rFonts w:hint="eastAsia" w:cs="Times New Roman"/>
          <w:lang w:eastAsia="zh-CN"/>
        </w:rPr>
        <w:t>，</w:t>
      </w:r>
      <w:r>
        <w:rPr>
          <w:rFonts w:cs="Times New Roman"/>
        </w:rPr>
        <w:t>扣除反弹损耗后，其依然能够保留 79% 的净减排量（</w:t>
      </w:r>
      <w:r>
        <w:rPr>
          <w:rFonts w:cs="Times New Roman"/>
          <w:szCs w:val="24"/>
          <w:lang w:bidi="ar"/>
        </w:rPr>
        <w:object>
          <v:shape id="_x0000_i1027" o:spt="75" type="#_x0000_t75" style="height:18pt;width:61.15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rPr>
          <w:rFonts w:cs="Times New Roman"/>
        </w:rPr>
        <w:t xml:space="preserve"> kg </w:t>
      </w:r>
      <w:r>
        <w:rPr>
          <w:rFonts w:cs="Times New Roman"/>
          <w:szCs w:val="24"/>
          <w:lang w:bidi="ar"/>
        </w:rPr>
        <w:object>
          <v:shape id="_x0000_i1028" o:spt="75" type="#_x0000_t75" style="height:18pt;width:28.9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r>
        <w:rPr>
          <w:rFonts w:cs="Times New Roman"/>
        </w:rPr>
        <w:t>/(人·年)）。</w:t>
      </w:r>
      <w:r>
        <w:rPr>
          <w:rFonts w:hint="eastAsia" w:cs="Times New Roman"/>
        </w:rPr>
        <w:t>其根本原因在于长途旅行频次低、不产生高频日常资金结余，</w:t>
      </w:r>
      <w:r>
        <w:rPr>
          <w:rFonts w:hint="eastAsia" w:cs="Times New Roman"/>
          <w:lang w:val="en-US" w:eastAsia="zh-CN"/>
        </w:rPr>
        <w:t>间接</w:t>
      </w:r>
      <w:r>
        <w:rPr>
          <w:rFonts w:hint="eastAsia" w:cs="Times New Roman"/>
        </w:rPr>
        <w:t>反弹的敞口因此被有效封堵。</w:t>
      </w:r>
      <w:r>
        <w:rPr>
          <w:rFonts w:cs="Times New Roman"/>
        </w:rPr>
        <w:t>同样地，</w:t>
      </w:r>
      <w:r>
        <w:rPr>
          <w:rFonts w:hint="eastAsia" w:cs="Times New Roman"/>
          <w:lang w:eastAsia="zh-CN"/>
        </w:rPr>
        <w:t>“</w:t>
      </w:r>
      <w:r>
        <w:rPr>
          <w:rFonts w:cs="Times New Roman"/>
        </w:rPr>
        <w:t>换电动汽车</w:t>
      </w:r>
      <w:r>
        <w:rPr>
          <w:rFonts w:hint="eastAsia" w:cs="Times New Roman"/>
          <w:lang w:eastAsia="zh-CN"/>
        </w:rPr>
        <w:t>”</w:t>
      </w:r>
      <w:r>
        <w:rPr>
          <w:rFonts w:cs="Times New Roman"/>
        </w:rPr>
        <w:t>与</w:t>
      </w:r>
      <w:r>
        <w:rPr>
          <w:rFonts w:hint="eastAsia" w:cs="Times New Roman"/>
          <w:lang w:eastAsia="zh-CN"/>
        </w:rPr>
        <w:t>“</w:t>
      </w:r>
      <w:r>
        <w:rPr>
          <w:rFonts w:cs="Times New Roman"/>
        </w:rPr>
        <w:t>垃圾分类</w:t>
      </w:r>
      <w:r>
        <w:rPr>
          <w:rFonts w:hint="eastAsia" w:cs="Times New Roman"/>
          <w:lang w:eastAsia="zh-CN"/>
        </w:rPr>
        <w:t>”</w:t>
      </w:r>
      <w:r>
        <w:rPr>
          <w:rFonts w:cs="Times New Roman"/>
        </w:rPr>
        <w:t>也分别</w:t>
      </w:r>
      <w:r>
        <w:rPr>
          <w:rFonts w:hint="eastAsia" w:cs="Times New Roman"/>
          <w:lang w:val="en-US" w:eastAsia="zh-CN"/>
        </w:rPr>
        <w:t>保持</w:t>
      </w:r>
      <w:r>
        <w:rPr>
          <w:rFonts w:cs="Times New Roman"/>
        </w:rPr>
        <w:t xml:space="preserve"> 65%（</w:t>
      </w:r>
      <w:r>
        <w:rPr>
          <w:rFonts w:cs="Times New Roman"/>
          <w:szCs w:val="24"/>
          <w:lang w:bidi="ar"/>
        </w:rPr>
        <w:object>
          <v:shape id="_x0000_i1029" o:spt="75" type="#_x0000_t75" style="height:18pt;width:54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29" r:id="rId22">
            <o:LockedField>false</o:LockedField>
          </o:OLEObject>
        </w:object>
      </w:r>
      <w:r>
        <w:rPr>
          <w:rFonts w:cs="Times New Roman"/>
        </w:rPr>
        <w:t>）与 48%（</w:t>
      </w:r>
      <w:r>
        <w:rPr>
          <w:rFonts w:cs="Times New Roman"/>
          <w:szCs w:val="24"/>
          <w:lang w:bidi="ar"/>
        </w:rPr>
        <w:object>
          <v:shape id="_x0000_i1030" o:spt="75" type="#_x0000_t75" style="height:18pt;width:54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rPr>
          <w:rFonts w:cs="Times New Roman"/>
        </w:rPr>
        <w:t>）的正向减排量。</w:t>
      </w:r>
    </w:p>
    <w:p w14:paraId="0A228976">
      <w:pPr>
        <w:ind w:firstLine="480"/>
        <w:rPr>
          <w:rFonts w:cs="Times New Roman"/>
        </w:rPr>
      </w:pPr>
      <w:r>
        <w:rPr>
          <w:rFonts w:hint="eastAsia" w:cs="Times New Roman"/>
          <w:lang w:val="en-US" w:eastAsia="zh-CN"/>
        </w:rPr>
        <w:t>与此形成对比的是，</w:t>
      </w:r>
      <w:r>
        <w:rPr>
          <w:rFonts w:cs="Times New Roman"/>
        </w:rPr>
        <w:t>轻量级与习惯型行为</w:t>
      </w:r>
      <w:r>
        <w:rPr>
          <w:rFonts w:hint="eastAsia" w:cs="Times New Roman"/>
          <w:lang w:val="en-US" w:eastAsia="zh-CN"/>
        </w:rPr>
        <w:t>暴露出</w:t>
      </w:r>
      <w:r>
        <w:rPr>
          <w:rFonts w:cs="Times New Roman"/>
        </w:rPr>
        <w:t>严峻</w:t>
      </w:r>
      <w:r>
        <w:rPr>
          <w:rFonts w:hint="eastAsia" w:cs="Times New Roman"/>
          <w:lang w:eastAsia="zh-CN"/>
        </w:rPr>
        <w:t>“</w:t>
      </w:r>
      <w:r>
        <w:rPr>
          <w:rFonts w:cs="Times New Roman"/>
        </w:rPr>
        <w:t>反噬效应</w:t>
      </w:r>
      <w:r>
        <w:rPr>
          <w:rFonts w:hint="eastAsia" w:cs="Times New Roman"/>
          <w:lang w:eastAsia="zh-CN"/>
        </w:rPr>
        <w:t>”</w:t>
      </w:r>
      <w:r>
        <w:rPr>
          <w:rFonts w:cs="Times New Roman"/>
        </w:rPr>
        <w:t>。原本在理论上能够带来正向气候收益的行为，在动态系统下不仅未能减排，反而显著增加了碳排放。</w:t>
      </w:r>
    </w:p>
    <w:p w14:paraId="663D12DA">
      <w:pPr>
        <w:numPr>
          <w:ilvl w:val="0"/>
          <w:numId w:val="4"/>
        </w:numPr>
        <w:ind w:firstLine="480"/>
        <w:rPr>
          <w:rFonts w:hint="eastAsia" w:cs="Times New Roman"/>
          <w:lang w:eastAsia="zh-CN"/>
        </w:rPr>
      </w:pPr>
      <w:r>
        <w:rPr>
          <w:rFonts w:cs="Times New Roman"/>
        </w:rPr>
        <w:t>“豆腐代肉”的理论减排量（73.7 kg）</w:t>
      </w:r>
      <w:r>
        <w:rPr>
          <w:rFonts w:hint="eastAsia" w:cs="Times New Roman"/>
          <w:lang w:val="en-US" w:eastAsia="zh-CN"/>
        </w:rPr>
        <w:t>产生剧烈</w:t>
      </w:r>
      <w:r>
        <w:rPr>
          <w:rFonts w:cs="Times New Roman"/>
        </w:rPr>
        <w:t>的经济反弹</w:t>
      </w:r>
      <w:r>
        <w:rPr>
          <w:rFonts w:hint="eastAsia" w:cs="Times New Roman"/>
          <w:lang w:eastAsia="zh-CN"/>
        </w:rPr>
        <w:t>，</w:t>
      </w:r>
      <w:r>
        <w:rPr>
          <w:rFonts w:hint="eastAsia" w:cs="Times New Roman"/>
        </w:rPr>
        <w:t>饮食替换释放的买肉预算流入跨界高碳消费</w:t>
      </w:r>
      <w:r>
        <w:rPr>
          <w:rFonts w:hint="eastAsia" w:cs="Times New Roman"/>
          <w:lang w:eastAsia="zh-CN"/>
        </w:rPr>
        <w:t>，</w:t>
      </w:r>
      <w:r>
        <w:rPr>
          <w:rFonts w:hint="eastAsia" w:cs="Times New Roman"/>
        </w:rPr>
        <w:t>引发111.4 kg的额外排放</w:t>
      </w:r>
      <w:r>
        <w:rPr>
          <w:rFonts w:hint="eastAsia" w:cs="Times New Roman"/>
          <w:lang w:eastAsia="zh-CN"/>
        </w:rPr>
        <w:t>，</w:t>
      </w:r>
      <w:r>
        <w:rPr>
          <w:rFonts w:cs="Times New Roman"/>
        </w:rPr>
        <w:t>最终导致净减排量跌至负值（</w:t>
      </w:r>
      <w:r>
        <w:rPr>
          <w:rFonts w:cs="Times New Roman"/>
          <w:szCs w:val="24"/>
          <w:lang w:bidi="ar"/>
        </w:rPr>
        <w:object>
          <v:shape id="_x0000_i1031" o:spt="75" type="#_x0000_t75" style="height:18pt;width:61.15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r>
        <w:rPr>
          <w:rFonts w:cs="Times New Roman"/>
        </w:rPr>
        <w:t xml:space="preserve"> kg </w:t>
      </w:r>
      <w:r>
        <w:rPr>
          <w:rFonts w:cs="Times New Roman"/>
          <w:szCs w:val="24"/>
          <w:lang w:bidi="ar"/>
        </w:rPr>
        <w:object>
          <v:shape id="_x0000_i1032" o:spt="75" type="#_x0000_t75" style="height:18pt;width:28.9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32" r:id="rId28">
            <o:LockedField>false</o:LockedField>
          </o:OLEObject>
        </w:object>
      </w:r>
      <w:r>
        <w:rPr>
          <w:rFonts w:cs="Times New Roman"/>
        </w:rPr>
        <w:t>/(人·年)，净损失率为 -93%）</w:t>
      </w:r>
      <w:r>
        <w:rPr>
          <w:rFonts w:hint="eastAsia" w:cs="Times New Roman"/>
          <w:lang w:eastAsia="zh-CN"/>
        </w:rPr>
        <w:t>。</w:t>
      </w:r>
    </w:p>
    <w:p w14:paraId="2424C622">
      <w:pPr>
        <w:numPr>
          <w:ilvl w:val="0"/>
          <w:numId w:val="4"/>
        </w:numPr>
        <w:ind w:firstLine="480"/>
        <w:rPr>
          <w:rFonts w:cs="Times New Roman"/>
        </w:rPr>
      </w:pPr>
      <w:r>
        <w:rPr>
          <w:rFonts w:hint="eastAsia" w:cs="Times New Roman"/>
          <w:lang w:eastAsia="zh-CN"/>
        </w:rPr>
        <w:t>“</w:t>
      </w:r>
      <w:r>
        <w:rPr>
          <w:rFonts w:cs="Times New Roman"/>
        </w:rPr>
        <w:t>换节能空调</w:t>
      </w:r>
      <w:r>
        <w:rPr>
          <w:rFonts w:hint="eastAsia" w:cs="Times New Roman"/>
          <w:lang w:eastAsia="zh-CN"/>
        </w:rPr>
        <w:t>”</w:t>
      </w:r>
      <w:r>
        <w:rPr>
          <w:rFonts w:hint="eastAsia" w:cs="Times New Roman"/>
          <w:lang w:val="en-US" w:eastAsia="zh-CN"/>
        </w:rPr>
        <w:t>对于直接反弹和经济反弹的反应剧烈，</w:t>
      </w:r>
      <w:r>
        <w:rPr>
          <w:rFonts w:cs="Times New Roman"/>
        </w:rPr>
        <w:t>能效提升</w:t>
      </w:r>
      <w:r>
        <w:rPr>
          <w:rFonts w:hint="eastAsia" w:cs="Times New Roman"/>
          <w:lang w:val="en-US" w:eastAsia="zh-CN"/>
        </w:rPr>
        <w:t>诱发使用时长的大幅延长，</w:t>
      </w:r>
      <w:r>
        <w:rPr>
          <w:rFonts w:cs="Times New Roman"/>
        </w:rPr>
        <w:t>导致其微薄的理论减排量（9.8 kg）被</w:t>
      </w:r>
      <w:r>
        <w:rPr>
          <w:rFonts w:hint="eastAsia" w:cs="Times New Roman"/>
          <w:lang w:val="en-US" w:eastAsia="zh-CN"/>
        </w:rPr>
        <w:t>完全抵消</w:t>
      </w:r>
      <w:r>
        <w:rPr>
          <w:rFonts w:cs="Times New Roman"/>
        </w:rPr>
        <w:t xml:space="preserve">，最终 </w:t>
      </w:r>
      <w:r>
        <w:rPr>
          <w:rFonts w:cs="Times New Roman"/>
          <w:szCs w:val="24"/>
          <w:lang w:bidi="ar"/>
        </w:rPr>
        <w:object>
          <v:shape id="_x0000_i1033" o:spt="75" type="#_x0000_t75" style="height:18pt;width:61.15pt;" o:ole="t" filled="f" o:preferrelative="t" stroked="f" coordsize="21600,21600">
            <v:path/>
            <v:fill on="f" focussize="0,0"/>
            <v:stroke on="f" joinstyle="miter"/>
            <v:imagedata r:id="rId31" o:title=""/>
            <o:lock v:ext="edit" aspectratio="t"/>
            <w10:wrap type="none"/>
            <w10:anchorlock/>
          </v:shape>
          <o:OLEObject Type="Embed" ProgID="Equation.DSMT4" ShapeID="_x0000_i1033" DrawAspect="Content" ObjectID="_1468075733" r:id="rId30">
            <o:LockedField>false</o:LockedField>
          </o:OLEObject>
        </w:object>
      </w:r>
      <w:r>
        <w:rPr>
          <w:rFonts w:cs="Times New Roman"/>
        </w:rPr>
        <w:t xml:space="preserve"> kg（净损失率高达 -343%）。</w:t>
      </w:r>
    </w:p>
    <w:p w14:paraId="44C2EB9F">
      <w:pPr>
        <w:numPr>
          <w:ilvl w:val="0"/>
          <w:numId w:val="4"/>
        </w:numPr>
        <w:ind w:firstLine="480"/>
        <w:rPr>
          <w:rFonts w:cs="Times New Roman"/>
        </w:rPr>
      </w:pPr>
      <w:r>
        <w:rPr>
          <w:rFonts w:cs="Times New Roman"/>
        </w:rPr>
        <w:t xml:space="preserve"> 对于“减少一半外卖餐具”而言，</w:t>
      </w:r>
      <w:r>
        <w:rPr>
          <w:rFonts w:hint="eastAsia" w:cs="Times New Roman"/>
          <w:lang w:val="en-US" w:eastAsia="zh-CN"/>
        </w:rPr>
        <w:t>在S2情景下</w:t>
      </w:r>
      <w:r>
        <w:rPr>
          <w:rFonts w:cs="Times New Roman"/>
        </w:rPr>
        <w:t>展现出了高达 -10,261% 的极端损失率。</w:t>
      </w:r>
      <w:r>
        <w:rPr>
          <w:rFonts w:hint="eastAsia" w:cs="Times New Roman"/>
        </w:rPr>
        <w:t>这并非对真实碳排放的量化预测，而是基数效应引发的数学奇点：该行为初始减排基数极小（AEI仅0.41 kg），</w:t>
      </w:r>
      <w:r>
        <w:rPr>
          <w:rFonts w:hint="eastAsia" w:cs="Times New Roman"/>
          <w:lang w:val="en-US" w:eastAsia="zh-CN"/>
        </w:rPr>
        <w:t>心理反弹的</w:t>
      </w:r>
      <w:r>
        <w:rPr>
          <w:rFonts w:hint="eastAsia" w:cs="Times New Roman"/>
        </w:rPr>
        <w:t>网络扩散算法下微小的高碳触发即可使分母趋零、百分比发散。</w:t>
      </w:r>
      <w:r>
        <w:rPr>
          <w:rFonts w:hint="eastAsia" w:cs="Times New Roman"/>
          <w:lang w:val="en-US" w:eastAsia="zh-CN"/>
        </w:rPr>
        <w:t>但其仍具参考意义，</w:t>
      </w:r>
      <w:r>
        <w:rPr>
          <w:rFonts w:hint="eastAsia" w:cs="Times New Roman"/>
        </w:rPr>
        <w:t>初始碳红利</w:t>
      </w:r>
      <w:r>
        <w:rPr>
          <w:rFonts w:hint="eastAsia" w:cs="Times New Roman"/>
          <w:lang w:val="en-US" w:eastAsia="zh-CN"/>
        </w:rPr>
        <w:t>较弱</w:t>
      </w:r>
      <w:r>
        <w:rPr>
          <w:rFonts w:hint="eastAsia" w:cs="Times New Roman"/>
        </w:rPr>
        <w:t>的轻量级行为在复杂消费网络中毫无抗压韧性，极易</w:t>
      </w:r>
      <w:r>
        <w:rPr>
          <w:rFonts w:hint="eastAsia" w:cs="Times New Roman"/>
          <w:lang w:val="en-US" w:eastAsia="zh-CN"/>
        </w:rPr>
        <w:t>受到间接反弹的影响导致负向减排</w:t>
      </w:r>
      <w:r>
        <w:rPr>
          <w:rFonts w:hint="eastAsia" w:cs="Times New Roman"/>
        </w:rPr>
        <w:t>。</w:t>
      </w:r>
    </w:p>
    <w:p w14:paraId="02B2BC24">
      <w:pPr>
        <w:ind w:firstLine="480"/>
        <w:rPr>
          <w:rFonts w:cs="Times New Roman"/>
        </w:rPr>
      </w:pPr>
      <w:r>
        <w:rPr>
          <w:rFonts w:cs="Times New Roman"/>
        </w:rPr>
        <w:t>综上所述，多重反弹效应重塑了需求侧减排的潜力版图。如果不辅以严密的</w:t>
      </w:r>
      <w:r>
        <w:rPr>
          <w:rFonts w:hint="eastAsia" w:cs="Times New Roman"/>
          <w:lang w:eastAsia="zh-CN"/>
        </w:rPr>
        <w:t>“</w:t>
      </w:r>
      <w:r>
        <w:rPr>
          <w:rFonts w:cs="Times New Roman"/>
        </w:rPr>
        <w:t>预算锁定</w:t>
      </w:r>
      <w:r>
        <w:rPr>
          <w:rFonts w:hint="eastAsia" w:cs="Times New Roman"/>
          <w:lang w:eastAsia="zh-CN"/>
        </w:rPr>
        <w:t>”</w:t>
      </w:r>
      <w:r>
        <w:rPr>
          <w:rFonts w:cs="Times New Roman"/>
        </w:rPr>
        <w:t>机制，单方面倡导公众在日常饮食和居家节能上做出改变，极易陷入</w:t>
      </w:r>
      <w:r>
        <w:rPr>
          <w:rFonts w:hint="eastAsia" w:cs="Times New Roman"/>
          <w:lang w:eastAsia="zh-CN"/>
        </w:rPr>
        <w:t>“</w:t>
      </w:r>
      <w:r>
        <w:rPr>
          <w:rFonts w:cs="Times New Roman"/>
        </w:rPr>
        <w:t>越环保，越排放</w:t>
      </w:r>
      <w:r>
        <w:rPr>
          <w:rFonts w:hint="eastAsia" w:cs="Times New Roman"/>
          <w:lang w:eastAsia="zh-CN"/>
        </w:rPr>
        <w:t>”</w:t>
      </w:r>
      <w:r>
        <w:rPr>
          <w:rFonts w:cs="Times New Roman"/>
        </w:rPr>
        <w:t>的气候陷阱。</w:t>
      </w:r>
    </w:p>
    <w:p w14:paraId="277C1399">
      <w:pPr>
        <w:pStyle w:val="3"/>
        <w:bidi w:val="0"/>
        <w:rPr>
          <w:rFonts w:hint="eastAsia"/>
          <w:lang w:val="en-US" w:eastAsia="zh-CN"/>
        </w:rPr>
      </w:pPr>
      <w:bookmarkStart w:id="29" w:name="_Toc8543"/>
      <w:r>
        <w:rPr>
          <w:rFonts w:hint="eastAsia"/>
          <w:lang w:eastAsia="zh-CN"/>
        </w:rPr>
        <w:t>5</w:t>
      </w:r>
      <w:r>
        <w:t>.3  社会福利与边际减排成本</w:t>
      </w:r>
      <w:r>
        <w:rPr>
          <w:rFonts w:hint="eastAsia"/>
          <w:lang w:val="en-US" w:eastAsia="zh-CN"/>
        </w:rPr>
        <w:t>重估</w:t>
      </w:r>
      <w:bookmarkEnd w:id="29"/>
    </w:p>
    <w:p w14:paraId="0FDFD6A4">
      <w:pPr>
        <w:ind w:firstLine="480"/>
        <w:rPr>
          <w:rFonts w:hint="eastAsia" w:eastAsia="宋体" w:cs="Times New Roman"/>
          <w:lang w:eastAsia="zh-CN"/>
        </w:rPr>
      </w:pPr>
      <w:r>
        <w:rPr>
          <w:rFonts w:hint="eastAsia" w:cs="Times New Roman"/>
        </w:rPr>
        <w:t>反弹效应不仅压缩了物理减排潜力，更对社会福利分配与政策经济效率造成颠覆性冲击。基于微观CBA模型测算（见图5-2），纳入多重动态反弹后，各低碳行为的社会福利均显著缩水，边际减排成本（MAC）急剧攀升</w:t>
      </w:r>
      <w:r>
        <w:rPr>
          <w:rFonts w:hint="eastAsia" w:cs="Times New Roman"/>
          <w:lang w:eastAsia="zh-CN"/>
        </w:rPr>
        <w:t>。</w:t>
      </w:r>
    </w:p>
    <w:p w14:paraId="65B98DFB">
      <w:pPr>
        <w:ind w:firstLine="0" w:firstLineChars="0"/>
        <w:rPr>
          <w:rFonts w:cs="Times New Roman"/>
          <w:szCs w:val="24"/>
          <w:lang w:bidi="ar"/>
        </w:rPr>
      </w:pPr>
      <w:r>
        <w:rPr>
          <w:rFonts w:cs="Times New Roman"/>
          <w:szCs w:val="24"/>
          <w:lang w:bidi="ar"/>
        </w:rPr>
        <w:drawing>
          <wp:inline distT="0" distB="0" distL="114300" distR="114300">
            <wp:extent cx="5475605" cy="3872865"/>
            <wp:effectExtent l="0" t="0" r="1270" b="3810"/>
            <wp:docPr id="8" name="图片 8" descr="Fig_CBA_Rebound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_CBA_Rebound_v2"/>
                    <pic:cNvPicPr>
                      <a:picLocks noChangeAspect="1"/>
                    </pic:cNvPicPr>
                  </pic:nvPicPr>
                  <pic:blipFill>
                    <a:blip r:embed="rId32"/>
                    <a:stretch>
                      <a:fillRect/>
                    </a:stretch>
                  </pic:blipFill>
                  <pic:spPr>
                    <a:xfrm>
                      <a:off x="0" y="0"/>
                      <a:ext cx="5475605" cy="3872865"/>
                    </a:xfrm>
                    <a:prstGeom prst="rect">
                      <a:avLst/>
                    </a:prstGeom>
                  </pic:spPr>
                </pic:pic>
              </a:graphicData>
            </a:graphic>
          </wp:inline>
        </w:drawing>
      </w:r>
    </w:p>
    <w:p w14:paraId="0444E712">
      <w:pPr>
        <w:tabs>
          <w:tab w:val="left" w:pos="377"/>
        </w:tabs>
        <w:ind w:firstLine="0" w:firstLineChars="0"/>
        <w:jc w:val="center"/>
        <w:rPr>
          <w:rFonts w:eastAsia="黑体" w:cs="Times New Roman"/>
        </w:rPr>
      </w:pPr>
      <w:r>
        <w:rPr>
          <w:rFonts w:hint="eastAsia" w:eastAsia="黑体"/>
        </w:rPr>
        <w:t>图</w:t>
      </w:r>
      <w:r>
        <w:rPr>
          <w:rFonts w:hint="eastAsia" w:eastAsia="黑体"/>
          <w:lang w:eastAsia="zh-CN"/>
        </w:rPr>
        <w:t>5</w:t>
      </w:r>
      <w:r>
        <w:rPr>
          <w:rFonts w:hint="eastAsia" w:eastAsia="黑体"/>
        </w:rPr>
        <w:t>-2</w:t>
      </w:r>
      <w:r>
        <w:rPr>
          <w:rFonts w:eastAsia="黑体" w:cs="Times New Roman"/>
        </w:rPr>
        <w:t xml:space="preserve"> </w:t>
      </w:r>
      <w:r>
        <w:rPr>
          <w:rFonts w:hint="eastAsia" w:eastAsia="黑体" w:cs="Times New Roman"/>
        </w:rPr>
        <w:t>纳入反弹效应的成本—收益分析</w:t>
      </w:r>
    </w:p>
    <w:p w14:paraId="7625B84F">
      <w:pPr>
        <w:ind w:firstLine="0" w:firstLineChars="0"/>
        <w:jc w:val="center"/>
        <w:rPr>
          <w:rFonts w:eastAsia="黑体" w:cs="Times New Roman"/>
          <w:b/>
          <w:bCs/>
        </w:rPr>
      </w:pPr>
      <w:r>
        <w:rPr>
          <w:rFonts w:hint="eastAsia" w:eastAsia="黑体" w:cs="Times New Roman"/>
          <w:b/>
          <w:bCs/>
        </w:rPr>
        <w:t xml:space="preserve">Figure </w:t>
      </w:r>
      <w:r>
        <w:rPr>
          <w:rFonts w:hint="eastAsia" w:eastAsia="黑体" w:cs="Times New Roman"/>
          <w:b/>
          <w:bCs/>
          <w:lang w:eastAsia="zh-CN"/>
        </w:rPr>
        <w:t>5</w:t>
      </w:r>
      <w:r>
        <w:rPr>
          <w:rFonts w:hint="eastAsia" w:eastAsia="黑体" w:cs="Times New Roman"/>
          <w:b/>
          <w:bCs/>
        </w:rPr>
        <w:t>-2 Cost-Benefit Analysis Incorporating Rebound Effects</w:t>
      </w:r>
    </w:p>
    <w:p w14:paraId="4C239247">
      <w:pPr>
        <w:ind w:firstLine="0" w:firstLineChars="0"/>
        <w:rPr>
          <w:rFonts w:cs="Times New Roman"/>
          <w:i/>
          <w:iCs/>
          <w:sz w:val="16"/>
          <w:szCs w:val="18"/>
        </w:rPr>
      </w:pPr>
      <w:r>
        <w:rPr>
          <w:rFonts w:cs="Times New Roman"/>
          <w:i/>
          <w:iCs/>
          <w:sz w:val="16"/>
          <w:szCs w:val="18"/>
        </w:rPr>
        <w:t>数据来源：本研究微观动态CBA模型模拟结果（三情景设定见表</w:t>
      </w:r>
      <w:r>
        <w:rPr>
          <w:rFonts w:hint="eastAsia" w:cs="Times New Roman"/>
          <w:i/>
          <w:iCs/>
          <w:sz w:val="16"/>
          <w:szCs w:val="18"/>
          <w:lang w:eastAsia="zh-CN"/>
        </w:rPr>
        <w:t>5</w:t>
      </w:r>
      <w:r>
        <w:rPr>
          <w:rFonts w:cs="Times New Roman"/>
          <w:i/>
          <w:iCs/>
          <w:sz w:val="16"/>
          <w:szCs w:val="18"/>
        </w:rPr>
        <w:t>-1）；社会福利（SW）核算基于本研究问卷调查（N=538）实测反弹参数与附录A文献综合参数；社会碳成本（SCC）取Rennert et al.（2022）基准估计值（约1295元/吨）。</w:t>
      </w:r>
    </w:p>
    <w:p w14:paraId="35D33827">
      <w:pPr>
        <w:ind w:firstLine="0" w:firstLineChars="0"/>
        <w:rPr>
          <w:rFonts w:cs="Times New Roman"/>
          <w:i/>
          <w:iCs/>
          <w:sz w:val="16"/>
          <w:szCs w:val="18"/>
        </w:rPr>
      </w:pPr>
    </w:p>
    <w:p w14:paraId="1DDB3F0C">
      <w:pPr>
        <w:ind w:firstLine="480"/>
        <w:rPr>
          <w:rFonts w:cs="Times New Roman"/>
        </w:rPr>
      </w:pPr>
      <w:r>
        <w:rPr>
          <w:rFonts w:cs="Times New Roman"/>
        </w:rPr>
        <w:t>首先，在社会福利（SW）层面</w:t>
      </w:r>
      <w:r>
        <w:rPr>
          <w:rFonts w:hint="eastAsia" w:cs="Times New Roman"/>
          <w:lang w:eastAsia="zh-CN"/>
        </w:rPr>
        <w:t>，</w:t>
      </w:r>
      <w:r>
        <w:rPr>
          <w:rFonts w:hint="eastAsia" w:cs="Times New Roman"/>
          <w:lang w:val="en-US" w:eastAsia="zh-CN"/>
        </w:rPr>
        <w:t>隐形损失影响巨大，</w:t>
      </w:r>
      <w:r>
        <w:rPr>
          <w:rFonts w:hint="eastAsia" w:cs="Times New Roman"/>
        </w:rPr>
        <w:t>如图5-2(b)所示，</w:t>
      </w:r>
      <w:r>
        <w:rPr>
          <w:rFonts w:hint="eastAsia" w:cs="Times New Roman"/>
          <w:lang w:eastAsia="zh-CN"/>
        </w:rPr>
        <w:t>“</w:t>
      </w:r>
      <w:r>
        <w:rPr>
          <w:rFonts w:hint="eastAsia" w:cs="Times New Roman"/>
        </w:rPr>
        <w:t>豆腐代肉</w:t>
      </w:r>
      <w:r>
        <w:rPr>
          <w:rFonts w:hint="eastAsia" w:cs="Times New Roman"/>
          <w:lang w:eastAsia="zh-CN"/>
        </w:rPr>
        <w:t>”</w:t>
      </w:r>
      <w:r>
        <w:rPr>
          <w:rFonts w:hint="eastAsia" w:cs="Times New Roman"/>
        </w:rPr>
        <w:t>在基线情景下原可实现经济与气候双赢（SW = 59.07元/人·年），但</w:t>
      </w:r>
      <w:r>
        <w:rPr>
          <w:rFonts w:hint="eastAsia" w:cs="Times New Roman"/>
          <w:lang w:val="en-US" w:eastAsia="zh-CN"/>
        </w:rPr>
        <w:t>减排带来预算盈余</w:t>
      </w:r>
      <w:r>
        <w:rPr>
          <w:rFonts w:hint="eastAsia" w:cs="Times New Roman"/>
        </w:rPr>
        <w:t>触发经济反弹后，社会福利骤降至−124.87元/人·年，</w:t>
      </w:r>
      <w:r>
        <w:rPr>
          <w:rFonts w:hint="eastAsia" w:cs="Times New Roman"/>
          <w:lang w:val="en-US" w:eastAsia="zh-CN"/>
        </w:rPr>
        <w:t>完全改变原来双赢格局</w:t>
      </w:r>
      <w:r>
        <w:rPr>
          <w:rFonts w:hint="eastAsia" w:cs="Times New Roman"/>
        </w:rPr>
        <w:t>。</w:t>
      </w:r>
      <w:r>
        <w:rPr>
          <w:rFonts w:hint="eastAsia" w:cs="Times New Roman"/>
          <w:lang w:eastAsia="zh-CN"/>
        </w:rPr>
        <w:t>“</w:t>
      </w:r>
      <w:r>
        <w:rPr>
          <w:rFonts w:hint="eastAsia" w:cs="Times New Roman"/>
        </w:rPr>
        <w:t>垃圾分类</w:t>
      </w:r>
      <w:r>
        <w:rPr>
          <w:rFonts w:hint="eastAsia" w:cs="Times New Roman"/>
          <w:lang w:eastAsia="zh-CN"/>
        </w:rPr>
        <w:t>”</w:t>
      </w:r>
      <w:r>
        <w:rPr>
          <w:rFonts w:hint="eastAsia" w:cs="Times New Roman"/>
        </w:rPr>
        <w:t>与</w:t>
      </w:r>
      <w:r>
        <w:rPr>
          <w:rFonts w:hint="eastAsia" w:cs="Times New Roman"/>
          <w:lang w:eastAsia="zh-CN"/>
        </w:rPr>
        <w:t>“</w:t>
      </w:r>
      <w:r>
        <w:rPr>
          <w:rFonts w:hint="eastAsia" w:cs="Times New Roman"/>
        </w:rPr>
        <w:t>换节能空调</w:t>
      </w:r>
      <w:r>
        <w:rPr>
          <w:rFonts w:hint="eastAsia" w:cs="Times New Roman"/>
          <w:lang w:eastAsia="zh-CN"/>
        </w:rPr>
        <w:t>”</w:t>
      </w:r>
      <w:r>
        <w:rPr>
          <w:rFonts w:hint="eastAsia" w:cs="Times New Roman"/>
        </w:rPr>
        <w:t>的社会福利同样</w:t>
      </w:r>
      <w:r>
        <w:rPr>
          <w:rFonts w:hint="eastAsia" w:cs="Times New Roman"/>
          <w:lang w:val="en-US" w:eastAsia="zh-CN"/>
        </w:rPr>
        <w:t>降到</w:t>
      </w:r>
      <w:r>
        <w:rPr>
          <w:rFonts w:hint="eastAsia" w:cs="Times New Roman"/>
        </w:rPr>
        <w:t>零线以下。唯有</w:t>
      </w:r>
      <w:r>
        <w:rPr>
          <w:rFonts w:hint="eastAsia" w:cs="Times New Roman"/>
          <w:lang w:eastAsia="zh-CN"/>
        </w:rPr>
        <w:t>“</w:t>
      </w:r>
      <w:r>
        <w:rPr>
          <w:rFonts w:hint="eastAsia" w:cs="Times New Roman"/>
        </w:rPr>
        <w:t>换电动汽车</w:t>
      </w:r>
      <w:r>
        <w:rPr>
          <w:rFonts w:hint="eastAsia" w:cs="Times New Roman"/>
          <w:lang w:eastAsia="zh-CN"/>
        </w:rPr>
        <w:t>”</w:t>
      </w:r>
      <w:r>
        <w:rPr>
          <w:rFonts w:hint="eastAsia" w:cs="Times New Roman"/>
        </w:rPr>
        <w:t>与</w:t>
      </w:r>
      <w:r>
        <w:rPr>
          <w:rFonts w:hint="eastAsia" w:cs="Times New Roman"/>
          <w:lang w:eastAsia="zh-CN"/>
        </w:rPr>
        <w:t>“</w:t>
      </w:r>
      <w:r>
        <w:rPr>
          <w:rFonts w:hint="eastAsia" w:cs="Times New Roman"/>
        </w:rPr>
        <w:t>高铁代飞机</w:t>
      </w:r>
      <w:r>
        <w:rPr>
          <w:rFonts w:hint="eastAsia" w:cs="Times New Roman"/>
          <w:lang w:eastAsia="zh-CN"/>
        </w:rPr>
        <w:t>”</w:t>
      </w:r>
      <w:r>
        <w:rPr>
          <w:rFonts w:hint="eastAsia" w:cs="Times New Roman"/>
        </w:rPr>
        <w:t>凭借</w:t>
      </w:r>
      <w:r>
        <w:rPr>
          <w:rFonts w:hint="eastAsia" w:cs="Times New Roman"/>
          <w:lang w:val="en-US" w:eastAsia="zh-CN"/>
        </w:rPr>
        <w:t>较</w:t>
      </w:r>
      <w:r>
        <w:rPr>
          <w:rFonts w:hint="eastAsia" w:cs="Times New Roman"/>
        </w:rPr>
        <w:t>高</w:t>
      </w:r>
      <w:r>
        <w:rPr>
          <w:rFonts w:hint="eastAsia" w:cs="Times New Roman"/>
          <w:lang w:val="en-US" w:eastAsia="zh-CN"/>
        </w:rPr>
        <w:t>的</w:t>
      </w:r>
      <w:r>
        <w:rPr>
          <w:rFonts w:hint="eastAsia" w:cs="Times New Roman"/>
        </w:rPr>
        <w:t>初始福利或强抗反弹韧性，在反弹后仍维持正向红利。</w:t>
      </w:r>
    </w:p>
    <w:p w14:paraId="789B06C4">
      <w:pPr>
        <w:ind w:firstLine="480"/>
        <w:rPr>
          <w:rFonts w:cs="Times New Roman"/>
        </w:rPr>
      </w:pPr>
      <w:r>
        <w:rPr>
          <w:rFonts w:cs="Times New Roman"/>
        </w:rPr>
        <w:t>其次，反弹大幅压缩净减排量，导致单位减排代价指数级膨胀。如图5-2(c)所示，</w:t>
      </w:r>
      <w:r>
        <w:rPr>
          <w:rFonts w:hint="eastAsia" w:cs="Times New Roman"/>
          <w:lang w:eastAsia="zh-CN"/>
        </w:rPr>
        <w:t>“</w:t>
      </w:r>
      <w:r>
        <w:rPr>
          <w:rFonts w:cs="Times New Roman"/>
        </w:rPr>
        <w:t>换电动汽车</w:t>
      </w:r>
      <w:r>
        <w:rPr>
          <w:rFonts w:hint="eastAsia" w:cs="Times New Roman"/>
          <w:lang w:eastAsia="zh-CN"/>
        </w:rPr>
        <w:t>”</w:t>
      </w:r>
      <w:r>
        <w:rPr>
          <w:rFonts w:cs="Times New Roman"/>
        </w:rPr>
        <w:t>基准</w:t>
      </w:r>
      <w:r>
        <w:rPr>
          <w:rFonts w:hint="eastAsia" w:cs="Times New Roman"/>
          <w:lang w:val="en-US" w:eastAsia="zh-CN"/>
        </w:rPr>
        <w:t>MAC</w:t>
      </w:r>
      <w:r>
        <w:rPr>
          <w:rFonts w:cs="Times New Roman"/>
        </w:rPr>
        <w:t>约12,826元/吨，计入直接反弹与经济反弹后飙升至近20,000元/吨。</w:t>
      </w:r>
      <w:r>
        <w:rPr>
          <w:rFonts w:hint="eastAsia" w:cs="Times New Roman"/>
          <w:lang w:eastAsia="zh-CN"/>
        </w:rPr>
        <w:t>“</w:t>
      </w:r>
      <w:r>
        <w:rPr>
          <w:rFonts w:cs="Times New Roman"/>
        </w:rPr>
        <w:t>豆腐代肉</w:t>
      </w:r>
      <w:r>
        <w:rPr>
          <w:rFonts w:hint="eastAsia" w:cs="Times New Roman"/>
          <w:lang w:eastAsia="zh-CN"/>
        </w:rPr>
        <w:t>”</w:t>
      </w:r>
      <w:r>
        <w:rPr>
          <w:rFonts w:cs="Times New Roman"/>
        </w:rPr>
        <w:t>与</w:t>
      </w:r>
      <w:r>
        <w:rPr>
          <w:rFonts w:hint="eastAsia" w:cs="Times New Roman"/>
          <w:lang w:eastAsia="zh-CN"/>
        </w:rPr>
        <w:t>“</w:t>
      </w:r>
      <w:r>
        <w:rPr>
          <w:rFonts w:cs="Times New Roman"/>
        </w:rPr>
        <w:t>换节能空调</w:t>
      </w:r>
      <w:r>
        <w:rPr>
          <w:rFonts w:hint="eastAsia" w:cs="Times New Roman"/>
          <w:lang w:eastAsia="zh-CN"/>
        </w:rPr>
        <w:t>”</w:t>
      </w:r>
      <w:r>
        <w:rPr>
          <w:rFonts w:cs="Times New Roman"/>
        </w:rPr>
        <w:t>因反弹后净减排量转负，</w:t>
      </w:r>
      <w:r>
        <w:rPr>
          <w:rFonts w:hint="eastAsia" w:cs="Times New Roman"/>
          <w:lang w:val="en-US" w:eastAsia="zh-CN"/>
        </w:rPr>
        <w:t>边际减排成本</w:t>
      </w:r>
      <w:r>
        <w:rPr>
          <w:rFonts w:cs="Times New Roman"/>
        </w:rPr>
        <w:t>经济学意义彻底失效，演变为"花钱增排"的气候陷阱。</w:t>
      </w:r>
    </w:p>
    <w:p w14:paraId="4E56B69D">
      <w:pPr>
        <w:ind w:firstLine="480"/>
        <w:rPr>
          <w:rFonts w:cs="Times New Roman"/>
          <w:szCs w:val="24"/>
        </w:rPr>
      </w:pPr>
      <w:r>
        <w:rPr>
          <w:rFonts w:cs="Times New Roman"/>
        </w:rPr>
        <w:t xml:space="preserve">综上对比，图 </w:t>
      </w:r>
      <w:r>
        <w:rPr>
          <w:rFonts w:hint="eastAsia" w:cs="Times New Roman"/>
          <w:lang w:eastAsia="zh-CN"/>
        </w:rPr>
        <w:t>5</w:t>
      </w:r>
      <w:r>
        <w:rPr>
          <w:rFonts w:hint="eastAsia" w:cs="Times New Roman"/>
        </w:rPr>
        <w:t>-2</w:t>
      </w:r>
      <w:r>
        <w:rPr>
          <w:rFonts w:cs="Times New Roman"/>
        </w:rPr>
        <w:t>(c) 中的参考线进一步</w:t>
      </w:r>
      <w:r>
        <w:rPr>
          <w:rFonts w:hint="eastAsia" w:cs="Times New Roman"/>
          <w:lang w:val="en-US" w:eastAsia="zh-CN"/>
        </w:rPr>
        <w:t>揭示</w:t>
      </w:r>
      <w:r>
        <w:rPr>
          <w:rFonts w:cs="Times New Roman"/>
        </w:rPr>
        <w:t>：即便是表现最优的需求侧行为，其真实的 MAC 也远高于当前中国碳市场的交易价格（约 90 元/吨）</w:t>
      </w:r>
      <w:r>
        <w:rPr>
          <w:rFonts w:hint="eastAsia" w:cs="Times New Roman"/>
          <w:lang w:val="en-US" w:eastAsia="zh-CN"/>
        </w:rPr>
        <w:t>与</w:t>
      </w:r>
      <w:r>
        <w:rPr>
          <w:rFonts w:cs="Times New Roman"/>
        </w:rPr>
        <w:t>社会碳成本基线（SCC, 约 1295 元/吨）。这表明，如果不对需求侧的微观行为辅以</w:t>
      </w:r>
      <w:r>
        <w:rPr>
          <w:rFonts w:hint="eastAsia" w:cs="Times New Roman"/>
          <w:lang w:eastAsia="zh-CN"/>
        </w:rPr>
        <w:t>“</w:t>
      </w:r>
      <w:r>
        <w:rPr>
          <w:rFonts w:cs="Times New Roman"/>
        </w:rPr>
        <w:t>预算锁定</w:t>
      </w:r>
      <w:r>
        <w:rPr>
          <w:rFonts w:hint="eastAsia" w:cs="Times New Roman"/>
          <w:lang w:eastAsia="zh-CN"/>
        </w:rPr>
        <w:t>”</w:t>
      </w:r>
      <w:r>
        <w:rPr>
          <w:rFonts w:cs="Times New Roman"/>
        </w:rPr>
        <w:t>机制以</w:t>
      </w:r>
      <w:r>
        <w:rPr>
          <w:rFonts w:hint="eastAsia" w:cs="Times New Roman"/>
          <w:lang w:val="en-US" w:eastAsia="zh-CN"/>
        </w:rPr>
        <w:t>削减反弹效应</w:t>
      </w:r>
      <w:r>
        <w:rPr>
          <w:rFonts w:cs="Times New Roman"/>
        </w:rPr>
        <w:t>，仅靠财政补贴来驱动大规模的生活方式低碳转型，其宏观经济效率将极其低下。</w:t>
      </w:r>
    </w:p>
    <w:p w14:paraId="4D215F4E">
      <w:pPr>
        <w:pStyle w:val="3"/>
        <w:bidi w:val="0"/>
      </w:pPr>
      <w:bookmarkStart w:id="30" w:name="_Toc27021"/>
      <w:bookmarkStart w:id="31" w:name="_Toc2954"/>
      <w:r>
        <w:rPr>
          <w:rFonts w:hint="eastAsia"/>
          <w:lang w:eastAsia="zh-CN"/>
        </w:rPr>
        <w:t>4</w:t>
      </w:r>
      <w:r>
        <w:t>.</w:t>
      </w:r>
      <w:r>
        <w:rPr>
          <w:rFonts w:hint="eastAsia"/>
        </w:rPr>
        <w:t>6</w:t>
      </w:r>
      <w:r>
        <w:t xml:space="preserve">  </w:t>
      </w:r>
      <w:r>
        <w:rPr>
          <w:rFonts w:hint="eastAsia"/>
        </w:rPr>
        <w:t>机器学习分析：反弹倾向驱动特征的非线性识别</w:t>
      </w:r>
      <w:bookmarkEnd w:id="30"/>
      <w:bookmarkEnd w:id="31"/>
    </w:p>
    <w:p w14:paraId="446DE00B">
      <w:pPr>
        <w:pStyle w:val="4"/>
        <w:bidi w:val="0"/>
      </w:pPr>
      <w:bookmarkStart w:id="32" w:name="_Toc5283"/>
      <w:bookmarkStart w:id="33" w:name="_Toc27746"/>
      <w:r>
        <w:rPr>
          <w:rFonts w:hint="eastAsia"/>
          <w:lang w:eastAsia="zh-CN"/>
        </w:rPr>
        <w:t>4</w:t>
      </w:r>
      <w:r>
        <w:t>.6.1 分析框架与模型设定</w:t>
      </w:r>
      <w:bookmarkEnd w:id="32"/>
      <w:bookmarkEnd w:id="33"/>
    </w:p>
    <w:p w14:paraId="358973DC">
      <w:pPr>
        <w:ind w:firstLine="480"/>
        <w:rPr>
          <w:rFonts w:cs="Times New Roman"/>
        </w:rPr>
      </w:pPr>
      <w:r>
        <w:rPr>
          <w:rFonts w:hint="eastAsia" w:cs="Times New Roman"/>
        </w:rPr>
        <w:t>为进一步识别驱动两类反弹倾向的关键特征变量组合，本研究</w:t>
      </w:r>
      <w:r>
        <w:rPr>
          <w:rFonts w:hint="eastAsia" w:cs="Times New Roman"/>
          <w:lang w:val="en-US" w:eastAsia="zh-CN"/>
        </w:rPr>
        <w:t>针对两个邻域反弹效应较为显著的</w:t>
      </w:r>
      <w:r>
        <w:rPr>
          <w:rFonts w:hint="eastAsia" w:cs="Times New Roman"/>
          <w:lang w:eastAsia="zh-CN"/>
        </w:rPr>
        <w:t>“</w:t>
      </w:r>
      <w:r>
        <w:rPr>
          <w:rFonts w:hint="eastAsia" w:cs="Times New Roman"/>
        </w:rPr>
        <w:t>换节能空调（</w:t>
      </w:r>
      <w:r>
        <w:rPr>
          <w:rFonts w:hint="eastAsia" w:cs="Times New Roman"/>
          <w:lang w:val="en-US" w:eastAsia="zh-CN"/>
        </w:rPr>
        <w:t>直接反弹</w:t>
      </w:r>
      <w:r>
        <w:rPr>
          <w:rFonts w:hint="eastAsia" w:cs="Times New Roman"/>
        </w:rPr>
        <w:t>AC_DRP）</w:t>
      </w:r>
      <w:r>
        <w:rPr>
          <w:rFonts w:hint="eastAsia" w:cs="Times New Roman"/>
          <w:lang w:eastAsia="zh-CN"/>
        </w:rPr>
        <w:t>”</w:t>
      </w:r>
      <w:r>
        <w:rPr>
          <w:rFonts w:hint="eastAsia" w:cs="Times New Roman"/>
        </w:rPr>
        <w:t>与</w:t>
      </w:r>
      <w:r>
        <w:rPr>
          <w:rFonts w:hint="eastAsia" w:cs="Times New Roman"/>
          <w:lang w:eastAsia="zh-CN"/>
        </w:rPr>
        <w:t>“</w:t>
      </w:r>
      <w:r>
        <w:rPr>
          <w:rFonts w:hint="eastAsia" w:cs="Times New Roman"/>
        </w:rPr>
        <w:t>豆腐代肉（</w:t>
      </w:r>
      <w:r>
        <w:rPr>
          <w:rFonts w:hint="eastAsia" w:cs="Times New Roman"/>
          <w:lang w:val="en-US" w:eastAsia="zh-CN"/>
        </w:rPr>
        <w:t>经济反弹</w:t>
      </w:r>
      <w:r>
        <w:rPr>
          <w:rFonts w:hint="eastAsia" w:cs="Times New Roman"/>
        </w:rPr>
        <w:t>Tofu_MPC）</w:t>
      </w:r>
      <w:r>
        <w:rPr>
          <w:rFonts w:hint="default" w:cs="Times New Roman"/>
          <w:lang w:val="en-US" w:eastAsia="zh-CN"/>
        </w:rPr>
        <w:t>”</w:t>
      </w:r>
      <w:r>
        <w:rPr>
          <w:rFonts w:hint="eastAsia" w:cs="Times New Roman"/>
          <w:lang w:val="en-US" w:eastAsia="zh-CN"/>
        </w:rPr>
        <w:t>行为，采用</w:t>
      </w:r>
      <w:r>
        <w:rPr>
          <w:rFonts w:hint="eastAsia" w:cs="Times New Roman"/>
        </w:rPr>
        <w:t>随机森林与梯度提升树（XGBoost）分别建模。共构造29个特征变量，涵盖人口统计、低碳行为频率、行为感知阻力、消费偏好及生活方式五个维度，采用5折分层交叉验证评估泛化能力，并以SHAP框架解构特征影响。</w:t>
      </w:r>
    </w:p>
    <w:p w14:paraId="466D3B9C">
      <w:pPr>
        <w:ind w:firstLine="0" w:firstLineChars="0"/>
        <w:rPr>
          <w:rFonts w:cs="Times New Roman" w:eastAsiaTheme="minorEastAsia"/>
        </w:rPr>
      </w:pPr>
      <w:r>
        <w:rPr>
          <w:rFonts w:hint="eastAsia" w:cs="Times New Roman" w:eastAsiaTheme="minorEastAsia"/>
        </w:rPr>
        <w:drawing>
          <wp:inline distT="0" distB="0" distL="114300" distR="114300">
            <wp:extent cx="5482590" cy="2818130"/>
            <wp:effectExtent l="0" t="0" r="3810" b="1270"/>
            <wp:docPr id="16" name="图片 16" descr="Fig_RF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_RF_Importance"/>
                    <pic:cNvPicPr>
                      <a:picLocks noChangeAspect="1"/>
                    </pic:cNvPicPr>
                  </pic:nvPicPr>
                  <pic:blipFill>
                    <a:blip r:embed="rId33"/>
                    <a:stretch>
                      <a:fillRect/>
                    </a:stretch>
                  </pic:blipFill>
                  <pic:spPr>
                    <a:xfrm>
                      <a:off x="0" y="0"/>
                      <a:ext cx="5482590" cy="2818130"/>
                    </a:xfrm>
                    <a:prstGeom prst="rect">
                      <a:avLst/>
                    </a:prstGeom>
                  </pic:spPr>
                </pic:pic>
              </a:graphicData>
            </a:graphic>
          </wp:inline>
        </w:drawing>
      </w:r>
    </w:p>
    <w:p w14:paraId="246D5FAA">
      <w:pPr>
        <w:tabs>
          <w:tab w:val="left" w:pos="377"/>
        </w:tabs>
        <w:ind w:firstLine="0" w:firstLineChars="0"/>
        <w:jc w:val="center"/>
        <w:rPr>
          <w:rFonts w:eastAsia="黑体" w:cs="Times New Roman"/>
        </w:rPr>
      </w:pPr>
      <w:r>
        <w:rPr>
          <w:rFonts w:hint="eastAsia" w:eastAsia="黑体"/>
        </w:rPr>
        <w:t>图</w:t>
      </w:r>
      <w:r>
        <w:rPr>
          <w:rFonts w:hint="eastAsia" w:eastAsia="黑体"/>
          <w:lang w:eastAsia="zh-CN"/>
        </w:rPr>
        <w:t>4</w:t>
      </w:r>
      <w:r>
        <w:rPr>
          <w:rFonts w:hint="eastAsia" w:eastAsia="黑体"/>
        </w:rPr>
        <w:t>-4</w:t>
      </w:r>
      <w:r>
        <w:rPr>
          <w:rFonts w:eastAsia="黑体" w:cs="Times New Roman"/>
        </w:rPr>
        <w:t xml:space="preserve"> </w:t>
      </w:r>
      <w:r>
        <w:rPr>
          <w:rFonts w:hint="eastAsia" w:eastAsia="黑体" w:cs="Times New Roman"/>
        </w:rPr>
        <w:t>随机森林变量重要性排序</w:t>
      </w:r>
    </w:p>
    <w:p w14:paraId="41C675AE">
      <w:pPr>
        <w:ind w:firstLine="0" w:firstLineChars="0"/>
        <w:jc w:val="center"/>
        <w:rPr>
          <w:rFonts w:eastAsia="黑体" w:cs="Times New Roman"/>
          <w:b/>
          <w:bCs/>
        </w:rPr>
      </w:pPr>
      <w:r>
        <w:rPr>
          <w:rFonts w:hint="eastAsia" w:eastAsia="黑体" w:cs="Times New Roman"/>
          <w:b/>
          <w:bCs/>
        </w:rPr>
        <w:t xml:space="preserve">Figure </w:t>
      </w:r>
      <w:r>
        <w:rPr>
          <w:rFonts w:hint="eastAsia" w:eastAsia="黑体" w:cs="Times New Roman"/>
          <w:b/>
          <w:bCs/>
          <w:lang w:eastAsia="zh-CN"/>
        </w:rPr>
        <w:t>4</w:t>
      </w:r>
      <w:r>
        <w:rPr>
          <w:rFonts w:hint="eastAsia" w:eastAsia="黑体" w:cs="Times New Roman"/>
          <w:b/>
          <w:bCs/>
        </w:rPr>
        <w:t>-4 Random forest variable importance ranking</w:t>
      </w:r>
      <w:r>
        <w:rPr>
          <w:rFonts w:eastAsia="黑体" w:cs="Times New Roman"/>
          <w:b/>
          <w:bCs/>
        </w:rPr>
        <w:t xml:space="preserve"> </w:t>
      </w:r>
    </w:p>
    <w:p w14:paraId="6812528C">
      <w:pPr>
        <w:ind w:firstLine="0" w:firstLineChars="0"/>
        <w:jc w:val="center"/>
        <w:rPr>
          <w:rFonts w:eastAsia="黑体" w:cs="Times New Roman"/>
          <w:b/>
          <w:bCs/>
        </w:rPr>
      </w:pPr>
    </w:p>
    <w:p w14:paraId="4768B1B7">
      <w:pPr>
        <w:ind w:firstLine="0" w:firstLineChars="0"/>
        <w:rPr>
          <w:rFonts w:cs="Times New Roman" w:eastAsiaTheme="minorEastAsia"/>
        </w:rPr>
      </w:pPr>
      <w:r>
        <w:rPr>
          <w:rFonts w:hint="eastAsia" w:cs="Times New Roman" w:eastAsiaTheme="minorEastAsia"/>
        </w:rPr>
        <w:drawing>
          <wp:inline distT="0" distB="0" distL="114300" distR="114300">
            <wp:extent cx="5083175" cy="2937510"/>
            <wp:effectExtent l="0" t="0" r="3175" b="5715"/>
            <wp:docPr id="17" name="图片 17" descr="Fig_Heatmap_D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_Heatmap_DRP"/>
                    <pic:cNvPicPr>
                      <a:picLocks noChangeAspect="1"/>
                    </pic:cNvPicPr>
                  </pic:nvPicPr>
                  <pic:blipFill>
                    <a:blip r:embed="rId34"/>
                    <a:stretch>
                      <a:fillRect/>
                    </a:stretch>
                  </pic:blipFill>
                  <pic:spPr>
                    <a:xfrm>
                      <a:off x="0" y="0"/>
                      <a:ext cx="5083175" cy="2937510"/>
                    </a:xfrm>
                    <a:prstGeom prst="rect">
                      <a:avLst/>
                    </a:prstGeom>
                  </pic:spPr>
                </pic:pic>
              </a:graphicData>
            </a:graphic>
          </wp:inline>
        </w:drawing>
      </w:r>
    </w:p>
    <w:p w14:paraId="29015C61">
      <w:pPr>
        <w:tabs>
          <w:tab w:val="left" w:pos="377"/>
        </w:tabs>
        <w:ind w:firstLine="0" w:firstLineChars="0"/>
        <w:jc w:val="center"/>
        <w:rPr>
          <w:rFonts w:eastAsia="黑体" w:cs="Times New Roman"/>
        </w:rPr>
      </w:pPr>
      <w:r>
        <w:rPr>
          <w:rFonts w:hint="eastAsia" w:eastAsia="黑体"/>
        </w:rPr>
        <w:t>图</w:t>
      </w:r>
      <w:r>
        <w:rPr>
          <w:rFonts w:hint="eastAsia" w:eastAsia="黑体"/>
          <w:lang w:eastAsia="zh-CN"/>
        </w:rPr>
        <w:t>4</w:t>
      </w:r>
      <w:r>
        <w:rPr>
          <w:rFonts w:hint="eastAsia" w:eastAsia="黑体"/>
        </w:rPr>
        <w:t>-5</w:t>
      </w:r>
      <w:r>
        <w:rPr>
          <w:rFonts w:eastAsia="黑体" w:cs="Times New Roman"/>
        </w:rPr>
        <w:t xml:space="preserve"> </w:t>
      </w:r>
      <w:r>
        <w:rPr>
          <w:rFonts w:hint="eastAsia" w:eastAsia="黑体" w:cs="Times New Roman"/>
        </w:rPr>
        <w:t>直接反弹率热力图</w:t>
      </w:r>
      <w:bookmarkStart w:id="56" w:name="_GoBack"/>
      <w:bookmarkEnd w:id="56"/>
    </w:p>
    <w:p w14:paraId="7BE48507">
      <w:pPr>
        <w:ind w:firstLine="0" w:firstLineChars="0"/>
        <w:jc w:val="center"/>
        <w:rPr>
          <w:rFonts w:eastAsia="黑体" w:cs="Times New Roman"/>
          <w:b/>
          <w:bCs/>
        </w:rPr>
      </w:pPr>
      <w:r>
        <w:rPr>
          <w:rFonts w:hint="eastAsia" w:eastAsia="黑体" w:cs="Times New Roman"/>
          <w:b/>
          <w:bCs/>
        </w:rPr>
        <w:t xml:space="preserve">Figure </w:t>
      </w:r>
      <w:r>
        <w:rPr>
          <w:rFonts w:hint="eastAsia" w:eastAsia="黑体" w:cs="Times New Roman"/>
          <w:b/>
          <w:bCs/>
          <w:lang w:eastAsia="zh-CN"/>
        </w:rPr>
        <w:t>4</w:t>
      </w:r>
      <w:r>
        <w:rPr>
          <w:rFonts w:hint="eastAsia" w:eastAsia="黑体" w:cs="Times New Roman"/>
          <w:b/>
          <w:bCs/>
        </w:rPr>
        <w:t>-5 Direct bounce rate heatmap</w:t>
      </w:r>
    </w:p>
    <w:p w14:paraId="00F2D129">
      <w:pPr>
        <w:ind w:firstLine="0" w:firstLineChars="0"/>
        <w:jc w:val="center"/>
        <w:rPr>
          <w:rFonts w:eastAsia="黑体" w:cs="Times New Roman"/>
          <w:b/>
          <w:bCs/>
        </w:rPr>
      </w:pPr>
    </w:p>
    <w:p w14:paraId="0EB16805">
      <w:pPr>
        <w:ind w:firstLine="480"/>
        <w:rPr>
          <w:rFonts w:cs="Times New Roman" w:eastAsiaTheme="minorEastAsia"/>
        </w:rPr>
      </w:pPr>
      <w:r>
        <w:rPr>
          <w:rFonts w:hint="eastAsia" w:cs="Times New Roman" w:eastAsiaTheme="minorEastAsia"/>
        </w:rPr>
        <w:drawing>
          <wp:inline distT="0" distB="0" distL="114300" distR="114300">
            <wp:extent cx="4834890" cy="3929380"/>
            <wp:effectExtent l="0" t="0" r="3810" b="4445"/>
            <wp:docPr id="18" name="图片 18" descr="Fig_SHAP_DRP_beesw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_SHAP_DRP_beeswarm"/>
                    <pic:cNvPicPr>
                      <a:picLocks noChangeAspect="1"/>
                    </pic:cNvPicPr>
                  </pic:nvPicPr>
                  <pic:blipFill>
                    <a:blip r:embed="rId35"/>
                    <a:stretch>
                      <a:fillRect/>
                    </a:stretch>
                  </pic:blipFill>
                  <pic:spPr>
                    <a:xfrm>
                      <a:off x="0" y="0"/>
                      <a:ext cx="4834890" cy="3929380"/>
                    </a:xfrm>
                    <a:prstGeom prst="rect">
                      <a:avLst/>
                    </a:prstGeom>
                  </pic:spPr>
                </pic:pic>
              </a:graphicData>
            </a:graphic>
          </wp:inline>
        </w:drawing>
      </w:r>
    </w:p>
    <w:p w14:paraId="564315CB">
      <w:pPr>
        <w:tabs>
          <w:tab w:val="left" w:pos="377"/>
        </w:tabs>
        <w:ind w:firstLine="0" w:firstLineChars="0"/>
        <w:jc w:val="center"/>
        <w:rPr>
          <w:rFonts w:eastAsia="黑体" w:cs="Times New Roman"/>
        </w:rPr>
      </w:pPr>
      <w:r>
        <w:rPr>
          <w:rFonts w:hint="eastAsia" w:eastAsia="黑体"/>
        </w:rPr>
        <w:t>图</w:t>
      </w:r>
      <w:r>
        <w:rPr>
          <w:rFonts w:hint="eastAsia" w:eastAsia="黑体"/>
          <w:lang w:eastAsia="zh-CN"/>
        </w:rPr>
        <w:t>4</w:t>
      </w:r>
      <w:r>
        <w:rPr>
          <w:rFonts w:hint="eastAsia" w:eastAsia="黑体"/>
        </w:rPr>
        <w:t>-6</w:t>
      </w:r>
      <w:r>
        <w:rPr>
          <w:rFonts w:eastAsia="黑体" w:cs="Times New Roman"/>
        </w:rPr>
        <w:t xml:space="preserve"> </w:t>
      </w:r>
      <w:r>
        <w:rPr>
          <w:rFonts w:hint="eastAsia" w:eastAsia="黑体" w:cs="Times New Roman"/>
        </w:rPr>
        <w:t>SHAP蜂群图</w:t>
      </w:r>
    </w:p>
    <w:p w14:paraId="15D97DC3">
      <w:pPr>
        <w:ind w:firstLine="0" w:firstLineChars="0"/>
        <w:jc w:val="center"/>
        <w:rPr>
          <w:rFonts w:hint="eastAsia" w:eastAsia="黑体" w:cs="Times New Roman"/>
          <w:b/>
          <w:bCs/>
        </w:rPr>
      </w:pPr>
      <w:r>
        <w:rPr>
          <w:rFonts w:hint="eastAsia" w:eastAsia="黑体" w:cs="Times New Roman"/>
          <w:b/>
          <w:bCs/>
        </w:rPr>
        <w:t xml:space="preserve">Figure </w:t>
      </w:r>
      <w:r>
        <w:rPr>
          <w:rFonts w:hint="eastAsia" w:eastAsia="黑体" w:cs="Times New Roman"/>
          <w:b/>
          <w:bCs/>
          <w:lang w:eastAsia="zh-CN"/>
        </w:rPr>
        <w:t>4</w:t>
      </w:r>
      <w:r>
        <w:rPr>
          <w:rFonts w:hint="eastAsia" w:eastAsia="黑体" w:cs="Times New Roman"/>
          <w:b/>
          <w:bCs/>
        </w:rPr>
        <w:t>-6 SHAP Swarm Plot</w:t>
      </w:r>
    </w:p>
    <w:p w14:paraId="3A379DFC">
      <w:pPr>
        <w:ind w:firstLine="480"/>
        <w:rPr>
          <w:rFonts w:hint="eastAsia" w:cs="Times New Roman"/>
        </w:rPr>
      </w:pPr>
      <w:r>
        <w:rPr>
          <w:rFonts w:hint="eastAsia" w:cs="Times New Roman"/>
          <w:lang w:eastAsia="zh-CN"/>
        </w:rPr>
        <w:t>（</w:t>
      </w:r>
      <w:r>
        <w:rPr>
          <w:rFonts w:hint="eastAsia" w:cs="Times New Roman"/>
          <w:lang w:val="en-US" w:eastAsia="zh-CN"/>
        </w:rPr>
        <w:t>1</w:t>
      </w:r>
      <w:r>
        <w:rPr>
          <w:rFonts w:hint="eastAsia" w:cs="Times New Roman"/>
          <w:lang w:eastAsia="zh-CN"/>
        </w:rPr>
        <w:t>）</w:t>
      </w:r>
      <w:r>
        <w:rPr>
          <w:rFonts w:hint="eastAsia" w:cs="Times New Roman"/>
        </w:rPr>
        <w:t>直接反弹（AC_DRP）： 模型准确率为62.3%–64.5%，在小样本约束下具有参考价值。SHAP与Gini双重排序一致显示，家庭收入为最重要特征（Gini = 0.177），领先第二位约2.7倍，独立印证了收入是决定直接反弹的首要结构性变量。SHAP方向分析显示低收入系统性推高反弹概率，高收入则具有抑制效应，与</w:t>
      </w:r>
      <w:r>
        <w:rPr>
          <w:rFonts w:hint="eastAsia" w:cs="Times New Roman"/>
          <w:lang w:eastAsia="zh-CN"/>
        </w:rPr>
        <w:t>“</w:t>
      </w:r>
      <w:r>
        <w:rPr>
          <w:rFonts w:hint="eastAsia" w:cs="Times New Roman"/>
        </w:rPr>
        <w:t>饱和效应</w:t>
      </w:r>
      <w:r>
        <w:rPr>
          <w:rFonts w:hint="eastAsia" w:cs="Times New Roman"/>
          <w:lang w:eastAsia="zh-CN"/>
        </w:rPr>
        <w:t>”</w:t>
      </w:r>
      <w:r>
        <w:rPr>
          <w:rFonts w:hint="eastAsia" w:cs="Times New Roman"/>
        </w:rPr>
        <w:t>机制吻合。分组热力图亦显示低收入组反弹率（47.9%）约为中收入组（14.6%）的3.3倍。</w:t>
      </w:r>
    </w:p>
    <w:p w14:paraId="37E80002">
      <w:pPr>
        <w:ind w:firstLine="480"/>
        <w:rPr>
          <w:rFonts w:hint="eastAsia" w:cs="Times New Roman"/>
        </w:rPr>
      </w:pPr>
      <w:r>
        <w:rPr>
          <w:rFonts w:hint="eastAsia" w:cs="Times New Roman"/>
          <w:lang w:eastAsia="zh-CN"/>
        </w:rPr>
        <w:t>（</w:t>
      </w:r>
      <w:r>
        <w:rPr>
          <w:rFonts w:hint="eastAsia" w:cs="Times New Roman"/>
          <w:lang w:val="en-US" w:eastAsia="zh-CN"/>
        </w:rPr>
        <w:t>2</w:t>
      </w:r>
      <w:r>
        <w:rPr>
          <w:rFonts w:hint="eastAsia" w:cs="Times New Roman"/>
          <w:lang w:eastAsia="zh-CN"/>
        </w:rPr>
        <w:t>）</w:t>
      </w:r>
      <w:r>
        <w:rPr>
          <w:rFonts w:hint="eastAsia" w:cs="Times New Roman"/>
        </w:rPr>
        <w:t>经济反弹（Tofu_MPC）： 模型准确率仅26.8%，低于三分类随机基线（33.3%），且特征重要性分布平坦（最高值仅0.069），呈</w:t>
      </w:r>
      <w:r>
        <w:rPr>
          <w:rFonts w:hint="eastAsia" w:cs="Times New Roman"/>
          <w:lang w:eastAsia="zh-CN"/>
        </w:rPr>
        <w:t>“</w:t>
      </w:r>
      <w:r>
        <w:rPr>
          <w:rFonts w:hint="eastAsia" w:cs="Times New Roman"/>
        </w:rPr>
        <w:t>无主导特征</w:t>
      </w:r>
      <w:r>
        <w:rPr>
          <w:rFonts w:hint="eastAsia" w:cs="Times New Roman"/>
          <w:lang w:eastAsia="zh-CN"/>
        </w:rPr>
        <w:t>”</w:t>
      </w:r>
      <w:r>
        <w:rPr>
          <w:rFonts w:hint="eastAsia" w:cs="Times New Roman"/>
        </w:rPr>
        <w:t>格局。这本身构成实证发现——29个特征无法系统预测经济反弹，印证其跨阶层普适性。分组统计亦显示三组</w:t>
      </w:r>
      <w:r>
        <w:rPr>
          <w:rFonts w:hint="eastAsia" w:cs="Times New Roman"/>
          <w:lang w:eastAsia="zh-CN"/>
        </w:rPr>
        <w:t>“</w:t>
      </w:r>
      <w:r>
        <w:rPr>
          <w:rFonts w:hint="eastAsia" w:cs="Times New Roman"/>
        </w:rPr>
        <w:t>花掉节余</w:t>
      </w:r>
      <w:r>
        <w:rPr>
          <w:rFonts w:hint="eastAsia" w:cs="Times New Roman"/>
          <w:lang w:eastAsia="zh-CN"/>
        </w:rPr>
        <w:t>”</w:t>
      </w:r>
      <w:r>
        <w:rPr>
          <w:rFonts w:hint="eastAsia" w:cs="Times New Roman"/>
        </w:rPr>
        <w:t>比例相近（低收入72.3%、中收入66.7%、高收入68.8%），不存在阶层分化。</w:t>
      </w:r>
    </w:p>
    <w:p w14:paraId="536B5ABD">
      <w:pPr>
        <w:ind w:firstLine="480"/>
        <w:rPr>
          <w:rFonts w:hint="eastAsia" w:eastAsia="黑体" w:cs="Times New Roman"/>
          <w:b/>
          <w:bCs/>
        </w:rPr>
      </w:pPr>
      <w:r>
        <w:rPr>
          <w:rFonts w:hint="eastAsia" w:cs="Times New Roman"/>
        </w:rPr>
        <w:t>两类反弹的机器学习结果有力支持H1，也为政策设计指明了不同方向：政策</w:t>
      </w:r>
      <w:r>
        <w:rPr>
          <w:rFonts w:hint="eastAsia" w:cs="Times New Roman"/>
          <w:lang w:val="en-US" w:eastAsia="zh-CN"/>
        </w:rPr>
        <w:t>需</w:t>
      </w:r>
      <w:r>
        <w:rPr>
          <w:rFonts w:hint="eastAsia" w:cs="Times New Roman"/>
        </w:rPr>
        <w:t>精准</w:t>
      </w:r>
      <w:r>
        <w:rPr>
          <w:rFonts w:hint="eastAsia" w:cs="Times New Roman"/>
          <w:lang w:val="en-US" w:eastAsia="zh-CN"/>
        </w:rPr>
        <w:t>针对低收入人群靶向防范直接反弹损耗</w:t>
      </w:r>
      <w:r>
        <w:rPr>
          <w:rFonts w:hint="eastAsia" w:cs="Times New Roman"/>
        </w:rPr>
        <w:t>；经济反弹则</w:t>
      </w:r>
      <w:r>
        <w:rPr>
          <w:rFonts w:hint="eastAsia" w:cs="Times New Roman"/>
          <w:lang w:val="en-US" w:eastAsia="zh-CN"/>
        </w:rPr>
        <w:t>具有跨阶级性，</w:t>
      </w:r>
      <w:r>
        <w:rPr>
          <w:rFonts w:hint="eastAsia" w:cs="Times New Roman"/>
        </w:rPr>
        <w:t>只能依靠制度层面的普惠性约束。</w:t>
      </w:r>
    </w:p>
    <w:p w14:paraId="66A52A32">
      <w:pPr>
        <w:widowControl/>
        <w:ind w:firstLine="0" w:firstLineChars="0"/>
        <w:jc w:val="left"/>
        <w:rPr>
          <w:rFonts w:cs="Times New Roman"/>
        </w:rPr>
      </w:pPr>
    </w:p>
    <w:p w14:paraId="604F578A">
      <w:pPr>
        <w:rPr>
          <w:rFonts w:ascii="Times New Roman" w:hAnsi="Times New Roman" w:cs="Times New Roman"/>
        </w:rPr>
      </w:pPr>
      <w:r>
        <w:rPr>
          <w:rFonts w:ascii="Times New Roman" w:hAnsi="Times New Roman" w:cs="Times New Roman"/>
        </w:rPr>
        <w:br w:type="page"/>
      </w:r>
    </w:p>
    <w:p w14:paraId="71E3FF7C">
      <w:pPr>
        <w:pStyle w:val="3"/>
        <w:bidi w:val="0"/>
        <w:rPr>
          <w:rFonts w:hint="default" w:eastAsia="黑体"/>
          <w:lang w:val="en-US" w:eastAsia="zh-CN"/>
        </w:rPr>
      </w:pPr>
      <w:bookmarkStart w:id="34" w:name="_Toc6719"/>
      <w:r>
        <w:rPr>
          <w:rFonts w:hint="eastAsia"/>
          <w:lang w:eastAsia="zh-CN"/>
        </w:rPr>
        <w:t>4</w:t>
      </w:r>
      <w:r>
        <w:t>.4  心理反弹</w:t>
      </w:r>
      <w:r>
        <w:rPr>
          <w:rFonts w:hint="eastAsia"/>
          <w:lang w:val="en-US" w:eastAsia="zh-CN"/>
        </w:rPr>
        <w:t>机制检验</w:t>
      </w:r>
      <w:bookmarkEnd w:id="34"/>
    </w:p>
    <w:p w14:paraId="13AE3276">
      <w:pPr>
        <w:ind w:firstLine="480"/>
        <w:rPr>
          <w:rFonts w:cs="Times New Roman"/>
        </w:rPr>
      </w:pPr>
      <w:r>
        <w:rPr>
          <w:rFonts w:cs="Times New Roman"/>
        </w:rPr>
        <w:t>为探究心理反弹效应的微观传导机制，本研究采用Process Macr</w:t>
      </w:r>
      <w:r>
        <w:rPr>
          <w:rFonts w:hint="eastAsia" w:cs="Times New Roman"/>
          <w:lang w:val="en-US" w:eastAsia="zh-CN"/>
        </w:rPr>
        <w:t>o</w:t>
      </w:r>
      <w:r>
        <w:rPr>
          <w:rFonts w:cs="Times New Roman"/>
        </w:rPr>
        <w:t>检验</w:t>
      </w:r>
      <w:r>
        <w:rPr>
          <w:rFonts w:hint="eastAsia" w:cs="Times New Roman"/>
          <w:lang w:eastAsia="zh-CN"/>
        </w:rPr>
        <w:t>“</w:t>
      </w:r>
      <w:r>
        <w:rPr>
          <w:rFonts w:cs="Times New Roman"/>
        </w:rPr>
        <w:t xml:space="preserve">客观阻力(X) </w:t>
      </w:r>
      <w:r>
        <w:rPr>
          <w:rFonts w:cs="Times New Roman"/>
          <w:szCs w:val="24"/>
        </w:rPr>
        <w:object>
          <v:shape id="_x0000_i1034" o:spt="75" type="#_x0000_t75" style="height:10.9pt;width:15pt;" o:ole="t" filled="f" o:preferrelative="t" stroked="f" coordsize="21600,21600">
            <v:path/>
            <v:fill on="f" focussize="0,0"/>
            <v:stroke on="f" joinstyle="miter"/>
            <v:imagedata r:id="rId37" o:title=""/>
            <o:lock v:ext="edit" aspectratio="t"/>
            <w10:wrap type="none"/>
            <w10:anchorlock/>
          </v:shape>
          <o:OLEObject Type="Embed" ProgID="Equation.DSMT4" ShapeID="_x0000_i1034" DrawAspect="Content" ObjectID="_1468075734" r:id="rId36">
            <o:LockedField>false</o:LockedField>
          </o:OLEObject>
        </w:object>
      </w:r>
      <w:r>
        <w:rPr>
          <w:rFonts w:cs="Times New Roman"/>
        </w:rPr>
        <w:t xml:space="preserve"> 权利感(M) </w:t>
      </w:r>
      <w:r>
        <w:rPr>
          <w:rFonts w:cs="Times New Roman"/>
          <w:szCs w:val="24"/>
        </w:rPr>
        <w:object>
          <v:shape id="_x0000_i1035" o:spt="75" type="#_x0000_t75" style="height:10.9pt;width:15pt;" o:ole="t" filled="f" o:preferrelative="t" stroked="f" coordsize="21600,21600">
            <v:path/>
            <v:fill on="f" focussize="0,0"/>
            <v:stroke on="f" joinstyle="miter"/>
            <v:imagedata r:id="rId39" o:title=""/>
            <o:lock v:ext="edit" aspectratio="t"/>
            <w10:wrap type="none"/>
            <w10:anchorlock/>
          </v:shape>
          <o:OLEObject Type="Embed" ProgID="Equation.DSMT4" ShapeID="_x0000_i1035" DrawAspect="Content" ObjectID="_1468075735" r:id="rId38">
            <o:LockedField>false</o:LockedField>
          </o:OLEObject>
        </w:object>
      </w:r>
      <w:r>
        <w:rPr>
          <w:rFonts w:cs="Times New Roman"/>
        </w:rPr>
        <w:t xml:space="preserve"> 高碳意愿(Y)</w:t>
      </w:r>
      <w:r>
        <w:rPr>
          <w:rFonts w:hint="eastAsia" w:cs="Times New Roman"/>
          <w:lang w:eastAsia="zh-CN"/>
        </w:rPr>
        <w:t>”</w:t>
      </w:r>
      <w:r>
        <w:rPr>
          <w:rFonts w:cs="Times New Roman"/>
        </w:rPr>
        <w:t>的中介路径</w:t>
      </w:r>
      <w:r>
        <w:rPr>
          <w:rFonts w:hint="eastAsia" w:cs="Times New Roman"/>
          <w:lang w:eastAsia="zh-CN"/>
        </w:rPr>
        <w:t>。</w:t>
      </w:r>
      <w:r>
        <w:rPr>
          <w:rFonts w:hint="eastAsia" w:cs="Times New Roman"/>
        </w:rPr>
        <w:t>结果显示，客观阻力对权利感的主效应在总体层面不显著</w:t>
      </w:r>
      <w:r>
        <w:rPr>
          <w:rFonts w:cs="Times New Roman"/>
        </w:rPr>
        <w:t>（</w:t>
      </w:r>
      <w:r>
        <w:rPr>
          <w:rFonts w:cs="Times New Roman"/>
          <w:position w:val="-10"/>
          <w:szCs w:val="24"/>
        </w:rPr>
        <w:object>
          <v:shape id="_x0000_i1036" o:spt="75" type="#_x0000_t75" style="height:16.15pt;width:139.9pt;" o:ole="t" filled="f" o:preferrelative="t" stroked="f" coordsize="21600,21600">
            <v:path/>
            <v:fill on="f" focussize="0,0"/>
            <v:stroke on="f"/>
            <v:imagedata r:id="rId41" o:title=""/>
            <o:lock v:ext="edit" aspectratio="t"/>
            <w10:wrap type="none"/>
            <w10:anchorlock/>
          </v:shape>
          <o:OLEObject Type="Embed" ProgID="Equation.DSMT4" ShapeID="_x0000_i1036" DrawAspect="Content" ObjectID="_1468075736" r:id="rId40">
            <o:LockedField>false</o:LockedField>
          </o:OLEObject>
        </w:object>
      </w:r>
      <w:r>
        <w:rPr>
          <w:rFonts w:cs="Times New Roman"/>
        </w:rPr>
        <w:t>），</w:t>
      </w:r>
      <w:r>
        <w:rPr>
          <w:rFonts w:hint="eastAsia" w:cs="Times New Roman"/>
        </w:rPr>
        <w:t>但权利感对高碳意愿具有显著正向预测作用</w:t>
      </w:r>
      <w:r>
        <w:rPr>
          <w:rFonts w:cs="Times New Roman"/>
        </w:rPr>
        <w:t>（</w:t>
      </w:r>
      <w:r>
        <w:rPr>
          <w:rFonts w:cs="Times New Roman"/>
          <w:szCs w:val="24"/>
        </w:rPr>
        <w:object>
          <v:shape id="_x0000_i1037" o:spt="75" type="#_x0000_t75" style="height:16.15pt;width:100.9pt;" o:ole="t" filled="f" o:preferrelative="t" stroked="f" coordsize="21600,21600">
            <v:path/>
            <v:fill on="f" focussize="0,0"/>
            <v:stroke on="f" joinstyle="miter"/>
            <v:imagedata r:id="rId43" o:title=""/>
            <o:lock v:ext="edit" aspectratio="t"/>
            <w10:wrap type="none"/>
            <w10:anchorlock/>
          </v:shape>
          <o:OLEObject Type="Embed" ProgID="Equation.DSMT4" ShapeID="_x0000_i1037" DrawAspect="Content" ObjectID="_1468075737" r:id="rId42">
            <o:LockedField>false</o:LockedField>
          </o:OLEObject>
        </w:object>
      </w:r>
      <w:r>
        <w:rPr>
          <w:rFonts w:cs="Times New Roman"/>
        </w:rPr>
        <w:t>）</w:t>
      </w:r>
      <w:r>
        <w:rPr>
          <w:rFonts w:hint="eastAsia" w:cs="Times New Roman"/>
          <w:lang w:eastAsia="zh-CN"/>
        </w:rPr>
        <w:t>，</w:t>
      </w:r>
      <w:r>
        <w:rPr>
          <w:rFonts w:hint="eastAsia" w:cs="Times New Roman"/>
          <w:lang w:val="en-US" w:eastAsia="zh-CN"/>
        </w:rPr>
        <w:t>表明“</w:t>
      </w:r>
      <w:r>
        <w:rPr>
          <w:rFonts w:hint="eastAsia" w:cs="Times New Roman"/>
        </w:rPr>
        <w:t>权利感</w:t>
      </w:r>
      <w:r>
        <w:rPr>
          <w:rFonts w:hint="eastAsia" w:cs="Times New Roman"/>
          <w:lang w:eastAsia="zh-CN"/>
        </w:rPr>
        <w:t>”</w:t>
      </w:r>
      <w:r>
        <w:rPr>
          <w:rFonts w:hint="eastAsia" w:cs="Times New Roman"/>
        </w:rPr>
        <w:t>一旦被激活，将显著提升高碳反弹概率</w:t>
      </w:r>
      <w:r>
        <w:rPr>
          <w:rFonts w:cs="Times New Roman"/>
        </w:rPr>
        <w:t>（</w:t>
      </w:r>
      <w:r>
        <w:rPr>
          <w:rFonts w:hint="eastAsia" w:cs="Times New Roman"/>
        </w:rPr>
        <w:t>表</w:t>
      </w:r>
      <w:r>
        <w:rPr>
          <w:rFonts w:hint="eastAsia" w:cs="Times New Roman"/>
          <w:lang w:eastAsia="zh-CN"/>
        </w:rPr>
        <w:t>4</w:t>
      </w:r>
      <w:r>
        <w:rPr>
          <w:rFonts w:hint="eastAsia" w:cs="Times New Roman"/>
        </w:rPr>
        <w:t>-1）</w:t>
      </w:r>
      <w:r>
        <w:rPr>
          <w:rFonts w:cs="Times New Roman"/>
        </w:rPr>
        <w:t>。</w:t>
      </w:r>
    </w:p>
    <w:p w14:paraId="57755A13">
      <w:pPr>
        <w:ind w:firstLine="0" w:firstLineChars="0"/>
        <w:rPr>
          <w:rFonts w:cs="Times New Roman"/>
        </w:rPr>
      </w:pPr>
    </w:p>
    <w:p w14:paraId="678D4A71">
      <w:pPr>
        <w:tabs>
          <w:tab w:val="left" w:pos="377"/>
        </w:tabs>
        <w:ind w:firstLine="0" w:firstLineChars="0"/>
        <w:jc w:val="center"/>
        <w:rPr>
          <w:rFonts w:eastAsia="黑体" w:cs="Times New Roman"/>
        </w:rPr>
      </w:pPr>
      <w:r>
        <w:rPr>
          <w:rFonts w:eastAsia="黑体" w:cs="Times New Roman"/>
        </w:rPr>
        <w:t>表</w:t>
      </w:r>
      <w:r>
        <w:rPr>
          <w:rFonts w:hint="eastAsia" w:eastAsia="黑体"/>
          <w:lang w:eastAsia="zh-CN"/>
        </w:rPr>
        <w:t>4</w:t>
      </w:r>
      <w:r>
        <w:rPr>
          <w:rFonts w:hint="eastAsia" w:eastAsia="黑体"/>
        </w:rPr>
        <w:t>-1</w:t>
      </w:r>
      <w:r>
        <w:rPr>
          <w:rFonts w:eastAsia="黑体" w:cs="Times New Roman"/>
        </w:rPr>
        <w:t xml:space="preserve"> 心理反弹的掩蔽效应与有调节的中介模型检验</w:t>
      </w:r>
    </w:p>
    <w:p w14:paraId="47329AA8">
      <w:pPr>
        <w:tabs>
          <w:tab w:val="left" w:pos="377"/>
        </w:tabs>
        <w:ind w:firstLine="0" w:firstLineChars="0"/>
        <w:jc w:val="center"/>
        <w:rPr>
          <w:rFonts w:eastAsia="黑体" w:cs="Times New Roman"/>
          <w:b/>
          <w:bCs/>
        </w:rPr>
      </w:pPr>
      <w:r>
        <w:rPr>
          <w:rFonts w:hint="eastAsia" w:eastAsia="黑体" w:cs="Times New Roman"/>
          <w:b/>
          <w:bCs/>
        </w:rPr>
        <w:t xml:space="preserve">Table </w:t>
      </w:r>
      <w:r>
        <w:rPr>
          <w:rFonts w:hint="eastAsia" w:eastAsia="黑体" w:cs="Times New Roman"/>
          <w:b/>
          <w:bCs/>
          <w:lang w:eastAsia="zh-CN"/>
        </w:rPr>
        <w:t>4</w:t>
      </w:r>
      <w:r>
        <w:rPr>
          <w:rFonts w:hint="eastAsia" w:eastAsia="黑体" w:cs="Times New Roman"/>
          <w:b/>
          <w:bCs/>
        </w:rPr>
        <w:t xml:space="preserve">-1 </w:t>
      </w:r>
      <w:r>
        <w:rPr>
          <w:rFonts w:eastAsia="黑体" w:cs="Times New Roman"/>
          <w:b/>
          <w:bCs/>
        </w:rPr>
        <w:t>The Masking Effect of Psychological Rebound and the Test of a Moderated Mediation Model</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2214"/>
        <w:gridCol w:w="2214"/>
        <w:gridCol w:w="2214"/>
      </w:tblGrid>
      <w:tr w14:paraId="6A18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single" w:color="000000" w:sz="12" w:space="0"/>
              <w:left w:val="nil"/>
              <w:bottom w:val="single" w:color="000000" w:sz="4" w:space="0"/>
              <w:right w:val="nil"/>
              <w:tl2br w:val="nil"/>
            </w:tcBorders>
            <w:shd w:val="clear" w:color="auto" w:fill="FFFFFF"/>
            <w:vAlign w:val="center"/>
          </w:tcPr>
          <w:p w14:paraId="5C9D6361">
            <w:pPr>
              <w:keepNext w:val="0"/>
              <w:keepLines w:val="0"/>
              <w:suppressLineNumbers w:val="0"/>
              <w:tabs>
                <w:tab w:val="left" w:pos="377"/>
              </w:tabs>
              <w:spacing w:before="0" w:beforeAutospacing="0" w:after="0" w:afterAutospacing="0"/>
              <w:ind w:left="0" w:right="0" w:firstLine="0" w:firstLineChars="0"/>
              <w:jc w:val="center"/>
              <w:rPr>
                <w:rFonts w:hint="default" w:eastAsia="黑体" w:cs="Times New Roman"/>
                <w:bCs/>
                <w:color w:val="000000"/>
              </w:rPr>
            </w:pPr>
            <w:r>
              <w:rPr>
                <w:rFonts w:hint="eastAsia" w:ascii="宋体" w:hAnsi="宋体" w:cs="Times New Roman"/>
                <w:color w:val="000000"/>
                <w:sz w:val="20"/>
                <w:szCs w:val="21"/>
              </w:rPr>
              <w:t>变量/路径</w:t>
            </w:r>
          </w:p>
        </w:tc>
        <w:tc>
          <w:tcPr>
            <w:tcW w:w="1250" w:type="pct"/>
            <w:tcBorders>
              <w:top w:val="single" w:color="000000" w:sz="12" w:space="0"/>
              <w:left w:val="nil"/>
              <w:bottom w:val="single" w:color="000000" w:sz="4" w:space="0"/>
              <w:right w:val="nil"/>
            </w:tcBorders>
            <w:shd w:val="clear" w:color="auto" w:fill="FFFFFF"/>
            <w:vAlign w:val="center"/>
          </w:tcPr>
          <w:p w14:paraId="5D1E0904">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sz w:val="20"/>
                <w:szCs w:val="21"/>
              </w:rPr>
            </w:pPr>
            <w:r>
              <w:rPr>
                <w:rFonts w:hint="eastAsia" w:ascii="宋体" w:hAnsi="宋体" w:cs="Times New Roman"/>
                <w:color w:val="000000"/>
                <w:sz w:val="20"/>
                <w:szCs w:val="21"/>
              </w:rPr>
              <w:t xml:space="preserve">模型 1 (基础主效应) </w:t>
            </w:r>
          </w:p>
          <w:p w14:paraId="6E55705A">
            <w:pPr>
              <w:keepNext w:val="0"/>
              <w:keepLines w:val="0"/>
              <w:suppressLineNumbers w:val="0"/>
              <w:tabs>
                <w:tab w:val="left" w:pos="377"/>
              </w:tabs>
              <w:spacing w:before="0" w:beforeAutospacing="0" w:after="0" w:afterAutospacing="0"/>
              <w:ind w:left="0" w:right="0" w:firstLine="0" w:firstLineChars="0"/>
              <w:jc w:val="center"/>
              <w:rPr>
                <w:rFonts w:hint="default" w:eastAsia="黑体" w:cs="Times New Roman"/>
                <w:bCs/>
                <w:color w:val="000000"/>
              </w:rPr>
            </w:pPr>
            <w:r>
              <w:rPr>
                <w:rFonts w:hint="eastAsia" w:ascii="宋体" w:hAnsi="宋体" w:cs="Times New Roman"/>
                <w:color w:val="000000"/>
                <w:sz w:val="20"/>
                <w:szCs w:val="21"/>
              </w:rPr>
              <w:t>因变量：权利感 (M)</w:t>
            </w:r>
          </w:p>
        </w:tc>
        <w:tc>
          <w:tcPr>
            <w:tcW w:w="1250" w:type="pct"/>
            <w:tcBorders>
              <w:top w:val="single" w:color="000000" w:sz="12" w:space="0"/>
              <w:left w:val="nil"/>
              <w:bottom w:val="single" w:color="000000" w:sz="4" w:space="0"/>
              <w:right w:val="nil"/>
            </w:tcBorders>
            <w:shd w:val="clear" w:color="auto" w:fill="FFFFFF"/>
            <w:vAlign w:val="center"/>
          </w:tcPr>
          <w:p w14:paraId="18BC5963">
            <w:pPr>
              <w:pStyle w:val="23"/>
              <w:keepNext w:val="0"/>
              <w:keepLines w:val="0"/>
              <w:suppressLineNumbers w:val="0"/>
              <w:spacing w:before="0" w:beforeAutospacing="0" w:after="0" w:afterAutospacing="0"/>
              <w:ind w:left="0" w:right="0"/>
              <w:rPr>
                <w:rFonts w:hint="default" w:cs="Times New Roman"/>
                <w:bCs/>
                <w:color w:val="000000"/>
              </w:rPr>
            </w:pPr>
            <w:r>
              <w:rPr>
                <w:rFonts w:hint="eastAsia" w:ascii="宋体" w:hAnsi="宋体" w:eastAsia="宋体" w:cs="Times New Roman"/>
                <w:color w:val="000000"/>
                <w:sz w:val="20"/>
                <w:szCs w:val="21"/>
              </w:rPr>
              <w:t>模型 2 (调节效应) 因变量：权利感 (M)</w:t>
            </w:r>
          </w:p>
        </w:tc>
        <w:tc>
          <w:tcPr>
            <w:tcW w:w="1250" w:type="pct"/>
            <w:tcBorders>
              <w:top w:val="single" w:color="000000" w:sz="12" w:space="0"/>
              <w:left w:val="nil"/>
              <w:bottom w:val="single" w:color="000000" w:sz="4" w:space="0"/>
              <w:right w:val="nil"/>
            </w:tcBorders>
            <w:shd w:val="clear" w:color="auto" w:fill="FFFFFF"/>
            <w:vAlign w:val="center"/>
          </w:tcPr>
          <w:p w14:paraId="128DA54C">
            <w:pPr>
              <w:pStyle w:val="23"/>
              <w:keepNext w:val="0"/>
              <w:keepLines w:val="0"/>
              <w:suppressLineNumbers w:val="0"/>
              <w:spacing w:before="0" w:beforeAutospacing="0" w:after="0" w:afterAutospacing="0"/>
              <w:ind w:left="0" w:right="0"/>
              <w:rPr>
                <w:rFonts w:hint="default" w:cs="Times New Roman"/>
                <w:bCs/>
                <w:color w:val="000000"/>
              </w:rPr>
            </w:pPr>
            <w:r>
              <w:rPr>
                <w:rFonts w:hint="eastAsia" w:ascii="宋体" w:hAnsi="宋体" w:eastAsia="宋体" w:cs="Times New Roman"/>
                <w:color w:val="000000"/>
                <w:sz w:val="20"/>
                <w:szCs w:val="21"/>
              </w:rPr>
              <w:t>模型 3 (转化路径) 因变量：高碳意愿 (Y)</w:t>
            </w:r>
          </w:p>
        </w:tc>
      </w:tr>
      <w:tr w14:paraId="773A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single" w:color="000000" w:sz="4" w:space="0"/>
              <w:left w:val="nil"/>
              <w:bottom w:val="nil"/>
              <w:right w:val="nil"/>
            </w:tcBorders>
            <w:shd w:val="clear" w:color="auto" w:fill="FFFFFF"/>
            <w:vAlign w:val="center"/>
          </w:tcPr>
          <w:p w14:paraId="0B89CF41">
            <w:pPr>
              <w:keepNext w:val="0"/>
              <w:keepLines w:val="0"/>
              <w:suppressLineNumbers w:val="0"/>
              <w:tabs>
                <w:tab w:val="left" w:pos="377"/>
              </w:tabs>
              <w:spacing w:before="0" w:beforeAutospacing="0" w:after="0" w:afterAutospacing="0"/>
              <w:ind w:left="0" w:right="0" w:firstLine="0" w:firstLineChars="0"/>
              <w:jc w:val="center"/>
              <w:rPr>
                <w:rFonts w:hint="default" w:eastAsia="黑体" w:cs="Times New Roman"/>
                <w:bCs/>
                <w:color w:val="000000"/>
              </w:rPr>
            </w:pPr>
            <w:r>
              <w:rPr>
                <w:rFonts w:hint="eastAsia" w:ascii="宋体" w:hAnsi="宋体" w:cs="Times New Roman"/>
                <w:color w:val="000000"/>
                <w:sz w:val="20"/>
                <w:szCs w:val="21"/>
              </w:rPr>
              <w:t>控制/预测变量</w:t>
            </w:r>
          </w:p>
        </w:tc>
        <w:tc>
          <w:tcPr>
            <w:tcW w:w="1250" w:type="pct"/>
            <w:tcBorders>
              <w:top w:val="single" w:color="000000" w:sz="4" w:space="0"/>
              <w:left w:val="nil"/>
              <w:bottom w:val="nil"/>
              <w:right w:val="nil"/>
            </w:tcBorders>
            <w:shd w:val="clear" w:color="auto" w:fill="FFFFFF"/>
            <w:vAlign w:val="center"/>
          </w:tcPr>
          <w:p w14:paraId="08D33C58">
            <w:pPr>
              <w:pStyle w:val="23"/>
              <w:keepNext w:val="0"/>
              <w:keepLines w:val="0"/>
              <w:suppressLineNumbers w:val="0"/>
              <w:spacing w:before="0" w:beforeAutospacing="0" w:after="0" w:afterAutospacing="0"/>
              <w:ind w:left="0" w:right="0"/>
              <w:rPr>
                <w:rFonts w:hint="default" w:cs="Times New Roman"/>
                <w:bCs/>
                <w:color w:val="000000"/>
              </w:rPr>
            </w:pPr>
          </w:p>
        </w:tc>
        <w:tc>
          <w:tcPr>
            <w:tcW w:w="1250" w:type="pct"/>
            <w:tcBorders>
              <w:top w:val="single" w:color="000000" w:sz="4" w:space="0"/>
              <w:left w:val="nil"/>
              <w:bottom w:val="nil"/>
              <w:right w:val="nil"/>
            </w:tcBorders>
            <w:shd w:val="clear" w:color="auto" w:fill="FFFFFF"/>
            <w:vAlign w:val="center"/>
          </w:tcPr>
          <w:p w14:paraId="07BEC12E">
            <w:pPr>
              <w:pStyle w:val="23"/>
              <w:keepNext w:val="0"/>
              <w:keepLines w:val="0"/>
              <w:suppressLineNumbers w:val="0"/>
              <w:spacing w:before="0" w:beforeAutospacing="0" w:after="0" w:afterAutospacing="0"/>
              <w:ind w:left="0" w:right="0"/>
              <w:rPr>
                <w:rFonts w:hint="default" w:cs="Times New Roman"/>
                <w:bCs/>
                <w:color w:val="000000"/>
              </w:rPr>
            </w:pPr>
          </w:p>
        </w:tc>
        <w:tc>
          <w:tcPr>
            <w:tcW w:w="1250" w:type="pct"/>
            <w:tcBorders>
              <w:top w:val="single" w:color="000000" w:sz="4" w:space="0"/>
              <w:left w:val="nil"/>
              <w:bottom w:val="nil"/>
              <w:right w:val="nil"/>
            </w:tcBorders>
            <w:shd w:val="clear" w:color="auto" w:fill="FFFFFF"/>
            <w:vAlign w:val="center"/>
          </w:tcPr>
          <w:p w14:paraId="0000B4DF">
            <w:pPr>
              <w:pStyle w:val="23"/>
              <w:keepNext w:val="0"/>
              <w:keepLines w:val="0"/>
              <w:suppressLineNumbers w:val="0"/>
              <w:spacing w:before="0" w:beforeAutospacing="0" w:after="0" w:afterAutospacing="0"/>
              <w:ind w:left="0" w:right="0"/>
              <w:rPr>
                <w:rFonts w:hint="default" w:cs="Times New Roman"/>
                <w:bCs/>
                <w:color w:val="000000"/>
              </w:rPr>
            </w:pPr>
          </w:p>
        </w:tc>
      </w:tr>
      <w:tr w14:paraId="4CA9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nil"/>
              <w:left w:val="nil"/>
              <w:bottom w:val="nil"/>
              <w:right w:val="nil"/>
            </w:tcBorders>
            <w:shd w:val="clear" w:color="auto" w:fill="FFFFFF"/>
            <w:vAlign w:val="center"/>
          </w:tcPr>
          <w:p w14:paraId="24DAC1AC">
            <w:pPr>
              <w:keepNext w:val="0"/>
              <w:keepLines w:val="0"/>
              <w:suppressLineNumbers w:val="0"/>
              <w:tabs>
                <w:tab w:val="left" w:pos="377"/>
              </w:tabs>
              <w:spacing w:before="0" w:beforeAutospacing="0" w:after="0" w:afterAutospacing="0"/>
              <w:ind w:left="0" w:right="0" w:firstLine="0" w:firstLineChars="0"/>
              <w:jc w:val="center"/>
              <w:rPr>
                <w:rFonts w:hint="default" w:eastAsia="黑体" w:cs="Times New Roman"/>
                <w:bCs/>
                <w:color w:val="000000"/>
              </w:rPr>
            </w:pPr>
            <w:r>
              <w:rPr>
                <w:rFonts w:hint="eastAsia" w:ascii="宋体" w:hAnsi="宋体" w:cs="Times New Roman"/>
                <w:color w:val="000000"/>
                <w:sz w:val="20"/>
                <w:szCs w:val="21"/>
              </w:rPr>
              <w:t>常数项 (Constant)</w:t>
            </w:r>
          </w:p>
        </w:tc>
        <w:tc>
          <w:tcPr>
            <w:tcW w:w="1250" w:type="pct"/>
            <w:tcBorders>
              <w:top w:val="nil"/>
              <w:left w:val="nil"/>
              <w:bottom w:val="nil"/>
              <w:right w:val="nil"/>
            </w:tcBorders>
            <w:shd w:val="clear" w:color="auto" w:fill="FFFFFF"/>
            <w:vAlign w:val="center"/>
          </w:tcPr>
          <w:p w14:paraId="68316721">
            <w:pPr>
              <w:keepNext w:val="0"/>
              <w:keepLines w:val="0"/>
              <w:suppressLineNumbers w:val="0"/>
              <w:tabs>
                <w:tab w:val="left" w:pos="377"/>
              </w:tabs>
              <w:spacing w:before="0" w:beforeAutospacing="0" w:after="0" w:afterAutospacing="0"/>
              <w:ind w:left="0" w:right="0" w:firstLine="0" w:firstLineChars="0"/>
              <w:jc w:val="center"/>
              <w:rPr>
                <w:rFonts w:hint="default" w:eastAsia="黑体" w:cs="Times New Roman"/>
                <w:bCs/>
                <w:color w:val="000000"/>
              </w:rPr>
            </w:pPr>
            <w:r>
              <w:rPr>
                <w:rFonts w:hint="eastAsia" w:ascii="宋体" w:hAnsi="宋体" w:cs="Times New Roman"/>
                <w:color w:val="000000"/>
                <w:sz w:val="20"/>
                <w:szCs w:val="21"/>
              </w:rPr>
              <w:t>2.034*** (0.065)</w:t>
            </w:r>
          </w:p>
        </w:tc>
        <w:tc>
          <w:tcPr>
            <w:tcW w:w="1250" w:type="pct"/>
            <w:tcBorders>
              <w:top w:val="nil"/>
              <w:left w:val="nil"/>
              <w:bottom w:val="nil"/>
              <w:right w:val="nil"/>
            </w:tcBorders>
            <w:shd w:val="clear" w:color="auto" w:fill="FFFFFF"/>
            <w:vAlign w:val="center"/>
          </w:tcPr>
          <w:p w14:paraId="4E0E9BE2">
            <w:pPr>
              <w:pStyle w:val="23"/>
              <w:keepNext w:val="0"/>
              <w:keepLines w:val="0"/>
              <w:suppressLineNumbers w:val="0"/>
              <w:spacing w:before="0" w:beforeAutospacing="0" w:after="0" w:afterAutospacing="0"/>
              <w:ind w:left="0" w:right="0"/>
              <w:rPr>
                <w:rFonts w:hint="default" w:cs="Times New Roman"/>
                <w:bCs/>
                <w:color w:val="000000"/>
              </w:rPr>
            </w:pPr>
            <w:r>
              <w:rPr>
                <w:rFonts w:hint="eastAsia" w:ascii="宋体" w:hAnsi="宋体" w:eastAsia="宋体" w:cs="Times New Roman"/>
                <w:color w:val="000000"/>
                <w:sz w:val="20"/>
                <w:szCs w:val="21"/>
              </w:rPr>
              <w:t>2.029*** (0.043)</w:t>
            </w:r>
          </w:p>
        </w:tc>
        <w:tc>
          <w:tcPr>
            <w:tcW w:w="1250" w:type="pct"/>
            <w:tcBorders>
              <w:top w:val="nil"/>
              <w:left w:val="nil"/>
              <w:bottom w:val="nil"/>
              <w:right w:val="nil"/>
            </w:tcBorders>
            <w:shd w:val="clear" w:color="auto" w:fill="FFFFFF"/>
            <w:vAlign w:val="center"/>
          </w:tcPr>
          <w:p w14:paraId="5D34856B">
            <w:pPr>
              <w:pStyle w:val="23"/>
              <w:keepNext w:val="0"/>
              <w:keepLines w:val="0"/>
              <w:suppressLineNumbers w:val="0"/>
              <w:spacing w:before="0" w:beforeAutospacing="0" w:after="0" w:afterAutospacing="0"/>
              <w:ind w:left="0" w:right="0"/>
              <w:rPr>
                <w:rFonts w:hint="default" w:cs="Times New Roman"/>
                <w:bCs/>
                <w:color w:val="000000"/>
              </w:rPr>
            </w:pPr>
            <w:r>
              <w:rPr>
                <w:rFonts w:hint="eastAsia" w:ascii="宋体" w:hAnsi="宋体" w:eastAsia="宋体" w:cs="Times New Roman"/>
                <w:color w:val="000000"/>
                <w:sz w:val="20"/>
                <w:szCs w:val="21"/>
              </w:rPr>
              <w:t>0.520*** (0.097)</w:t>
            </w:r>
          </w:p>
        </w:tc>
      </w:tr>
      <w:tr w14:paraId="269BF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nil"/>
              <w:left w:val="nil"/>
              <w:bottom w:val="nil"/>
              <w:right w:val="nil"/>
            </w:tcBorders>
            <w:shd w:val="clear" w:color="auto" w:fill="FFFFFF"/>
            <w:vAlign w:val="center"/>
          </w:tcPr>
          <w:p w14:paraId="1A2A1CB8">
            <w:pPr>
              <w:keepNext w:val="0"/>
              <w:keepLines w:val="0"/>
              <w:suppressLineNumbers w:val="0"/>
              <w:tabs>
                <w:tab w:val="left" w:pos="377"/>
              </w:tabs>
              <w:spacing w:before="0" w:beforeAutospacing="0" w:after="0" w:afterAutospacing="0"/>
              <w:ind w:left="0" w:right="0" w:firstLine="0" w:firstLineChars="0"/>
              <w:jc w:val="center"/>
              <w:rPr>
                <w:rFonts w:hint="default" w:eastAsia="黑体" w:cs="Times New Roman"/>
                <w:bCs/>
                <w:color w:val="000000"/>
              </w:rPr>
            </w:pPr>
            <w:r>
              <w:rPr>
                <w:rFonts w:hint="eastAsia" w:ascii="宋体" w:hAnsi="宋体" w:cs="Times New Roman"/>
                <w:color w:val="000000"/>
                <w:sz w:val="20"/>
                <w:szCs w:val="21"/>
              </w:rPr>
              <w:t>客观阻力 (X)</w:t>
            </w:r>
          </w:p>
        </w:tc>
        <w:tc>
          <w:tcPr>
            <w:tcW w:w="1250" w:type="pct"/>
            <w:tcBorders>
              <w:top w:val="nil"/>
              <w:left w:val="nil"/>
              <w:bottom w:val="nil"/>
              <w:right w:val="nil"/>
            </w:tcBorders>
            <w:shd w:val="clear" w:color="auto" w:fill="FFFFFF"/>
            <w:vAlign w:val="center"/>
          </w:tcPr>
          <w:p w14:paraId="23EF698E">
            <w:pPr>
              <w:pStyle w:val="23"/>
              <w:keepNext w:val="0"/>
              <w:keepLines w:val="0"/>
              <w:suppressLineNumbers w:val="0"/>
              <w:spacing w:before="0" w:beforeAutospacing="0" w:after="0" w:afterAutospacing="0"/>
              <w:ind w:left="0" w:right="0"/>
              <w:rPr>
                <w:rFonts w:hint="default" w:cs="Times New Roman"/>
                <w:bCs/>
                <w:color w:val="000000"/>
              </w:rPr>
            </w:pPr>
            <w:r>
              <w:rPr>
                <w:rFonts w:hint="eastAsia" w:ascii="宋体" w:hAnsi="宋体" w:eastAsia="宋体" w:cs="Times New Roman"/>
                <w:color w:val="000000"/>
                <w:sz w:val="20"/>
                <w:szCs w:val="21"/>
              </w:rPr>
              <w:t>-0.040 (0.095)</w:t>
            </w:r>
          </w:p>
        </w:tc>
        <w:tc>
          <w:tcPr>
            <w:tcW w:w="1250" w:type="pct"/>
            <w:tcBorders>
              <w:top w:val="nil"/>
              <w:left w:val="nil"/>
              <w:bottom w:val="nil"/>
              <w:right w:val="nil"/>
            </w:tcBorders>
            <w:shd w:val="clear" w:color="auto" w:fill="FFFFFF"/>
            <w:vAlign w:val="center"/>
          </w:tcPr>
          <w:p w14:paraId="5A2C43D8">
            <w:pPr>
              <w:pStyle w:val="23"/>
              <w:keepNext w:val="0"/>
              <w:keepLines w:val="0"/>
              <w:suppressLineNumbers w:val="0"/>
              <w:spacing w:before="0" w:beforeAutospacing="0" w:after="0" w:afterAutospacing="0"/>
              <w:ind w:left="0" w:right="0"/>
              <w:rPr>
                <w:rFonts w:hint="default" w:cs="Times New Roman"/>
                <w:bCs/>
                <w:color w:val="000000"/>
              </w:rPr>
            </w:pPr>
            <w:r>
              <w:rPr>
                <w:rFonts w:hint="eastAsia" w:ascii="宋体" w:hAnsi="宋体" w:eastAsia="宋体" w:cs="Times New Roman"/>
                <w:color w:val="000000"/>
                <w:sz w:val="20"/>
                <w:szCs w:val="21"/>
              </w:rPr>
              <w:t>0.005 (0.086)</w:t>
            </w:r>
          </w:p>
        </w:tc>
        <w:tc>
          <w:tcPr>
            <w:tcW w:w="1250" w:type="pct"/>
            <w:tcBorders>
              <w:top w:val="nil"/>
              <w:left w:val="nil"/>
              <w:bottom w:val="nil"/>
              <w:right w:val="nil"/>
            </w:tcBorders>
            <w:shd w:val="clear" w:color="auto" w:fill="FFFFFF"/>
            <w:vAlign w:val="center"/>
          </w:tcPr>
          <w:p w14:paraId="16F2ADA3">
            <w:pPr>
              <w:pStyle w:val="23"/>
              <w:keepNext w:val="0"/>
              <w:keepLines w:val="0"/>
              <w:suppressLineNumbers w:val="0"/>
              <w:spacing w:before="0" w:beforeAutospacing="0" w:after="0" w:afterAutospacing="0"/>
              <w:ind w:left="0" w:right="0"/>
              <w:rPr>
                <w:rFonts w:hint="default" w:cs="Times New Roman"/>
                <w:bCs/>
                <w:color w:val="000000"/>
              </w:rPr>
            </w:pPr>
            <w:r>
              <w:rPr>
                <w:rFonts w:hint="eastAsia" w:ascii="宋体" w:hAnsi="宋体" w:eastAsia="宋体" w:cs="Times New Roman"/>
                <w:color w:val="000000"/>
                <w:sz w:val="20"/>
                <w:szCs w:val="21"/>
              </w:rPr>
              <w:t>0.155* (0.077)</w:t>
            </w:r>
          </w:p>
        </w:tc>
      </w:tr>
      <w:tr w14:paraId="3233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nil"/>
              <w:left w:val="nil"/>
              <w:bottom w:val="nil"/>
              <w:right w:val="nil"/>
            </w:tcBorders>
            <w:shd w:val="clear" w:color="auto" w:fill="FFFFFF"/>
            <w:vAlign w:val="center"/>
          </w:tcPr>
          <w:p w14:paraId="5879646E">
            <w:pPr>
              <w:keepNext w:val="0"/>
              <w:keepLines w:val="0"/>
              <w:suppressLineNumbers w:val="0"/>
              <w:tabs>
                <w:tab w:val="left" w:pos="377"/>
              </w:tabs>
              <w:spacing w:before="0" w:beforeAutospacing="0" w:after="0" w:afterAutospacing="0"/>
              <w:ind w:left="0" w:right="0" w:firstLine="0" w:firstLineChars="0"/>
              <w:jc w:val="center"/>
              <w:rPr>
                <w:rFonts w:hint="default" w:eastAsia="黑体" w:cs="Times New Roman"/>
                <w:bCs/>
                <w:color w:val="000000"/>
              </w:rPr>
            </w:pPr>
            <w:r>
              <w:rPr>
                <w:rFonts w:hint="eastAsia" w:ascii="宋体" w:hAnsi="宋体" w:cs="Times New Roman"/>
                <w:color w:val="000000"/>
                <w:sz w:val="20"/>
                <w:szCs w:val="21"/>
              </w:rPr>
              <w:t>权利感 (M)</w:t>
            </w:r>
          </w:p>
        </w:tc>
        <w:tc>
          <w:tcPr>
            <w:tcW w:w="1250" w:type="pct"/>
            <w:tcBorders>
              <w:top w:val="nil"/>
              <w:left w:val="nil"/>
              <w:bottom w:val="nil"/>
              <w:right w:val="nil"/>
            </w:tcBorders>
            <w:shd w:val="clear" w:color="auto" w:fill="FFFFFF"/>
            <w:vAlign w:val="center"/>
          </w:tcPr>
          <w:p w14:paraId="6C9A7A8D">
            <w:pPr>
              <w:pStyle w:val="23"/>
              <w:keepNext w:val="0"/>
              <w:keepLines w:val="0"/>
              <w:suppressLineNumbers w:val="0"/>
              <w:spacing w:before="0" w:beforeAutospacing="0" w:after="0" w:afterAutospacing="0"/>
              <w:ind w:left="0" w:right="0"/>
              <w:rPr>
                <w:rFonts w:hint="default" w:cs="Times New Roman"/>
                <w:bCs/>
                <w:color w:val="000000"/>
              </w:rPr>
            </w:pPr>
            <w:r>
              <w:rPr>
                <w:rFonts w:hint="eastAsia" w:ascii="宋体" w:hAnsi="宋体" w:eastAsia="宋体" w:cs="Times New Roman"/>
                <w:color w:val="000000"/>
                <w:sz w:val="20"/>
                <w:szCs w:val="21"/>
              </w:rPr>
              <w:t>-</w:t>
            </w:r>
          </w:p>
        </w:tc>
        <w:tc>
          <w:tcPr>
            <w:tcW w:w="1250" w:type="pct"/>
            <w:tcBorders>
              <w:top w:val="nil"/>
              <w:left w:val="nil"/>
              <w:bottom w:val="nil"/>
              <w:right w:val="nil"/>
            </w:tcBorders>
            <w:shd w:val="clear" w:color="auto" w:fill="FFFFFF"/>
            <w:vAlign w:val="center"/>
          </w:tcPr>
          <w:p w14:paraId="28E31E73">
            <w:pPr>
              <w:pStyle w:val="23"/>
              <w:keepNext w:val="0"/>
              <w:keepLines w:val="0"/>
              <w:suppressLineNumbers w:val="0"/>
              <w:spacing w:before="0" w:beforeAutospacing="0" w:after="0" w:afterAutospacing="0"/>
              <w:ind w:left="0" w:right="0"/>
              <w:rPr>
                <w:rFonts w:hint="default" w:cs="Times New Roman"/>
                <w:bCs/>
                <w:color w:val="000000"/>
              </w:rPr>
            </w:pPr>
            <w:r>
              <w:rPr>
                <w:rFonts w:hint="eastAsia" w:ascii="宋体" w:hAnsi="宋体" w:eastAsia="宋体" w:cs="Times New Roman"/>
                <w:color w:val="000000"/>
                <w:sz w:val="20"/>
                <w:szCs w:val="21"/>
              </w:rPr>
              <w:t>-</w:t>
            </w:r>
          </w:p>
        </w:tc>
        <w:tc>
          <w:tcPr>
            <w:tcW w:w="1250" w:type="pct"/>
            <w:tcBorders>
              <w:top w:val="nil"/>
              <w:left w:val="nil"/>
              <w:bottom w:val="nil"/>
              <w:right w:val="nil"/>
            </w:tcBorders>
            <w:shd w:val="clear" w:color="auto" w:fill="FFFFFF"/>
            <w:vAlign w:val="center"/>
          </w:tcPr>
          <w:p w14:paraId="4A3C8997">
            <w:pPr>
              <w:pStyle w:val="23"/>
              <w:keepNext w:val="0"/>
              <w:keepLines w:val="0"/>
              <w:suppressLineNumbers w:val="0"/>
              <w:spacing w:before="0" w:beforeAutospacing="0" w:after="0" w:afterAutospacing="0"/>
              <w:ind w:left="0" w:right="0"/>
              <w:rPr>
                <w:rFonts w:hint="default" w:cs="Times New Roman"/>
                <w:bCs/>
                <w:color w:val="000000"/>
              </w:rPr>
            </w:pPr>
            <w:r>
              <w:rPr>
                <w:rFonts w:hint="eastAsia" w:ascii="宋体" w:hAnsi="宋体" w:eastAsia="宋体" w:cs="Times New Roman"/>
                <w:color w:val="000000"/>
                <w:sz w:val="20"/>
                <w:szCs w:val="21"/>
              </w:rPr>
              <w:t>0.228*** (0.044)</w:t>
            </w:r>
          </w:p>
        </w:tc>
      </w:tr>
      <w:tr w14:paraId="710B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nil"/>
              <w:left w:val="nil"/>
              <w:bottom w:val="single" w:color="auto" w:sz="4" w:space="0"/>
              <w:right w:val="nil"/>
            </w:tcBorders>
            <w:shd w:val="clear" w:color="auto" w:fill="FFFFFF"/>
            <w:vAlign w:val="center"/>
          </w:tcPr>
          <w:p w14:paraId="3F18C0DF">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sz w:val="20"/>
                <w:szCs w:val="21"/>
              </w:rPr>
            </w:pPr>
            <w:r>
              <w:rPr>
                <w:rFonts w:hint="eastAsia" w:ascii="宋体" w:hAnsi="宋体" w:cs="Times New Roman"/>
                <w:color w:val="000000"/>
                <w:sz w:val="20"/>
                <w:szCs w:val="21"/>
              </w:rPr>
              <w:t>环境价值观 (W)</w:t>
            </w:r>
          </w:p>
        </w:tc>
        <w:tc>
          <w:tcPr>
            <w:tcW w:w="1250" w:type="pct"/>
            <w:tcBorders>
              <w:top w:val="nil"/>
              <w:left w:val="nil"/>
              <w:bottom w:val="single" w:color="auto" w:sz="4" w:space="0"/>
              <w:right w:val="nil"/>
            </w:tcBorders>
            <w:shd w:val="clear" w:color="auto" w:fill="FFFFFF"/>
            <w:vAlign w:val="center"/>
          </w:tcPr>
          <w:p w14:paraId="53D5E2E8">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w:t>
            </w:r>
          </w:p>
        </w:tc>
        <w:tc>
          <w:tcPr>
            <w:tcW w:w="1250" w:type="pct"/>
            <w:tcBorders>
              <w:top w:val="nil"/>
              <w:left w:val="nil"/>
              <w:bottom w:val="single" w:color="auto" w:sz="4" w:space="0"/>
              <w:right w:val="nil"/>
            </w:tcBorders>
            <w:shd w:val="clear" w:color="auto" w:fill="FFFFFF"/>
            <w:vAlign w:val="center"/>
          </w:tcPr>
          <w:p w14:paraId="686A26D6">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-0.397*** (0.058)</w:t>
            </w:r>
          </w:p>
        </w:tc>
        <w:tc>
          <w:tcPr>
            <w:tcW w:w="1250" w:type="pct"/>
            <w:tcBorders>
              <w:top w:val="nil"/>
              <w:left w:val="nil"/>
              <w:bottom w:val="single" w:color="auto" w:sz="4" w:space="0"/>
              <w:right w:val="nil"/>
            </w:tcBorders>
            <w:shd w:val="clear" w:color="auto" w:fill="FFFFFF"/>
            <w:vAlign w:val="center"/>
          </w:tcPr>
          <w:p w14:paraId="1C34845A">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w:t>
            </w:r>
          </w:p>
        </w:tc>
      </w:tr>
      <w:tr w14:paraId="3B4D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single" w:color="auto" w:sz="4" w:space="0"/>
              <w:left w:val="nil"/>
              <w:bottom w:val="nil"/>
              <w:right w:val="nil"/>
            </w:tcBorders>
            <w:shd w:val="clear" w:color="auto" w:fill="FFFFFF"/>
            <w:vAlign w:val="center"/>
          </w:tcPr>
          <w:p w14:paraId="46331557">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sz w:val="20"/>
                <w:szCs w:val="21"/>
              </w:rPr>
            </w:pPr>
            <w:r>
              <w:rPr>
                <w:rFonts w:hint="eastAsia" w:ascii="宋体" w:hAnsi="宋体" w:cs="Times New Roman"/>
                <w:color w:val="000000"/>
                <w:sz w:val="20"/>
                <w:szCs w:val="21"/>
              </w:rPr>
              <w:t>交互项</w:t>
            </w:r>
          </w:p>
        </w:tc>
        <w:tc>
          <w:tcPr>
            <w:tcW w:w="1250" w:type="pct"/>
            <w:tcBorders>
              <w:top w:val="single" w:color="auto" w:sz="4" w:space="0"/>
              <w:left w:val="nil"/>
              <w:bottom w:val="nil"/>
              <w:right w:val="nil"/>
            </w:tcBorders>
            <w:shd w:val="clear" w:color="auto" w:fill="FFFFFF"/>
            <w:vAlign w:val="center"/>
          </w:tcPr>
          <w:p w14:paraId="7E3B35D1">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p>
        </w:tc>
        <w:tc>
          <w:tcPr>
            <w:tcW w:w="1250" w:type="pct"/>
            <w:tcBorders>
              <w:top w:val="single" w:color="auto" w:sz="4" w:space="0"/>
              <w:left w:val="nil"/>
              <w:bottom w:val="nil"/>
              <w:right w:val="nil"/>
            </w:tcBorders>
            <w:shd w:val="clear" w:color="auto" w:fill="FFFFFF"/>
            <w:vAlign w:val="center"/>
          </w:tcPr>
          <w:p w14:paraId="3D11D66F">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p>
        </w:tc>
        <w:tc>
          <w:tcPr>
            <w:tcW w:w="1250" w:type="pct"/>
            <w:tcBorders>
              <w:top w:val="single" w:color="auto" w:sz="4" w:space="0"/>
              <w:left w:val="nil"/>
              <w:bottom w:val="nil"/>
              <w:right w:val="nil"/>
            </w:tcBorders>
            <w:shd w:val="clear" w:color="auto" w:fill="FFFFFF"/>
            <w:vAlign w:val="center"/>
          </w:tcPr>
          <w:p w14:paraId="6B084A4C">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p>
        </w:tc>
      </w:tr>
      <w:tr w14:paraId="7AC7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nil"/>
              <w:left w:val="nil"/>
              <w:bottom w:val="nil"/>
              <w:right w:val="nil"/>
            </w:tcBorders>
            <w:shd w:val="clear" w:color="auto" w:fill="FFFFFF"/>
            <w:vAlign w:val="center"/>
          </w:tcPr>
          <w:p w14:paraId="2B7DB369">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sz w:val="20"/>
                <w:szCs w:val="21"/>
              </w:rPr>
            </w:pPr>
            <w:r>
              <w:rPr>
                <w:rFonts w:hint="eastAsia" w:ascii="等线" w:hAnsi="等线" w:eastAsia="等线" w:cs="Times New Roman"/>
                <w:color w:val="000000"/>
                <w:sz w:val="20"/>
                <w:szCs w:val="21"/>
                <w:lang w:bidi="ar"/>
              </w:rPr>
              <w:t xml:space="preserve">阻力 </w:t>
            </w:r>
            <w:r>
              <w:rPr>
                <w:rFonts w:hint="eastAsia" w:ascii="等线" w:hAnsi="等线" w:eastAsia="等线" w:cs="Times New Roman"/>
                <w:color w:val="000000"/>
                <w:sz w:val="20"/>
                <w:szCs w:val="21"/>
                <w:lang w:bidi="ar"/>
              </w:rPr>
              <w:object>
                <v:shape id="_x0000_i1038" o:spt="75" type="#_x0000_t75" style="height:10.15pt;width:9pt;" o:ole="t" filled="f" o:preferrelative="t" stroked="f" coordsize="21600,21600">
                  <v:path/>
                  <v:fill on="f" focussize="0,0"/>
                  <v:stroke on="f" joinstyle="miter"/>
                  <v:imagedata r:id="rId45" o:title=""/>
                  <o:lock v:ext="edit" aspectratio="t"/>
                  <w10:wrap type="none"/>
                  <w10:anchorlock/>
                </v:shape>
                <o:OLEObject Type="Embed" ProgID="Equation.DSMT4" ShapeID="_x0000_i1038" DrawAspect="Content" ObjectID="_1468075738" r:id="rId44">
                  <o:LockedField>false</o:LockedField>
                </o:OLEObject>
              </w:object>
            </w:r>
            <w:r>
              <w:rPr>
                <w:rFonts w:hint="eastAsia" w:ascii="等线" w:hAnsi="等线" w:eastAsia="等线" w:cs="Times New Roman"/>
                <w:color w:val="000000"/>
                <w:sz w:val="20"/>
                <w:szCs w:val="21"/>
                <w:lang w:bidi="ar"/>
              </w:rPr>
              <w:t xml:space="preserve"> 价值观 (X </w:t>
            </w:r>
            <w:r>
              <w:rPr>
                <w:rFonts w:hint="eastAsia" w:ascii="等线" w:hAnsi="等线" w:eastAsia="等线" w:cs="Times New Roman"/>
                <w:color w:val="000000"/>
                <w:sz w:val="20"/>
                <w:szCs w:val="21"/>
                <w:lang w:bidi="ar"/>
              </w:rPr>
              <w:object>
                <v:shape id="_x0000_i1039" o:spt="75" type="#_x0000_t75" style="height:10.15pt;width:9pt;" o:ole="t" filled="f" o:preferrelative="t" stroked="f" coordsize="21600,21600">
                  <v:path/>
                  <v:fill on="f" focussize="0,0"/>
                  <v:stroke on="f" joinstyle="miter"/>
                  <v:imagedata r:id="rId47" o:title=""/>
                  <o:lock v:ext="edit" aspectratio="t"/>
                  <w10:wrap type="none"/>
                  <w10:anchorlock/>
                </v:shape>
                <o:OLEObject Type="Embed" ProgID="Equation.DSMT4" ShapeID="_x0000_i1039" DrawAspect="Content" ObjectID="_1468075739" r:id="rId46">
                  <o:LockedField>false</o:LockedField>
                </o:OLEObject>
              </w:object>
            </w:r>
            <w:r>
              <w:rPr>
                <w:rFonts w:hint="eastAsia" w:ascii="等线" w:hAnsi="等线" w:eastAsia="等线" w:cs="Times New Roman"/>
                <w:color w:val="000000"/>
                <w:sz w:val="20"/>
                <w:szCs w:val="21"/>
                <w:lang w:bidi="ar"/>
              </w:rPr>
              <w:t xml:space="preserve"> W)</w:t>
            </w:r>
          </w:p>
        </w:tc>
        <w:tc>
          <w:tcPr>
            <w:tcW w:w="1250" w:type="pct"/>
            <w:tcBorders>
              <w:top w:val="nil"/>
              <w:left w:val="nil"/>
              <w:bottom w:val="nil"/>
              <w:right w:val="nil"/>
            </w:tcBorders>
            <w:shd w:val="clear" w:color="auto" w:fill="FFFFFF"/>
            <w:vAlign w:val="center"/>
          </w:tcPr>
          <w:p w14:paraId="435D6E7B">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w:t>
            </w:r>
          </w:p>
        </w:tc>
        <w:tc>
          <w:tcPr>
            <w:tcW w:w="1250" w:type="pct"/>
            <w:tcBorders>
              <w:top w:val="nil"/>
              <w:left w:val="nil"/>
              <w:bottom w:val="nil"/>
              <w:right w:val="nil"/>
            </w:tcBorders>
            <w:shd w:val="clear" w:color="auto" w:fill="FFFFFF"/>
            <w:vAlign w:val="center"/>
          </w:tcPr>
          <w:p w14:paraId="1A4830B3">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-0.537* (0.115)**</w:t>
            </w:r>
          </w:p>
        </w:tc>
        <w:tc>
          <w:tcPr>
            <w:tcW w:w="1250" w:type="pct"/>
            <w:tcBorders>
              <w:top w:val="nil"/>
              <w:left w:val="nil"/>
              <w:bottom w:val="nil"/>
              <w:right w:val="nil"/>
            </w:tcBorders>
            <w:shd w:val="clear" w:color="auto" w:fill="FFFFFF"/>
            <w:vAlign w:val="center"/>
          </w:tcPr>
          <w:p w14:paraId="69B99E86">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w:t>
            </w:r>
          </w:p>
        </w:tc>
      </w:tr>
      <w:tr w14:paraId="3568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nil"/>
              <w:left w:val="nil"/>
              <w:bottom w:val="nil"/>
              <w:right w:val="nil"/>
            </w:tcBorders>
            <w:shd w:val="clear" w:color="auto" w:fill="FFFFFF"/>
            <w:vAlign w:val="center"/>
          </w:tcPr>
          <w:p w14:paraId="066D3066">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sz w:val="20"/>
                <w:szCs w:val="21"/>
              </w:rPr>
            </w:pPr>
            <w:r>
              <w:rPr>
                <w:rFonts w:hint="eastAsia" w:ascii="宋体" w:hAnsi="宋体" w:cs="Times New Roman"/>
                <w:color w:val="000000"/>
                <w:sz w:val="20"/>
                <w:szCs w:val="21"/>
              </w:rPr>
              <w:t>模型拟合指标</w:t>
            </w:r>
          </w:p>
        </w:tc>
        <w:tc>
          <w:tcPr>
            <w:tcW w:w="1250" w:type="pct"/>
            <w:tcBorders>
              <w:top w:val="nil"/>
              <w:left w:val="nil"/>
              <w:bottom w:val="nil"/>
              <w:right w:val="nil"/>
            </w:tcBorders>
            <w:shd w:val="clear" w:color="auto" w:fill="FFFFFF"/>
            <w:vAlign w:val="center"/>
          </w:tcPr>
          <w:p w14:paraId="4441A7D2">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p>
        </w:tc>
        <w:tc>
          <w:tcPr>
            <w:tcW w:w="1250" w:type="pct"/>
            <w:tcBorders>
              <w:top w:val="nil"/>
              <w:left w:val="nil"/>
              <w:bottom w:val="nil"/>
              <w:right w:val="nil"/>
            </w:tcBorders>
            <w:shd w:val="clear" w:color="auto" w:fill="FFFFFF"/>
            <w:vAlign w:val="center"/>
          </w:tcPr>
          <w:p w14:paraId="04EF1892">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p>
        </w:tc>
        <w:tc>
          <w:tcPr>
            <w:tcW w:w="1250" w:type="pct"/>
            <w:tcBorders>
              <w:top w:val="nil"/>
              <w:left w:val="nil"/>
              <w:bottom w:val="nil"/>
              <w:right w:val="nil"/>
            </w:tcBorders>
            <w:shd w:val="clear" w:color="auto" w:fill="FFFFFF"/>
            <w:vAlign w:val="center"/>
          </w:tcPr>
          <w:p w14:paraId="459123CB">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p>
        </w:tc>
      </w:tr>
      <w:tr w14:paraId="30173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nil"/>
              <w:left w:val="nil"/>
              <w:bottom w:val="nil"/>
              <w:right w:val="nil"/>
            </w:tcBorders>
            <w:shd w:val="clear" w:color="auto" w:fill="FFFFFF"/>
            <w:vAlign w:val="center"/>
          </w:tcPr>
          <w:p w14:paraId="729D6FAD">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sz w:val="20"/>
                <w:szCs w:val="21"/>
              </w:rPr>
            </w:pPr>
            <w:r>
              <w:rPr>
                <w:rFonts w:hint="eastAsia" w:ascii="宋体" w:hAnsi="宋体" w:cs="Times New Roman"/>
                <w:color w:val="000000"/>
                <w:position w:val="-4"/>
                <w:sz w:val="20"/>
                <w:szCs w:val="21"/>
              </w:rPr>
              <w:object>
                <v:shape id="_x0000_i1040" o:spt="75" type="#_x0000_t75" style="height:15pt;width:16.15pt;" o:ole="t" filled="f" o:preferrelative="t" stroked="f" coordsize="21600,21600">
                  <v:path/>
                  <v:fill on="f" focussize="0,0"/>
                  <v:stroke on="f" joinstyle="miter"/>
                  <v:imagedata r:id="rId49" o:title=""/>
                  <o:lock v:ext="edit" aspectratio="f"/>
                  <w10:wrap type="none"/>
                  <w10:anchorlock/>
                </v:shape>
                <o:OLEObject Type="Embed" ProgID="Equation.DSMT4" ShapeID="_x0000_i1040" DrawAspect="Content" ObjectID="_1468075740" r:id="rId48">
                  <o:LockedField>false</o:LockedField>
                </o:OLEObject>
              </w:object>
            </w:r>
          </w:p>
        </w:tc>
        <w:tc>
          <w:tcPr>
            <w:tcW w:w="1250" w:type="pct"/>
            <w:tcBorders>
              <w:top w:val="nil"/>
              <w:left w:val="nil"/>
              <w:bottom w:val="nil"/>
              <w:right w:val="nil"/>
            </w:tcBorders>
            <w:shd w:val="clear" w:color="auto" w:fill="FFFFFF"/>
            <w:vAlign w:val="center"/>
          </w:tcPr>
          <w:p w14:paraId="07DDA237">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0.001</w:t>
            </w:r>
          </w:p>
        </w:tc>
        <w:tc>
          <w:tcPr>
            <w:tcW w:w="1250" w:type="pct"/>
            <w:tcBorders>
              <w:top w:val="nil"/>
              <w:left w:val="nil"/>
              <w:bottom w:val="nil"/>
              <w:right w:val="nil"/>
            </w:tcBorders>
            <w:shd w:val="clear" w:color="auto" w:fill="FFFFFF"/>
            <w:vAlign w:val="center"/>
          </w:tcPr>
          <w:p w14:paraId="790FDA9A">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sz w:val="20"/>
                <w:szCs w:val="21"/>
              </w:rPr>
            </w:pPr>
            <w:r>
              <w:rPr>
                <w:rFonts w:hint="eastAsia" w:ascii="宋体" w:hAnsi="宋体" w:cs="Times New Roman"/>
                <w:color w:val="000000"/>
                <w:sz w:val="20"/>
                <w:szCs w:val="21"/>
              </w:rPr>
              <w:t>0.188</w:t>
            </w:r>
          </w:p>
        </w:tc>
        <w:tc>
          <w:tcPr>
            <w:tcW w:w="1250" w:type="pct"/>
            <w:tcBorders>
              <w:top w:val="nil"/>
              <w:left w:val="nil"/>
              <w:bottom w:val="nil"/>
              <w:right w:val="nil"/>
            </w:tcBorders>
            <w:shd w:val="clear" w:color="auto" w:fill="FFFFFF"/>
            <w:vAlign w:val="center"/>
          </w:tcPr>
          <w:p w14:paraId="1CB92534">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0.083</w:t>
            </w:r>
          </w:p>
        </w:tc>
      </w:tr>
      <w:tr w14:paraId="0760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pct"/>
            <w:tcBorders>
              <w:top w:val="nil"/>
              <w:left w:val="nil"/>
              <w:bottom w:val="single" w:color="000000" w:sz="12" w:space="0"/>
              <w:right w:val="nil"/>
            </w:tcBorders>
            <w:shd w:val="clear" w:color="auto" w:fill="FFFFFF"/>
            <w:vAlign w:val="center"/>
          </w:tcPr>
          <w:p w14:paraId="5F5BB9D5">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sz w:val="20"/>
                <w:szCs w:val="21"/>
              </w:rPr>
            </w:pPr>
            <w:r>
              <w:rPr>
                <w:rFonts w:hint="eastAsia" w:ascii="等线" w:hAnsi="等线" w:eastAsia="等线" w:cs="Times New Roman"/>
                <w:color w:val="000000"/>
                <w:sz w:val="21"/>
                <w:lang w:bidi="ar"/>
              </w:rPr>
              <w:object>
                <v:shape id="_x0000_i1041" o:spt="75" type="#_x0000_t75" style="height:13.15pt;width:13.15pt;" o:ole="t" filled="f" o:preferrelative="t" stroked="f" coordsize="21600,21600">
                  <v:path/>
                  <v:fill on="f" focussize="0,0"/>
                  <v:stroke on="f" joinstyle="miter"/>
                  <v:imagedata r:id="rId51" o:title=""/>
                  <o:lock v:ext="edit" aspectratio="t"/>
                  <w10:wrap type="none"/>
                  <w10:anchorlock/>
                </v:shape>
                <o:OLEObject Type="Embed" ProgID="Equation.DSMT4" ShapeID="_x0000_i1041" DrawAspect="Content" ObjectID="_1468075741" r:id="rId50">
                  <o:LockedField>false</o:LockedField>
                </o:OLEObject>
              </w:object>
            </w:r>
            <w:r>
              <w:rPr>
                <w:rFonts w:hint="eastAsia" w:ascii="等线" w:hAnsi="等线" w:eastAsia="等线" w:cs="Times New Roman"/>
                <w:color w:val="000000"/>
                <w:sz w:val="21"/>
                <w:lang w:bidi="ar"/>
              </w:rPr>
              <w:t xml:space="preserve"> 值</w:t>
            </w:r>
          </w:p>
        </w:tc>
        <w:tc>
          <w:tcPr>
            <w:tcW w:w="1250" w:type="pct"/>
            <w:tcBorders>
              <w:top w:val="nil"/>
              <w:left w:val="nil"/>
              <w:bottom w:val="single" w:color="000000" w:sz="12" w:space="0"/>
              <w:right w:val="nil"/>
            </w:tcBorders>
            <w:shd w:val="clear" w:color="auto" w:fill="FFFFFF"/>
            <w:vAlign w:val="center"/>
          </w:tcPr>
          <w:p w14:paraId="5243C530">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0.180</w:t>
            </w:r>
          </w:p>
        </w:tc>
        <w:tc>
          <w:tcPr>
            <w:tcW w:w="1250" w:type="pct"/>
            <w:tcBorders>
              <w:top w:val="nil"/>
              <w:left w:val="nil"/>
              <w:bottom w:val="single" w:color="000000" w:sz="12" w:space="0"/>
              <w:right w:val="nil"/>
            </w:tcBorders>
            <w:shd w:val="clear" w:color="auto" w:fill="FFFFFF"/>
            <w:vAlign w:val="center"/>
          </w:tcPr>
          <w:p w14:paraId="7A13727C">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25.732***</w:t>
            </w:r>
          </w:p>
        </w:tc>
        <w:tc>
          <w:tcPr>
            <w:tcW w:w="1250" w:type="pct"/>
            <w:tcBorders>
              <w:top w:val="nil"/>
              <w:left w:val="nil"/>
              <w:bottom w:val="single" w:color="000000" w:sz="12" w:space="0"/>
              <w:right w:val="nil"/>
            </w:tcBorders>
            <w:shd w:val="clear" w:color="auto" w:fill="FFFFFF"/>
            <w:vAlign w:val="center"/>
          </w:tcPr>
          <w:p w14:paraId="02966A0A">
            <w:pPr>
              <w:pStyle w:val="23"/>
              <w:keepNext w:val="0"/>
              <w:keepLines w:val="0"/>
              <w:suppressLineNumbers w:val="0"/>
              <w:spacing w:before="0" w:beforeAutospacing="0" w:after="0" w:afterAutospacing="0"/>
              <w:ind w:left="0" w:right="0"/>
              <w:rPr>
                <w:rFonts w:hint="eastAsia" w:ascii="宋体" w:hAnsi="宋体" w:eastAsia="宋体" w:cs="Times New Roman"/>
                <w:color w:val="000000"/>
                <w:sz w:val="20"/>
                <w:szCs w:val="21"/>
              </w:rPr>
            </w:pPr>
            <w:r>
              <w:rPr>
                <w:rFonts w:hint="eastAsia" w:ascii="宋体" w:hAnsi="宋体" w:eastAsia="宋体" w:cs="Times New Roman"/>
                <w:color w:val="000000"/>
                <w:sz w:val="20"/>
                <w:szCs w:val="21"/>
              </w:rPr>
              <w:t>15.070***</w:t>
            </w:r>
          </w:p>
        </w:tc>
      </w:tr>
    </w:tbl>
    <w:p w14:paraId="110B042B">
      <w:pPr>
        <w:ind w:firstLine="0" w:firstLineChars="0"/>
        <w:rPr>
          <w:rFonts w:cs="Times New Roman"/>
          <w:i/>
          <w:iCs/>
          <w:sz w:val="15"/>
          <w:szCs w:val="16"/>
        </w:rPr>
      </w:pPr>
      <w:r>
        <w:rPr>
          <w:rFonts w:hint="eastAsia" w:cs="Times New Roman"/>
          <w:i/>
          <w:iCs/>
          <w:sz w:val="15"/>
          <w:szCs w:val="16"/>
        </w:rPr>
        <w:t>注：1)</w:t>
      </w:r>
      <w:r>
        <w:rPr>
          <w:rFonts w:cs="Times New Roman"/>
          <w:i/>
          <w:iCs/>
          <w:sz w:val="15"/>
          <w:szCs w:val="16"/>
        </w:rPr>
        <w:t>括号内为标准误；</w:t>
      </w:r>
      <w:r>
        <w:rPr>
          <w:rFonts w:hint="eastAsia" w:cs="Times New Roman"/>
          <w:i/>
          <w:iCs/>
          <w:sz w:val="15"/>
          <w:szCs w:val="16"/>
        </w:rPr>
        <w:t xml:space="preserve">* </w:t>
      </w:r>
      <w:r>
        <w:rPr>
          <w:rFonts w:hint="eastAsia" w:cs="Times New Roman"/>
          <w:i/>
          <w:iCs/>
          <w:sz w:val="15"/>
          <w:szCs w:val="16"/>
        </w:rPr>
        <w:object>
          <v:shape id="_x0000_i1042" o:spt="75" type="#_x0000_t75" style="height:9.4pt;width:25.5pt;" o:ole="t" filled="f" o:preferrelative="t" stroked="f" coordsize="21600,21600">
            <v:path/>
            <v:fill on="f" focussize="0,0"/>
            <v:stroke on="f" joinstyle="miter"/>
            <v:imagedata r:id="rId53" o:title=""/>
            <o:lock v:ext="edit" aspectratio="t"/>
            <w10:wrap type="none"/>
            <w10:anchorlock/>
          </v:shape>
          <o:OLEObject Type="Embed" ProgID="Equation.DSMT4" ShapeID="_x0000_i1042" DrawAspect="Content" ObjectID="_1468075742" r:id="rId52">
            <o:LockedField>false</o:LockedField>
          </o:OLEObject>
        </w:object>
      </w:r>
      <w:r>
        <w:rPr>
          <w:rFonts w:hint="eastAsia" w:cs="Times New Roman"/>
          <w:i/>
          <w:iCs/>
          <w:sz w:val="15"/>
          <w:szCs w:val="16"/>
        </w:rPr>
        <w:t xml:space="preserve">，** </w:t>
      </w:r>
      <w:r>
        <w:rPr>
          <w:rFonts w:hint="eastAsia" w:cs="Times New Roman"/>
          <w:i/>
          <w:iCs/>
          <w:sz w:val="15"/>
          <w:szCs w:val="16"/>
        </w:rPr>
        <w:object>
          <v:shape id="_x0000_i1043" o:spt="75" type="#_x0000_t75" style="height:10.15pt;width:26.65pt;" o:ole="t" filled="f" o:preferrelative="t" stroked="f" coordsize="21600,21600">
            <v:path/>
            <v:fill on="f" focussize="0,0"/>
            <v:stroke on="f" joinstyle="miter"/>
            <v:imagedata r:id="rId55" o:title=""/>
            <o:lock v:ext="edit" aspectratio="t"/>
            <w10:wrap type="none"/>
            <w10:anchorlock/>
          </v:shape>
          <o:OLEObject Type="Embed" ProgID="Equation.DSMT4" ShapeID="_x0000_i1043" DrawAspect="Content" ObjectID="_1468075743" r:id="rId54">
            <o:LockedField>false</o:LockedField>
          </o:OLEObject>
        </w:object>
      </w:r>
      <w:r>
        <w:rPr>
          <w:rFonts w:hint="eastAsia" w:cs="Times New Roman"/>
          <w:i/>
          <w:iCs/>
          <w:sz w:val="15"/>
          <w:szCs w:val="16"/>
        </w:rPr>
        <w:t xml:space="preserve">，*** </w:t>
      </w:r>
      <w:r>
        <w:rPr>
          <w:rFonts w:hint="eastAsia" w:cs="Times New Roman"/>
          <w:i/>
          <w:iCs/>
          <w:sz w:val="15"/>
          <w:szCs w:val="16"/>
        </w:rPr>
        <w:object>
          <v:shape id="_x0000_i1044" o:spt="75" type="#_x0000_t75" style="height:10.15pt;width:30.75pt;" o:ole="t" filled="f" o:preferrelative="t" stroked="f" coordsize="21600,21600">
            <v:path/>
            <v:fill on="f" focussize="0,0"/>
            <v:stroke on="f" joinstyle="miter"/>
            <v:imagedata r:id="rId57" o:title=""/>
            <o:lock v:ext="edit" aspectratio="t"/>
            <w10:wrap type="none"/>
            <w10:anchorlock/>
          </v:shape>
          <o:OLEObject Type="Embed" ProgID="Equation.DSMT4" ShapeID="_x0000_i1044" DrawAspect="Content" ObjectID="_1468075744" r:id="rId56">
            <o:LockedField>false</o:LockedField>
          </o:OLEObject>
        </w:object>
      </w:r>
      <w:r>
        <w:rPr>
          <w:rFonts w:hint="eastAsia" w:cs="Times New Roman"/>
          <w:i/>
          <w:iCs/>
          <w:sz w:val="15"/>
          <w:szCs w:val="16"/>
        </w:rPr>
        <w:t>。</w:t>
      </w:r>
    </w:p>
    <w:p w14:paraId="4F6723B0">
      <w:pPr>
        <w:ind w:firstLine="0" w:firstLineChars="0"/>
        <w:rPr>
          <w:rFonts w:cs="Times New Roman"/>
          <w:i/>
          <w:iCs/>
          <w:sz w:val="16"/>
          <w:szCs w:val="18"/>
        </w:rPr>
      </w:pPr>
      <w:r>
        <w:rPr>
          <w:rFonts w:cs="Times New Roman"/>
          <w:i/>
          <w:iCs/>
          <w:sz w:val="16"/>
          <w:szCs w:val="18"/>
        </w:rPr>
        <w:t>数据来源：本研究问卷调查情境实验模块（N=538）；有调节的中介模型采用PROCESS宏（Hayes, 2022）Model 14，Bootstrap抽样次数=5,000。</w:t>
      </w:r>
    </w:p>
    <w:p w14:paraId="0D63E2B7">
      <w:pPr>
        <w:ind w:firstLine="0" w:firstLineChars="0"/>
        <w:rPr>
          <w:rFonts w:cs="Times New Roman"/>
          <w:i/>
          <w:iCs/>
          <w:sz w:val="15"/>
          <w:szCs w:val="16"/>
        </w:rPr>
      </w:pPr>
    </w:p>
    <w:p w14:paraId="20FDD54F">
      <w:pPr>
        <w:ind w:firstLine="420" w:firstLineChars="0"/>
        <w:rPr>
          <w:rFonts w:cs="Times New Roman"/>
          <w:szCs w:val="24"/>
          <w:lang w:bidi="ar"/>
        </w:rPr>
      </w:pPr>
      <w:r>
        <w:rPr>
          <w:rFonts w:hint="eastAsia" w:cs="Times New Roman"/>
          <w:szCs w:val="24"/>
          <w:lang w:bidi="ar"/>
        </w:rPr>
        <w:t>主效应的“失效”促使本研究引入“环境价值观（W）”构建有调节的中介模型（Model 7）。</w:t>
      </w:r>
    </w:p>
    <w:p w14:paraId="1240FF80">
      <w:pPr>
        <w:tabs>
          <w:tab w:val="left" w:pos="377"/>
        </w:tabs>
        <w:ind w:firstLine="0" w:firstLineChars="0"/>
        <w:jc w:val="center"/>
        <w:rPr>
          <w:rFonts w:eastAsia="黑体" w:cs="Times New Roman"/>
        </w:rPr>
      </w:pPr>
      <w:r>
        <w:rPr>
          <w:rFonts w:eastAsia="黑体" w:cs="Times New Roman"/>
        </w:rPr>
        <w:t>表</w:t>
      </w:r>
      <w:r>
        <w:rPr>
          <w:rFonts w:hint="eastAsia" w:eastAsia="黑体"/>
          <w:lang w:eastAsia="zh-CN"/>
        </w:rPr>
        <w:t>4</w:t>
      </w:r>
      <w:r>
        <w:rPr>
          <w:rFonts w:hint="eastAsia" w:eastAsia="黑体"/>
        </w:rPr>
        <w:t>-2</w:t>
      </w:r>
      <w:r>
        <w:rPr>
          <w:rFonts w:eastAsia="黑体" w:cs="Times New Roman"/>
        </w:rPr>
        <w:t xml:space="preserve"> 不同环境价值观水平下的条件间接效应检验</w:t>
      </w:r>
    </w:p>
    <w:p w14:paraId="2C1F03A3">
      <w:pPr>
        <w:tabs>
          <w:tab w:val="left" w:pos="377"/>
        </w:tabs>
        <w:ind w:firstLine="0" w:firstLineChars="0"/>
        <w:jc w:val="center"/>
        <w:rPr>
          <w:rFonts w:cs="Times New Roman"/>
          <w:b/>
          <w:bCs/>
        </w:rPr>
      </w:pPr>
      <w:r>
        <w:rPr>
          <w:rFonts w:hint="eastAsia" w:cs="Times New Roman"/>
          <w:b/>
          <w:bCs/>
        </w:rPr>
        <w:t xml:space="preserve">Table </w:t>
      </w:r>
      <w:r>
        <w:rPr>
          <w:rFonts w:hint="eastAsia" w:cs="Times New Roman"/>
          <w:b/>
          <w:bCs/>
          <w:lang w:eastAsia="zh-CN"/>
        </w:rPr>
        <w:t>4</w:t>
      </w:r>
      <w:r>
        <w:rPr>
          <w:rFonts w:hint="eastAsia" w:cs="Times New Roman"/>
          <w:b/>
          <w:bCs/>
        </w:rPr>
        <w:t xml:space="preserve">-2 </w:t>
      </w:r>
      <w:r>
        <w:rPr>
          <w:rFonts w:cs="Times New Roman"/>
          <w:b/>
          <w:bCs/>
        </w:rPr>
        <w:t>Test of Conditional Indirect Effects at Different Levels of Environmental Values</w:t>
      </w:r>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1608"/>
        <w:gridCol w:w="1436"/>
        <w:gridCol w:w="1413"/>
        <w:gridCol w:w="1527"/>
        <w:gridCol w:w="1576"/>
      </w:tblGrid>
      <w:tr w14:paraId="3E90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pct"/>
            <w:tcBorders>
              <w:top w:val="single" w:color="000000" w:sz="12" w:space="0"/>
              <w:left w:val="nil"/>
              <w:bottom w:val="single" w:color="000000" w:sz="4" w:space="0"/>
              <w:right w:val="nil"/>
              <w:tl2br w:val="nil"/>
            </w:tcBorders>
            <w:shd w:val="clear" w:color="auto" w:fill="FFFFFF"/>
            <w:vAlign w:val="center"/>
          </w:tcPr>
          <w:p w14:paraId="498DD5A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环境价值观 (W) 水平</w:t>
            </w:r>
          </w:p>
        </w:tc>
        <w:tc>
          <w:tcPr>
            <w:tcW w:w="908" w:type="pct"/>
            <w:tcBorders>
              <w:top w:val="single" w:color="000000" w:sz="12" w:space="0"/>
              <w:left w:val="nil"/>
              <w:bottom w:val="single" w:color="000000" w:sz="4" w:space="0"/>
              <w:right w:val="nil"/>
            </w:tcBorders>
            <w:shd w:val="clear" w:color="auto" w:fill="FFFFFF"/>
            <w:vAlign w:val="center"/>
          </w:tcPr>
          <w:p w14:paraId="11F3625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间接效应值 (Effect)</w:t>
            </w:r>
          </w:p>
        </w:tc>
        <w:tc>
          <w:tcPr>
            <w:tcW w:w="811" w:type="pct"/>
            <w:tcBorders>
              <w:top w:val="single" w:color="000000" w:sz="12" w:space="0"/>
              <w:left w:val="nil"/>
              <w:bottom w:val="single" w:color="000000" w:sz="4" w:space="0"/>
              <w:right w:val="nil"/>
            </w:tcBorders>
            <w:shd w:val="clear" w:color="auto" w:fill="FFFFFF"/>
            <w:vAlign w:val="center"/>
          </w:tcPr>
          <w:p w14:paraId="00F2B96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Boot SE</w:t>
            </w:r>
          </w:p>
        </w:tc>
        <w:tc>
          <w:tcPr>
            <w:tcW w:w="798" w:type="pct"/>
            <w:tcBorders>
              <w:top w:val="single" w:color="000000" w:sz="12" w:space="0"/>
              <w:left w:val="nil"/>
              <w:bottom w:val="single" w:color="000000" w:sz="4" w:space="0"/>
              <w:right w:val="nil"/>
            </w:tcBorders>
            <w:shd w:val="clear" w:color="auto" w:fill="FFFFFF"/>
            <w:vAlign w:val="center"/>
          </w:tcPr>
          <w:p w14:paraId="4C11F47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Boot 95% LLCI</w:t>
            </w:r>
          </w:p>
        </w:tc>
        <w:tc>
          <w:tcPr>
            <w:tcW w:w="862" w:type="pct"/>
            <w:tcBorders>
              <w:top w:val="single" w:color="000000" w:sz="12" w:space="0"/>
              <w:left w:val="nil"/>
              <w:bottom w:val="single" w:color="000000" w:sz="4" w:space="0"/>
              <w:right w:val="nil"/>
            </w:tcBorders>
            <w:shd w:val="clear" w:color="auto" w:fill="FFFFFF"/>
            <w:vAlign w:val="center"/>
          </w:tcPr>
          <w:p w14:paraId="4718326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Boot 95% ULCI</w:t>
            </w:r>
          </w:p>
        </w:tc>
        <w:tc>
          <w:tcPr>
            <w:tcW w:w="890" w:type="pct"/>
            <w:tcBorders>
              <w:top w:val="single" w:color="000000" w:sz="12" w:space="0"/>
              <w:left w:val="nil"/>
              <w:bottom w:val="single" w:color="000000" w:sz="4" w:space="0"/>
              <w:right w:val="nil"/>
            </w:tcBorders>
            <w:shd w:val="clear" w:color="auto" w:fill="FFFFFF"/>
            <w:vAlign w:val="center"/>
          </w:tcPr>
          <w:p w14:paraId="2480ADE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效应解释</w:t>
            </w:r>
          </w:p>
        </w:tc>
      </w:tr>
      <w:tr w14:paraId="2F72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pct"/>
            <w:tcBorders>
              <w:top w:val="single" w:color="000000" w:sz="4" w:space="0"/>
              <w:left w:val="nil"/>
              <w:bottom w:val="nil"/>
              <w:right w:val="nil"/>
            </w:tcBorders>
            <w:shd w:val="clear" w:color="auto" w:fill="FFFFFF"/>
            <w:vAlign w:val="center"/>
          </w:tcPr>
          <w:p w14:paraId="111AEAB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低水平 (-1 SD)</w:t>
            </w:r>
          </w:p>
        </w:tc>
        <w:tc>
          <w:tcPr>
            <w:tcW w:w="908" w:type="pct"/>
            <w:tcBorders>
              <w:top w:val="single" w:color="000000" w:sz="4" w:space="0"/>
              <w:left w:val="nil"/>
              <w:bottom w:val="nil"/>
              <w:right w:val="nil"/>
            </w:tcBorders>
            <w:shd w:val="clear" w:color="auto" w:fill="FFFFFF"/>
            <w:vAlign w:val="center"/>
          </w:tcPr>
          <w:p w14:paraId="069C381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0.089</w:t>
            </w:r>
          </w:p>
        </w:tc>
        <w:tc>
          <w:tcPr>
            <w:tcW w:w="811" w:type="pct"/>
            <w:tcBorders>
              <w:top w:val="single" w:color="000000" w:sz="4" w:space="0"/>
              <w:left w:val="nil"/>
              <w:bottom w:val="nil"/>
              <w:right w:val="nil"/>
            </w:tcBorders>
            <w:shd w:val="clear" w:color="auto" w:fill="FFFFFF"/>
            <w:vAlign w:val="center"/>
          </w:tcPr>
          <w:p w14:paraId="0E02C88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0.035</w:t>
            </w:r>
          </w:p>
        </w:tc>
        <w:tc>
          <w:tcPr>
            <w:tcW w:w="798" w:type="pct"/>
            <w:tcBorders>
              <w:top w:val="single" w:color="000000" w:sz="4" w:space="0"/>
              <w:left w:val="nil"/>
              <w:bottom w:val="nil"/>
              <w:right w:val="nil"/>
            </w:tcBorders>
            <w:shd w:val="clear" w:color="auto" w:fill="FFFFFF"/>
            <w:vAlign w:val="center"/>
          </w:tcPr>
          <w:p w14:paraId="4CCB07C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0.029</w:t>
            </w:r>
          </w:p>
        </w:tc>
        <w:tc>
          <w:tcPr>
            <w:tcW w:w="862" w:type="pct"/>
            <w:tcBorders>
              <w:top w:val="single" w:color="000000" w:sz="4" w:space="0"/>
              <w:left w:val="nil"/>
              <w:bottom w:val="nil"/>
              <w:right w:val="nil"/>
            </w:tcBorders>
            <w:shd w:val="clear" w:color="auto" w:fill="FFFFFF"/>
            <w:vAlign w:val="center"/>
          </w:tcPr>
          <w:p w14:paraId="5559271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0.167</w:t>
            </w:r>
          </w:p>
        </w:tc>
        <w:tc>
          <w:tcPr>
            <w:tcW w:w="890" w:type="pct"/>
            <w:tcBorders>
              <w:top w:val="single" w:color="000000" w:sz="4" w:space="0"/>
              <w:left w:val="nil"/>
              <w:bottom w:val="nil"/>
              <w:right w:val="nil"/>
            </w:tcBorders>
            <w:shd w:val="clear" w:color="auto" w:fill="FFFFFF"/>
            <w:vAlign w:val="center"/>
          </w:tcPr>
          <w:p w14:paraId="080292D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显著正向（产生强反弹）</w:t>
            </w:r>
          </w:p>
        </w:tc>
      </w:tr>
      <w:tr w14:paraId="4136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pct"/>
            <w:tcBorders>
              <w:top w:val="nil"/>
              <w:left w:val="nil"/>
              <w:bottom w:val="nil"/>
              <w:right w:val="nil"/>
            </w:tcBorders>
            <w:shd w:val="clear" w:color="auto" w:fill="FFFFFF"/>
            <w:vAlign w:val="center"/>
          </w:tcPr>
          <w:p w14:paraId="44D7552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中等水平 (Mean)</w:t>
            </w:r>
          </w:p>
        </w:tc>
        <w:tc>
          <w:tcPr>
            <w:tcW w:w="908" w:type="pct"/>
            <w:tcBorders>
              <w:top w:val="nil"/>
              <w:left w:val="nil"/>
              <w:bottom w:val="nil"/>
              <w:right w:val="nil"/>
            </w:tcBorders>
            <w:shd w:val="clear" w:color="auto" w:fill="FFFFFF"/>
            <w:vAlign w:val="center"/>
          </w:tcPr>
          <w:p w14:paraId="60A9F89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-0.001</w:t>
            </w:r>
          </w:p>
        </w:tc>
        <w:tc>
          <w:tcPr>
            <w:tcW w:w="811" w:type="pct"/>
            <w:tcBorders>
              <w:top w:val="nil"/>
              <w:left w:val="nil"/>
              <w:bottom w:val="nil"/>
              <w:right w:val="nil"/>
            </w:tcBorders>
            <w:shd w:val="clear" w:color="auto" w:fill="FFFFFF"/>
            <w:vAlign w:val="center"/>
          </w:tcPr>
          <w:p w14:paraId="55568B1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0.020</w:t>
            </w:r>
          </w:p>
        </w:tc>
        <w:tc>
          <w:tcPr>
            <w:tcW w:w="798" w:type="pct"/>
            <w:tcBorders>
              <w:top w:val="nil"/>
              <w:left w:val="nil"/>
              <w:bottom w:val="nil"/>
              <w:right w:val="nil"/>
            </w:tcBorders>
            <w:shd w:val="clear" w:color="auto" w:fill="FFFFFF"/>
            <w:vAlign w:val="center"/>
          </w:tcPr>
          <w:p w14:paraId="021593F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-0.039</w:t>
            </w:r>
          </w:p>
        </w:tc>
        <w:tc>
          <w:tcPr>
            <w:tcW w:w="862" w:type="pct"/>
            <w:tcBorders>
              <w:top w:val="nil"/>
              <w:left w:val="nil"/>
              <w:bottom w:val="nil"/>
              <w:right w:val="nil"/>
            </w:tcBorders>
            <w:shd w:val="clear" w:color="auto" w:fill="FFFFFF"/>
            <w:vAlign w:val="center"/>
          </w:tcPr>
          <w:p w14:paraId="31854F9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0.040</w:t>
            </w:r>
          </w:p>
        </w:tc>
        <w:tc>
          <w:tcPr>
            <w:tcW w:w="890" w:type="pct"/>
            <w:tcBorders>
              <w:top w:val="nil"/>
              <w:left w:val="nil"/>
              <w:bottom w:val="nil"/>
              <w:right w:val="nil"/>
            </w:tcBorders>
            <w:shd w:val="clear" w:color="auto" w:fill="FFFFFF"/>
            <w:vAlign w:val="center"/>
          </w:tcPr>
          <w:p w14:paraId="2832947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不显著（被抵消）</w:t>
            </w:r>
          </w:p>
        </w:tc>
      </w:tr>
      <w:tr w14:paraId="2CBBA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9" w:type="pct"/>
            <w:tcBorders>
              <w:top w:val="nil"/>
              <w:left w:val="nil"/>
              <w:bottom w:val="nil"/>
              <w:right w:val="nil"/>
            </w:tcBorders>
            <w:shd w:val="clear" w:color="auto" w:fill="FFFFFF"/>
            <w:vAlign w:val="center"/>
          </w:tcPr>
          <w:p w14:paraId="4EEF81E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高水平 (+1 SD)</w:t>
            </w:r>
          </w:p>
        </w:tc>
        <w:tc>
          <w:tcPr>
            <w:tcW w:w="908" w:type="pct"/>
            <w:tcBorders>
              <w:top w:val="nil"/>
              <w:left w:val="nil"/>
              <w:bottom w:val="nil"/>
              <w:right w:val="nil"/>
            </w:tcBorders>
            <w:shd w:val="clear" w:color="auto" w:fill="FFFFFF"/>
            <w:vAlign w:val="center"/>
          </w:tcPr>
          <w:p w14:paraId="122E57A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-0.098</w:t>
            </w:r>
          </w:p>
        </w:tc>
        <w:tc>
          <w:tcPr>
            <w:tcW w:w="811" w:type="pct"/>
            <w:tcBorders>
              <w:top w:val="nil"/>
              <w:left w:val="nil"/>
              <w:bottom w:val="nil"/>
              <w:right w:val="nil"/>
            </w:tcBorders>
            <w:shd w:val="clear" w:color="auto" w:fill="FFFFFF"/>
            <w:vAlign w:val="center"/>
          </w:tcPr>
          <w:p w14:paraId="128B382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0.031</w:t>
            </w:r>
          </w:p>
        </w:tc>
        <w:tc>
          <w:tcPr>
            <w:tcW w:w="798" w:type="pct"/>
            <w:tcBorders>
              <w:top w:val="nil"/>
              <w:left w:val="nil"/>
              <w:bottom w:val="nil"/>
              <w:right w:val="nil"/>
            </w:tcBorders>
            <w:shd w:val="clear" w:color="auto" w:fill="FFFFFF"/>
            <w:vAlign w:val="center"/>
          </w:tcPr>
          <w:p w14:paraId="7CB3941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-0.165</w:t>
            </w:r>
          </w:p>
        </w:tc>
        <w:tc>
          <w:tcPr>
            <w:tcW w:w="862" w:type="pct"/>
            <w:tcBorders>
              <w:top w:val="nil"/>
              <w:left w:val="nil"/>
              <w:bottom w:val="nil"/>
              <w:right w:val="nil"/>
            </w:tcBorders>
            <w:shd w:val="clear" w:color="auto" w:fill="FFFFFF"/>
            <w:vAlign w:val="center"/>
          </w:tcPr>
          <w:p w14:paraId="572B1C1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-0.042</w:t>
            </w:r>
          </w:p>
        </w:tc>
        <w:tc>
          <w:tcPr>
            <w:tcW w:w="890" w:type="pct"/>
            <w:tcBorders>
              <w:top w:val="nil"/>
              <w:left w:val="nil"/>
              <w:bottom w:val="nil"/>
              <w:right w:val="nil"/>
            </w:tcBorders>
            <w:shd w:val="clear" w:color="auto" w:fill="FFFFFF"/>
            <w:vAlign w:val="center"/>
          </w:tcPr>
          <w:p w14:paraId="0C99108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显著负向（深度内化/抑制反弹）</w:t>
            </w:r>
          </w:p>
        </w:tc>
      </w:tr>
      <w:tr w14:paraId="2E6C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29" w:type="pct"/>
            <w:tcBorders>
              <w:top w:val="nil"/>
              <w:left w:val="nil"/>
              <w:bottom w:val="single" w:color="000000" w:sz="12" w:space="0"/>
              <w:right w:val="nil"/>
            </w:tcBorders>
            <w:shd w:val="clear" w:color="auto" w:fill="FFFFFF"/>
            <w:vAlign w:val="center"/>
          </w:tcPr>
          <w:p w14:paraId="11F630F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有调节的中介指数 (Index)</w:t>
            </w:r>
          </w:p>
        </w:tc>
        <w:tc>
          <w:tcPr>
            <w:tcW w:w="908" w:type="pct"/>
            <w:tcBorders>
              <w:top w:val="nil"/>
              <w:left w:val="nil"/>
              <w:bottom w:val="single" w:color="000000" w:sz="12" w:space="0"/>
              <w:right w:val="nil"/>
            </w:tcBorders>
            <w:shd w:val="clear" w:color="auto" w:fill="FFFFFF"/>
            <w:vAlign w:val="center"/>
          </w:tcPr>
          <w:p w14:paraId="1174434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-0.122</w:t>
            </w:r>
          </w:p>
        </w:tc>
        <w:tc>
          <w:tcPr>
            <w:tcW w:w="811" w:type="pct"/>
            <w:tcBorders>
              <w:top w:val="nil"/>
              <w:left w:val="nil"/>
              <w:bottom w:val="single" w:color="000000" w:sz="12" w:space="0"/>
              <w:right w:val="nil"/>
            </w:tcBorders>
            <w:shd w:val="clear" w:color="auto" w:fill="FFFFFF"/>
            <w:vAlign w:val="center"/>
          </w:tcPr>
          <w:p w14:paraId="3EBD53B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0.035</w:t>
            </w:r>
          </w:p>
        </w:tc>
        <w:tc>
          <w:tcPr>
            <w:tcW w:w="798" w:type="pct"/>
            <w:tcBorders>
              <w:top w:val="nil"/>
              <w:left w:val="nil"/>
              <w:bottom w:val="single" w:color="000000" w:sz="12" w:space="0"/>
              <w:right w:val="nil"/>
            </w:tcBorders>
            <w:shd w:val="clear" w:color="auto" w:fill="FFFFFF"/>
            <w:vAlign w:val="center"/>
          </w:tcPr>
          <w:p w14:paraId="7BBA014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-0.198</w:t>
            </w:r>
          </w:p>
        </w:tc>
        <w:tc>
          <w:tcPr>
            <w:tcW w:w="862" w:type="pct"/>
            <w:tcBorders>
              <w:top w:val="nil"/>
              <w:left w:val="nil"/>
              <w:bottom w:val="single" w:color="000000" w:sz="12" w:space="0"/>
              <w:right w:val="nil"/>
            </w:tcBorders>
            <w:shd w:val="clear" w:color="auto" w:fill="FFFFFF"/>
            <w:vAlign w:val="center"/>
          </w:tcPr>
          <w:p w14:paraId="0C94359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-0.059</w:t>
            </w:r>
          </w:p>
        </w:tc>
        <w:tc>
          <w:tcPr>
            <w:tcW w:w="890" w:type="pct"/>
            <w:tcBorders>
              <w:top w:val="nil"/>
              <w:left w:val="nil"/>
              <w:bottom w:val="single" w:color="000000" w:sz="12" w:space="0"/>
              <w:right w:val="nil"/>
            </w:tcBorders>
            <w:shd w:val="clear" w:color="auto" w:fill="FFFFFF"/>
            <w:vAlign w:val="center"/>
          </w:tcPr>
          <w:p w14:paraId="5508B5B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判定指数显著，H2 成立</w:t>
            </w:r>
          </w:p>
        </w:tc>
      </w:tr>
    </w:tbl>
    <w:p w14:paraId="379572F7">
      <w:pPr>
        <w:ind w:firstLine="0" w:firstLineChars="0"/>
        <w:rPr>
          <w:rFonts w:cs="Times New Roman"/>
          <w:i/>
          <w:iCs/>
          <w:sz w:val="16"/>
          <w:szCs w:val="18"/>
        </w:rPr>
      </w:pPr>
      <w:r>
        <w:rPr>
          <w:rFonts w:hint="eastAsia" w:cs="Times New Roman"/>
          <w:i/>
          <w:iCs/>
          <w:sz w:val="16"/>
          <w:szCs w:val="18"/>
        </w:rPr>
        <w:t>注：1)</w:t>
      </w:r>
      <w:r>
        <w:rPr>
          <w:rFonts w:cs="Times New Roman"/>
          <w:i/>
          <w:iCs/>
          <w:sz w:val="16"/>
          <w:szCs w:val="18"/>
        </w:rPr>
        <w:t>Bootstrap 抽样次数为 5000 次；置信区间（CI）不包含 0 代表效应显著。</w:t>
      </w:r>
    </w:p>
    <w:p w14:paraId="293B10D6">
      <w:pPr>
        <w:ind w:firstLine="0" w:firstLineChars="0"/>
        <w:rPr>
          <w:rFonts w:cs="Times New Roman"/>
          <w:i/>
          <w:iCs/>
          <w:sz w:val="18"/>
          <w:szCs w:val="20"/>
        </w:rPr>
      </w:pPr>
      <w:r>
        <w:rPr>
          <w:rFonts w:cs="Times New Roman"/>
          <w:i/>
          <w:iCs/>
          <w:sz w:val="18"/>
          <w:szCs w:val="20"/>
        </w:rPr>
        <w:t>数据来源：本研究问卷调查情境实验模块（N=538）；条件间接效应95% CI由Bootstrap法（5,000次）估算，不含0表示在p&lt;0.05水平显著。</w:t>
      </w:r>
    </w:p>
    <w:p w14:paraId="275CCB51">
      <w:pPr>
        <w:ind w:firstLine="0" w:firstLineChars="0"/>
        <w:rPr>
          <w:rFonts w:hint="eastAsia" w:cs="Times New Roman"/>
          <w:i/>
          <w:iCs/>
          <w:sz w:val="18"/>
          <w:szCs w:val="20"/>
        </w:rPr>
      </w:pPr>
    </w:p>
    <w:p w14:paraId="676555CF">
      <w:pPr>
        <w:ind w:firstLine="480"/>
        <w:rPr>
          <w:rFonts w:hint="eastAsia" w:cs="Times New Roman"/>
        </w:rPr>
      </w:pPr>
      <w:r>
        <w:rPr>
          <w:rFonts w:hint="eastAsia" w:cs="Times New Roman"/>
        </w:rPr>
        <w:t>表4-1（模型2）显示，客观阻力与环境价值观的交互项对权利感具有显著负向作用（</w:t>
      </w:r>
      <w:r>
        <w:rPr>
          <w:rFonts w:cs="Times New Roman"/>
        </w:rPr>
        <w:object>
          <v:shape id="_x0000_i1045" o:spt="75" type="#_x0000_t75" style="height:16.15pt;width:108pt;" o:ole="t" filled="f" o:preferrelative="t" stroked="f" coordsize="21600,21600">
            <v:path/>
            <v:fill on="f" focussize="0,0"/>
            <v:stroke on="f" joinstyle="miter"/>
            <v:imagedata r:id="rId59" o:title=""/>
            <o:lock v:ext="edit" aspectratio="t"/>
            <w10:wrap type="none"/>
            <w10:anchorlock/>
          </v:shape>
          <o:OLEObject Type="Embed" ProgID="Equation.DSMT4" ShapeID="_x0000_i1045" DrawAspect="Content" ObjectID="_1468075745" r:id="rId58">
            <o:LockedField>false</o:LockedField>
          </o:OLEObject>
        </w:object>
      </w:r>
      <w:r>
        <w:rPr>
          <w:rFonts w:hint="eastAsia" w:cs="Times New Roman"/>
        </w:rPr>
        <w:t>）。</w:t>
      </w:r>
    </w:p>
    <w:p w14:paraId="44636DD0">
      <w:pPr>
        <w:ind w:firstLine="480"/>
        <w:rPr>
          <w:rFonts w:hint="eastAsia" w:cs="Times New Roman"/>
        </w:rPr>
      </w:pPr>
      <w:r>
        <w:rPr>
          <w:rFonts w:hint="eastAsia" w:cs="Times New Roman"/>
        </w:rPr>
        <w:t>条件间接效应分析（表4-2）揭示两股相反力量：低环境价值观群体（-1 SD）间接效应显著为正（Effect = 0.089，95% CI [0.029, 0.167]），高阻力行为激发强烈权利感与补偿渴望；高环境价值观群体（+1 SD）间接效应显著为负（Effect = -0.098，95% CI [-0.165, -0.042]），高阻力行为被内化为环保责任，进一步抑制放纵倾向。两种效应在总体样本中相互抵消（中等水平 Effect = -0.001），导致基础主效应失效。有调节的中介判定指数（Index = -0.122，95% CI [-0.198, -0.059]）不含零，H2b获验证。</w:t>
      </w:r>
    </w:p>
    <w:p w14:paraId="755D9EE5">
      <w:pPr>
        <w:ind w:firstLine="480"/>
        <w:rPr>
          <w:rFonts w:hint="eastAsia" w:cs="Times New Roman"/>
        </w:rPr>
      </w:pPr>
      <w:r>
        <w:rPr>
          <w:rFonts w:hint="eastAsia" w:cs="Times New Roman"/>
        </w:rPr>
        <w:t>上述发现证实了环境价值观在心理反弹机制中的</w:t>
      </w:r>
      <w:r>
        <w:rPr>
          <w:rFonts w:hint="eastAsia" w:cs="Times New Roman"/>
          <w:lang w:val="en-US" w:eastAsia="zh-CN"/>
        </w:rPr>
        <w:t>起到</w:t>
      </w:r>
      <w:r>
        <w:rPr>
          <w:rFonts w:hint="eastAsia" w:cs="Times New Roman"/>
        </w:rPr>
        <w:t>核心作用，也从统计层面解释了以往文献中效应难以复现的根源。</w:t>
      </w:r>
    </w:p>
    <w:p w14:paraId="6ED4C379">
      <w:pPr>
        <w:pStyle w:val="4"/>
        <w:bidi w:val="0"/>
        <w:rPr>
          <w:rFonts w:hint="eastAsia"/>
          <w:lang w:val="en-US" w:eastAsia="zh-CN"/>
        </w:rPr>
      </w:pPr>
      <w:bookmarkStart w:id="35" w:name="_Toc21544"/>
      <w:r>
        <w:rPr>
          <w:rFonts w:hint="eastAsia"/>
          <w:lang w:val="en-US" w:eastAsia="zh-CN"/>
        </w:rPr>
        <w:t>6.1.1 需求侧的政策优选四象限矩阵</w:t>
      </w:r>
      <w:bookmarkEnd w:id="35"/>
    </w:p>
    <w:p w14:paraId="3536FCDD">
      <w:pPr>
        <w:ind w:firstLine="480"/>
        <w:rPr>
          <w:rFonts w:hint="eastAsia" w:cs="Times New Roman"/>
        </w:rPr>
      </w:pPr>
      <w:r>
        <w:rPr>
          <w:rFonts w:hint="eastAsia" w:cs="Times New Roman"/>
        </w:rPr>
        <w:t>基于上述结果，本研究构建政策优选四象限矩阵（图6-1）。传统政策倾向将理论减排量大或执行门槛低的行为视为</w:t>
      </w:r>
      <w:r>
        <w:rPr>
          <w:rFonts w:hint="eastAsia" w:cs="Times New Roman"/>
          <w:lang w:eastAsia="zh-CN"/>
        </w:rPr>
        <w:t>“</w:t>
      </w:r>
      <w:r>
        <w:rPr>
          <w:rFonts w:hint="eastAsia" w:cs="Times New Roman"/>
        </w:rPr>
        <w:t>低垂果实</w:t>
      </w:r>
      <w:r>
        <w:rPr>
          <w:rFonts w:hint="eastAsia" w:cs="Times New Roman"/>
          <w:lang w:eastAsia="zh-CN"/>
        </w:rPr>
        <w:t>”</w:t>
      </w:r>
      <w:r>
        <w:rPr>
          <w:rFonts w:hint="eastAsia" w:cs="Times New Roman"/>
        </w:rPr>
        <w:t>，但本研究表明，未经反弹压力测试的所谓低垂果实往往是吞噬减排红利与社会福利。</w:t>
      </w:r>
    </w:p>
    <w:p w14:paraId="5E8A536C">
      <w:pPr>
        <w:ind w:firstLine="480"/>
        <w:rPr>
          <w:rFonts w:hint="default" w:eastAsia="宋体" w:cs="Times New Roman"/>
          <w:lang w:val="en-US" w:eastAsia="zh-CN"/>
        </w:rPr>
      </w:pPr>
      <w:r>
        <w:rPr>
          <w:rFonts w:hint="eastAsia" w:cs="Times New Roman"/>
        </w:rPr>
        <w:t>真正的优质政策工具须同时满足：抗反弹韧性强（净减排量不被完全反噬）与经济效率高（SW&gt;0）</w:t>
      </w:r>
      <w:r>
        <w:rPr>
          <w:rFonts w:hint="eastAsia" w:cs="Times New Roman"/>
          <w:lang w:eastAsia="zh-CN"/>
        </w:rPr>
        <w:t>，</w:t>
      </w:r>
      <w:r>
        <w:rPr>
          <w:rFonts w:hint="eastAsia" w:cs="Times New Roman"/>
          <w:lang w:val="en-US" w:eastAsia="zh-CN"/>
        </w:rPr>
        <w:t>因此本研究提出三种行为类型：</w:t>
      </w:r>
    </w:p>
    <w:p w14:paraId="1B032060">
      <w:pPr>
        <w:ind w:firstLine="480"/>
        <w:rPr>
          <w:rFonts w:hint="eastAsia" w:cs="Times New Roman"/>
        </w:rPr>
      </w:pPr>
      <w:r>
        <w:rPr>
          <w:rFonts w:hint="eastAsia" w:cs="Times New Roman"/>
        </w:rPr>
        <w:t>优质低垂果实（左上象限）</w:t>
      </w:r>
      <w:r>
        <w:rPr>
          <w:rFonts w:hint="eastAsia" w:cs="Times New Roman"/>
          <w:lang w:eastAsia="zh-CN"/>
        </w:rPr>
        <w:t>：“</w:t>
      </w:r>
      <w:r>
        <w:rPr>
          <w:rFonts w:hint="eastAsia" w:cs="Times New Roman"/>
        </w:rPr>
        <w:t>换电动汽车</w:t>
      </w:r>
      <w:r>
        <w:rPr>
          <w:rFonts w:hint="eastAsia" w:cs="Times New Roman"/>
          <w:lang w:eastAsia="zh-CN"/>
        </w:rPr>
        <w:t>”</w:t>
      </w:r>
      <w:r>
        <w:rPr>
          <w:rFonts w:hint="eastAsia" w:cs="Times New Roman"/>
        </w:rPr>
        <w:t>与</w:t>
      </w:r>
      <w:r>
        <w:rPr>
          <w:rFonts w:hint="eastAsia" w:cs="Times New Roman"/>
          <w:lang w:eastAsia="zh-CN"/>
        </w:rPr>
        <w:t>“</w:t>
      </w:r>
      <w:r>
        <w:rPr>
          <w:rFonts w:hint="eastAsia" w:cs="Times New Roman"/>
        </w:rPr>
        <w:t>高铁代飞机</w:t>
      </w:r>
      <w:r>
        <w:rPr>
          <w:rFonts w:hint="eastAsia" w:cs="Times New Roman"/>
          <w:lang w:eastAsia="zh-CN"/>
        </w:rPr>
        <w:t>”</w:t>
      </w:r>
      <w:r>
        <w:rPr>
          <w:rFonts w:hint="eastAsia" w:cs="Times New Roman"/>
        </w:rPr>
        <w:t>是需求侧真正值得倾注核心资源的战略重点。两者净减排韧性高（反弹损失仅35%与21%），P(SW&gt;0)分别达100%与78%，福利均值+2090元与+156元。高初始门槛</w:t>
      </w:r>
      <w:r>
        <w:rPr>
          <w:rFonts w:hint="eastAsia" w:cs="Times New Roman"/>
          <w:lang w:val="en-US" w:eastAsia="zh-CN"/>
        </w:rPr>
        <w:t>抵消了</w:t>
      </w:r>
      <w:r>
        <w:rPr>
          <w:rFonts w:hint="eastAsia" w:cs="Times New Roman"/>
        </w:rPr>
        <w:t>短期经济反弹空间。</w:t>
      </w:r>
    </w:p>
    <w:p w14:paraId="696E0AAB">
      <w:pPr>
        <w:ind w:firstLine="480"/>
        <w:rPr>
          <w:rFonts w:hint="eastAsia" w:cs="Times New Roman"/>
        </w:rPr>
      </w:pPr>
      <w:r>
        <w:rPr>
          <w:rFonts w:hint="eastAsia" w:cs="Times New Roman"/>
        </w:rPr>
        <w:t>气候陷阱（右下象限）：</w:t>
      </w:r>
      <w:r>
        <w:rPr>
          <w:rFonts w:hint="eastAsia" w:cs="Times New Roman"/>
          <w:lang w:eastAsia="zh-CN"/>
        </w:rPr>
        <w:t>“</w:t>
      </w:r>
      <w:r>
        <w:rPr>
          <w:rFonts w:hint="eastAsia" w:cs="Times New Roman"/>
        </w:rPr>
        <w:t>豆腐代肉</w:t>
      </w:r>
      <w:r>
        <w:rPr>
          <w:rFonts w:hint="eastAsia" w:cs="Times New Roman"/>
          <w:lang w:eastAsia="zh-CN"/>
        </w:rPr>
        <w:t>”“</w:t>
      </w:r>
      <w:r>
        <w:rPr>
          <w:rFonts w:hint="eastAsia" w:cs="Times New Roman"/>
        </w:rPr>
        <w:t>换节能空调</w:t>
      </w:r>
      <w:r>
        <w:rPr>
          <w:rFonts w:hint="eastAsia" w:cs="Times New Roman"/>
          <w:lang w:eastAsia="zh-CN"/>
        </w:rPr>
        <w:t>”“</w:t>
      </w:r>
      <w:r>
        <w:rPr>
          <w:rFonts w:hint="eastAsia" w:cs="Times New Roman"/>
        </w:rPr>
        <w:t>减少外卖餐具</w:t>
      </w:r>
      <w:r>
        <w:rPr>
          <w:rFonts w:hint="eastAsia" w:cs="Times New Roman"/>
          <w:lang w:eastAsia="zh-CN"/>
        </w:rPr>
        <w:t>”</w:t>
      </w:r>
      <w:r>
        <w:rPr>
          <w:rFonts w:hint="eastAsia" w:cs="Times New Roman"/>
        </w:rPr>
        <w:t>反弹损失率远超100%（193%、343%、10261%），P(SW&gt;0)=0%。投入公共资源倡导上述行为不仅财政低效，更可能在宏观上加速碳排放恶化。</w:t>
      </w:r>
    </w:p>
    <w:p w14:paraId="52BA5099">
      <w:pPr>
        <w:ind w:firstLine="480"/>
        <w:rPr>
          <w:rFonts w:cs="Times New Roman"/>
        </w:rPr>
      </w:pPr>
      <w:r>
        <w:rPr>
          <w:rFonts w:hint="eastAsia" w:cs="Times New Roman"/>
        </w:rPr>
        <w:t xml:space="preserve">有条件推广区（左下象限）： </w:t>
      </w:r>
      <w:r>
        <w:rPr>
          <w:rFonts w:hint="eastAsia" w:cs="Times New Roman"/>
          <w:lang w:eastAsia="zh-CN"/>
        </w:rPr>
        <w:t>“</w:t>
      </w:r>
      <w:r>
        <w:rPr>
          <w:rFonts w:hint="eastAsia" w:cs="Times New Roman"/>
        </w:rPr>
        <w:t>垃圾分类</w:t>
      </w:r>
      <w:r>
        <w:rPr>
          <w:rFonts w:hint="eastAsia" w:cs="Times New Roman"/>
          <w:lang w:eastAsia="zh-CN"/>
        </w:rPr>
        <w:t>”</w:t>
      </w:r>
      <w:r>
        <w:rPr>
          <w:rFonts w:hint="eastAsia" w:cs="Times New Roman"/>
        </w:rPr>
        <w:t>净减排35.9 kg，但高时间与认知摩擦（NPC）致使SW=−90元。政策重心应转向大规模投资末端基础设施（如智能回收网络）以消除非经济成本阻力，而非继续施加道德压力。</w:t>
      </w:r>
    </w:p>
    <w:p w14:paraId="0A6484E4">
      <w:pPr>
        <w:ind w:firstLine="0" w:firstLineChars="0"/>
        <w:rPr>
          <w:rFonts w:cs="Times New Roman"/>
          <w:szCs w:val="24"/>
        </w:rPr>
      </w:pPr>
      <w:r>
        <w:rPr>
          <w:rFonts w:cs="Times New Roman"/>
          <w:szCs w:val="24"/>
        </w:rPr>
        <w:drawing>
          <wp:inline distT="0" distB="0" distL="114300" distR="114300">
            <wp:extent cx="5300980" cy="3709035"/>
            <wp:effectExtent l="0" t="0" r="4445" b="5715"/>
            <wp:docPr id="10" name="图片 10" descr="Fig6_1_Policy_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6_1_Policy_Quadrant"/>
                    <pic:cNvPicPr>
                      <a:picLocks noChangeAspect="1"/>
                    </pic:cNvPicPr>
                  </pic:nvPicPr>
                  <pic:blipFill>
                    <a:blip r:embed="rId60"/>
                    <a:srcRect t="6760" r="31878" b="2919"/>
                    <a:stretch>
                      <a:fillRect/>
                    </a:stretch>
                  </pic:blipFill>
                  <pic:spPr>
                    <a:xfrm>
                      <a:off x="0" y="0"/>
                      <a:ext cx="5300980" cy="3709035"/>
                    </a:xfrm>
                    <a:prstGeom prst="rect">
                      <a:avLst/>
                    </a:prstGeom>
                  </pic:spPr>
                </pic:pic>
              </a:graphicData>
            </a:graphic>
          </wp:inline>
        </w:drawing>
      </w:r>
    </w:p>
    <w:p w14:paraId="5F613E63">
      <w:pPr>
        <w:tabs>
          <w:tab w:val="left" w:pos="377"/>
        </w:tabs>
        <w:ind w:firstLine="0" w:firstLineChars="0"/>
        <w:jc w:val="center"/>
        <w:rPr>
          <w:rFonts w:eastAsia="黑体" w:cs="Times New Roman"/>
        </w:rPr>
      </w:pPr>
      <w:r>
        <w:rPr>
          <w:rFonts w:hint="eastAsia" w:eastAsia="黑体"/>
        </w:rPr>
        <w:t>图</w:t>
      </w:r>
      <w:r>
        <w:rPr>
          <w:rFonts w:hint="eastAsia" w:eastAsia="黑体"/>
          <w:lang w:eastAsia="zh-CN"/>
        </w:rPr>
        <w:t>6</w:t>
      </w:r>
      <w:r>
        <w:rPr>
          <w:rFonts w:hint="eastAsia" w:eastAsia="黑体"/>
        </w:rPr>
        <w:t>-1</w:t>
      </w:r>
      <w:r>
        <w:rPr>
          <w:rFonts w:eastAsia="黑体" w:cs="Times New Roman"/>
        </w:rPr>
        <w:t xml:space="preserve"> </w:t>
      </w:r>
      <w:r>
        <w:rPr>
          <w:rFonts w:hint="eastAsia" w:eastAsia="黑体" w:cs="Times New Roman"/>
        </w:rPr>
        <w:t>需求侧气候减缓行为的政策优先级评估</w:t>
      </w:r>
    </w:p>
    <w:p w14:paraId="3CEA7627">
      <w:pPr>
        <w:ind w:firstLine="0" w:firstLineChars="0"/>
        <w:jc w:val="center"/>
        <w:rPr>
          <w:rFonts w:eastAsia="黑体" w:cs="Times New Roman"/>
          <w:b/>
          <w:bCs/>
        </w:rPr>
      </w:pPr>
      <w:r>
        <w:rPr>
          <w:rFonts w:hint="eastAsia" w:eastAsia="黑体" w:cs="Times New Roman"/>
          <w:b/>
          <w:bCs/>
        </w:rPr>
        <w:t xml:space="preserve">Figure </w:t>
      </w:r>
      <w:r>
        <w:rPr>
          <w:rFonts w:hint="eastAsia" w:eastAsia="黑体" w:cs="Times New Roman"/>
          <w:b/>
          <w:bCs/>
          <w:lang w:eastAsia="zh-CN"/>
        </w:rPr>
        <w:t>6</w:t>
      </w:r>
      <w:r>
        <w:rPr>
          <w:rFonts w:hint="eastAsia" w:eastAsia="黑体" w:cs="Times New Roman"/>
          <w:b/>
          <w:bCs/>
        </w:rPr>
        <w:t>-1 Policy Priority Assessment of Demand-Side Climate Mitigation Behaviors</w:t>
      </w:r>
    </w:p>
    <w:p w14:paraId="0F80AA74">
      <w:pPr>
        <w:ind w:firstLine="0" w:firstLineChars="0"/>
        <w:rPr>
          <w:rFonts w:cs="Times New Roman"/>
          <w:i/>
          <w:iCs/>
          <w:sz w:val="20"/>
          <w:szCs w:val="21"/>
        </w:rPr>
      </w:pPr>
      <w:r>
        <w:rPr>
          <w:rFonts w:cs="Times New Roman"/>
          <w:i/>
          <w:iCs/>
          <w:sz w:val="20"/>
          <w:szCs w:val="21"/>
        </w:rPr>
        <w:t>数据来源：本研究动态CBA模拟结果综合整理；横轴为蒙特卡洛模拟中P(SW&gt;0)，纵轴为净减排韧性（1−反弹损失率）；气泡大小表示行为初始理论减排量（AEI，kg/年）；各行为数值详见表</w:t>
      </w:r>
      <w:r>
        <w:rPr>
          <w:rFonts w:hint="eastAsia" w:cs="Times New Roman"/>
          <w:i/>
          <w:iCs/>
          <w:sz w:val="20"/>
          <w:szCs w:val="21"/>
          <w:lang w:val="en-US" w:eastAsia="zh-CN"/>
        </w:rPr>
        <w:t>7</w:t>
      </w:r>
      <w:r>
        <w:rPr>
          <w:rFonts w:cs="Times New Roman"/>
          <w:i/>
          <w:iCs/>
          <w:sz w:val="20"/>
          <w:szCs w:val="21"/>
        </w:rPr>
        <w:t>-2。</w:t>
      </w:r>
    </w:p>
    <w:p w14:paraId="30FBCCCD">
      <w:pPr>
        <w:ind w:firstLine="480"/>
        <w:rPr>
          <w:rFonts w:hint="eastAsia" w:cs="Times New Roman"/>
        </w:rPr>
      </w:pPr>
    </w:p>
    <w:p w14:paraId="50736371">
      <w:pPr>
        <w:ind w:firstLine="480"/>
        <w:rPr>
          <w:rFonts w:cs="Times New Roman"/>
        </w:rPr>
      </w:pPr>
    </w:p>
    <w:p w14:paraId="4EE420BF">
      <w:pPr>
        <w:pStyle w:val="3"/>
        <w:bidi w:val="0"/>
      </w:pPr>
      <w:bookmarkStart w:id="36" w:name="_Toc32223"/>
      <w:r>
        <w:rPr>
          <w:rFonts w:hint="eastAsia"/>
          <w:lang w:eastAsia="zh-CN"/>
        </w:rPr>
        <w:t>5</w:t>
      </w:r>
      <w:r>
        <w:t xml:space="preserve">.4  </w:t>
      </w:r>
      <w:r>
        <w:rPr>
          <w:rFonts w:hint="eastAsia"/>
        </w:rPr>
        <w:t>蒙特卡洛内部敏感性分析</w:t>
      </w:r>
      <w:bookmarkEnd w:id="36"/>
    </w:p>
    <w:p w14:paraId="1872F290">
      <w:pPr>
        <w:ind w:firstLine="480"/>
        <w:rPr>
          <w:rFonts w:hint="eastAsia" w:eastAsia="宋体" w:cs="Times New Roman"/>
          <w:lang w:eastAsia="zh-CN"/>
        </w:rPr>
      </w:pPr>
      <w:r>
        <w:rPr>
          <w:rFonts w:hint="eastAsia" w:cs="Times New Roman"/>
        </w:rPr>
        <w:t>本研究CBA核心参数存在两类来源：外生文献参数（SCC、CI及碳排放因子）不确定性区间宽泛且与本样本无关；实测行为参数（Φ、MPC、DRP）的不确定性反映样本内部测量误差。因此，以下蒙特卡洛模拟属于内部敏感性分析，而非基于独立外部样本的稳健性验证，其功能在于评估文献来源参数波动对福利方向性结论的影响程度，不能替代外部参数校准</w:t>
      </w:r>
      <w:r>
        <w:rPr>
          <w:rFonts w:hint="eastAsia" w:cs="Times New Roman"/>
          <w:lang w:eastAsia="zh-CN"/>
        </w:rPr>
        <w:t>。</w:t>
      </w:r>
    </w:p>
    <w:p w14:paraId="61AC3BDA">
      <w:pPr>
        <w:ind w:firstLine="480"/>
        <w:rPr>
          <w:rFonts w:hint="eastAsia" w:cs="Times New Roman"/>
        </w:rPr>
      </w:pPr>
      <w:r>
        <w:rPr>
          <w:rFonts w:hint="eastAsia" w:cs="Times New Roman"/>
        </w:rPr>
        <w:t>如图5-3所示，模拟结果呈现极端的两极分化。</w:t>
      </w:r>
    </w:p>
    <w:p w14:paraId="2B2EC7C2">
      <w:pPr>
        <w:numPr>
          <w:ilvl w:val="0"/>
          <w:numId w:val="5"/>
        </w:numPr>
        <w:ind w:firstLine="480"/>
        <w:rPr>
          <w:rFonts w:hint="eastAsia" w:cs="Times New Roman"/>
        </w:rPr>
      </w:pPr>
      <w:r>
        <w:rPr>
          <w:rFonts w:hint="eastAsia" w:cs="Times New Roman"/>
        </w:rPr>
        <w:t>高韧性行为：</w:t>
      </w:r>
      <w:r>
        <w:rPr>
          <w:rFonts w:hint="eastAsia" w:cs="Times New Roman"/>
          <w:lang w:eastAsia="zh-CN"/>
        </w:rPr>
        <w:t>“</w:t>
      </w:r>
      <w:r>
        <w:rPr>
          <w:rFonts w:hint="eastAsia" w:cs="Times New Roman"/>
        </w:rPr>
        <w:t>换电动汽车"</w:t>
      </w:r>
      <w:r>
        <w:rPr>
          <w:rFonts w:hint="eastAsia" w:cs="Times New Roman"/>
          <w:lang w:eastAsia="zh-CN"/>
        </w:rPr>
        <w:t>”</w:t>
      </w:r>
      <w:r>
        <w:rPr>
          <w:rFonts w:hint="eastAsia" w:cs="Times New Roman"/>
        </w:rPr>
        <w:t>P(SW&gt;0)=100%，结论完全稳健；</w:t>
      </w:r>
      <w:r>
        <w:rPr>
          <w:rFonts w:hint="eastAsia" w:cs="Times New Roman"/>
          <w:lang w:eastAsia="zh-CN"/>
        </w:rPr>
        <w:t>“</w:t>
      </w:r>
      <w:r>
        <w:rPr>
          <w:rFonts w:hint="eastAsia" w:cs="Times New Roman"/>
        </w:rPr>
        <w:t>高铁代飞机</w:t>
      </w:r>
      <w:r>
        <w:rPr>
          <w:rFonts w:hint="eastAsia" w:cs="Times New Roman"/>
          <w:lang w:eastAsia="zh-CN"/>
        </w:rPr>
        <w:t>”</w:t>
      </w:r>
      <w:r>
        <w:rPr>
          <w:rFonts w:hint="eastAsia" w:cs="Times New Roman"/>
        </w:rPr>
        <w:t>在90%模拟情境下福利均值为正，P(SW&gt;0)=78%，抗风险能力较强。</w:t>
      </w:r>
    </w:p>
    <w:p w14:paraId="4CFE8E52">
      <w:pPr>
        <w:numPr>
          <w:ilvl w:val="0"/>
          <w:numId w:val="5"/>
        </w:numPr>
        <w:ind w:firstLine="480"/>
        <w:rPr>
          <w:rFonts w:cs="Times New Roman"/>
        </w:rPr>
      </w:pPr>
      <w:r>
        <w:rPr>
          <w:rFonts w:hint="eastAsia" w:cs="Times New Roman"/>
        </w:rPr>
        <w:t>高脆弱性行为：</w:t>
      </w:r>
      <w:r>
        <w:rPr>
          <w:rFonts w:hint="eastAsia" w:cs="Times New Roman"/>
          <w:lang w:eastAsia="zh-CN"/>
        </w:rPr>
        <w:t>“</w:t>
      </w:r>
      <w:r>
        <w:rPr>
          <w:rFonts w:hint="eastAsia" w:cs="Times New Roman"/>
        </w:rPr>
        <w:t>豆腐代肉</w:t>
      </w:r>
      <w:r>
        <w:rPr>
          <w:rFonts w:hint="eastAsia" w:cs="Times New Roman"/>
          <w:lang w:eastAsia="zh-CN"/>
        </w:rPr>
        <w:t>”“</w:t>
      </w:r>
      <w:r>
        <w:rPr>
          <w:rFonts w:hint="eastAsia" w:cs="Times New Roman"/>
        </w:rPr>
        <w:t>换节能空调</w:t>
      </w:r>
      <w:r>
        <w:rPr>
          <w:rFonts w:hint="eastAsia" w:cs="Times New Roman"/>
          <w:lang w:eastAsia="zh-CN"/>
        </w:rPr>
        <w:t>”“</w:t>
      </w:r>
      <w:r>
        <w:rPr>
          <w:rFonts w:hint="eastAsia" w:cs="Times New Roman"/>
        </w:rPr>
        <w:t>减少外卖</w:t>
      </w:r>
      <w:r>
        <w:rPr>
          <w:rFonts w:hint="eastAsia" w:cs="Times New Roman"/>
          <w:lang w:eastAsia="zh-CN"/>
        </w:rPr>
        <w:t>”</w:t>
      </w:r>
      <w:r>
        <w:rPr>
          <w:rFonts w:hint="eastAsia" w:cs="Times New Roman"/>
        </w:rPr>
        <w:t>三项行为在最乐观参数组合（P95）下社会福利依然为负（均值分别为−138、−67、−65元/人·年），P(SW&gt;0)=0%，反弹后福利缩水最为严重。</w:t>
      </w:r>
    </w:p>
    <w:p w14:paraId="7C551903">
      <w:pPr>
        <w:numPr>
          <w:ilvl w:val="0"/>
          <w:numId w:val="5"/>
        </w:numPr>
        <w:ind w:firstLine="480"/>
        <w:rPr>
          <w:rFonts w:cs="Times New Roman"/>
        </w:rPr>
      </w:pPr>
      <w:r>
        <w:rPr>
          <w:rFonts w:hint="eastAsia" w:cs="Times New Roman"/>
        </w:rPr>
        <w:t>临界行为：</w:t>
      </w:r>
      <w:r>
        <w:rPr>
          <w:rFonts w:hint="eastAsia" w:cs="Times New Roman"/>
          <w:lang w:eastAsia="zh-CN"/>
        </w:rPr>
        <w:t>“</w:t>
      </w:r>
      <w:r>
        <w:rPr>
          <w:rFonts w:hint="eastAsia" w:cs="Times New Roman"/>
        </w:rPr>
        <w:t>垃圾分类</w:t>
      </w:r>
      <w:r>
        <w:rPr>
          <w:rFonts w:hint="eastAsia" w:cs="Times New Roman"/>
          <w:lang w:eastAsia="zh-CN"/>
        </w:rPr>
        <w:t>”</w:t>
      </w:r>
      <w:r>
        <w:rPr>
          <w:rFonts w:hint="eastAsia" w:cs="Times New Roman"/>
        </w:rPr>
        <w:t>均值跌至−90元/人·年，但置信区间上限越过零线，P(SW&gt;0)=9%，结论对碳价与政策执行成本高度敏感。</w:t>
      </w:r>
    </w:p>
    <w:p w14:paraId="297F26F4">
      <w:pPr>
        <w:ind w:firstLine="0" w:firstLineChars="0"/>
        <w:rPr>
          <w:rFonts w:cs="Times New Roman"/>
          <w:szCs w:val="24"/>
          <w:lang w:bidi="ar"/>
        </w:rPr>
      </w:pPr>
      <w:r>
        <w:rPr>
          <w:rFonts w:cs="Times New Roman"/>
          <w:szCs w:val="24"/>
          <w:lang w:bidi="ar"/>
        </w:rPr>
        <w:drawing>
          <wp:inline distT="0" distB="0" distL="114300" distR="114300">
            <wp:extent cx="5471160" cy="2635250"/>
            <wp:effectExtent l="0" t="0" r="5715" b="3175"/>
            <wp:docPr id="9" name="图片 9" descr="Fig5_3_MonteCarlo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5_3_MonteCarlo_Robustness"/>
                    <pic:cNvPicPr>
                      <a:picLocks noChangeAspect="1"/>
                    </pic:cNvPicPr>
                  </pic:nvPicPr>
                  <pic:blipFill>
                    <a:blip r:embed="rId61"/>
                    <a:srcRect l="10069" r="13750" b="3177"/>
                    <a:stretch>
                      <a:fillRect/>
                    </a:stretch>
                  </pic:blipFill>
                  <pic:spPr>
                    <a:xfrm>
                      <a:off x="0" y="0"/>
                      <a:ext cx="5471160" cy="2635250"/>
                    </a:xfrm>
                    <a:prstGeom prst="rect">
                      <a:avLst/>
                    </a:prstGeom>
                  </pic:spPr>
                </pic:pic>
              </a:graphicData>
            </a:graphic>
          </wp:inline>
        </w:drawing>
      </w:r>
    </w:p>
    <w:p w14:paraId="2AC47556">
      <w:pPr>
        <w:tabs>
          <w:tab w:val="left" w:pos="377"/>
        </w:tabs>
        <w:ind w:firstLine="0" w:firstLineChars="0"/>
        <w:jc w:val="center"/>
        <w:rPr>
          <w:rFonts w:eastAsia="黑体" w:cs="Times New Roman"/>
        </w:rPr>
      </w:pPr>
      <w:r>
        <w:rPr>
          <w:rFonts w:hint="eastAsia" w:eastAsia="黑体"/>
        </w:rPr>
        <w:t>图</w:t>
      </w:r>
      <w:r>
        <w:rPr>
          <w:rFonts w:hint="eastAsia" w:eastAsia="黑体"/>
          <w:lang w:eastAsia="zh-CN"/>
        </w:rPr>
        <w:t>5</w:t>
      </w:r>
      <w:r>
        <w:rPr>
          <w:rFonts w:hint="eastAsia" w:eastAsia="黑体"/>
        </w:rPr>
        <w:t>-3</w:t>
      </w:r>
      <w:r>
        <w:rPr>
          <w:rFonts w:eastAsia="黑体" w:cs="Times New Roman"/>
        </w:rPr>
        <w:t xml:space="preserve"> </w:t>
      </w:r>
      <w:r>
        <w:rPr>
          <w:rFonts w:hint="eastAsia" w:eastAsia="黑体" w:cs="Times New Roman"/>
        </w:rPr>
        <w:t>反弹效应下社会福利的蒙特卡洛稳健性分析</w:t>
      </w:r>
    </w:p>
    <w:p w14:paraId="7E4B61CE">
      <w:pPr>
        <w:ind w:firstLine="0" w:firstLineChars="0"/>
        <w:jc w:val="center"/>
        <w:rPr>
          <w:rFonts w:eastAsia="黑体" w:cs="Times New Roman"/>
          <w:b/>
          <w:bCs/>
        </w:rPr>
      </w:pPr>
      <w:r>
        <w:rPr>
          <w:rFonts w:hint="eastAsia" w:eastAsia="黑体" w:cs="Times New Roman"/>
          <w:b/>
          <w:bCs/>
        </w:rPr>
        <w:t xml:space="preserve">Figure </w:t>
      </w:r>
      <w:r>
        <w:rPr>
          <w:rFonts w:hint="eastAsia" w:eastAsia="黑体" w:cs="Times New Roman"/>
          <w:b/>
          <w:bCs/>
          <w:lang w:eastAsia="zh-CN"/>
        </w:rPr>
        <w:t>5</w:t>
      </w:r>
      <w:r>
        <w:rPr>
          <w:rFonts w:hint="eastAsia" w:eastAsia="黑体" w:cs="Times New Roman"/>
          <w:b/>
          <w:bCs/>
        </w:rPr>
        <w:t>-3 Monte Carlo Robustness Analysis of Social Welfare under Rebound Effects</w:t>
      </w:r>
    </w:p>
    <w:p w14:paraId="45F1655E">
      <w:pPr>
        <w:ind w:firstLine="0" w:firstLineChars="0"/>
        <w:rPr>
          <w:rFonts w:hint="eastAsia" w:ascii="宋体" w:hAnsi="宋体" w:cs="宋体"/>
          <w:i/>
          <w:iCs/>
          <w:sz w:val="18"/>
          <w:szCs w:val="18"/>
        </w:rPr>
      </w:pPr>
      <w:r>
        <w:rPr>
          <w:rFonts w:ascii="宋体" w:hAnsi="宋体" w:cs="宋体"/>
          <w:i/>
          <w:iCs/>
          <w:sz w:val="18"/>
          <w:szCs w:val="18"/>
        </w:rPr>
        <w:t>数据来源：本研究蒙特卡洛模拟结果；参数抽样分布见表</w:t>
      </w:r>
      <w:r>
        <w:rPr>
          <w:rFonts w:hint="eastAsia" w:ascii="宋体" w:hAnsi="宋体" w:cs="宋体"/>
          <w:i/>
          <w:iCs/>
          <w:sz w:val="18"/>
          <w:szCs w:val="18"/>
          <w:lang w:eastAsia="zh-CN"/>
        </w:rPr>
        <w:t>5</w:t>
      </w:r>
      <w:r>
        <w:rPr>
          <w:rFonts w:ascii="宋体" w:hAnsi="宋体" w:cs="宋体"/>
          <w:i/>
          <w:iCs/>
          <w:sz w:val="18"/>
          <w:szCs w:val="18"/>
        </w:rPr>
        <w:t>-2；误差棒表示90%置信区间（P5–P95）；P(SW&gt;0)为10,000次模拟中社会福利大于零的频率；反弹率参数底层数据来源于本研究问卷调查（N=538）。</w:t>
      </w:r>
    </w:p>
    <w:p w14:paraId="3B9F51BA">
      <w:pPr>
        <w:ind w:firstLine="0" w:firstLineChars="0"/>
        <w:rPr>
          <w:rFonts w:hint="eastAsia" w:ascii="宋体" w:hAnsi="宋体" w:cs="宋体"/>
          <w:i/>
          <w:iCs/>
          <w:sz w:val="18"/>
          <w:szCs w:val="18"/>
        </w:rPr>
      </w:pPr>
    </w:p>
    <w:p w14:paraId="212A9A3A">
      <w:pPr>
        <w:widowControl/>
        <w:tabs>
          <w:tab w:val="left" w:pos="377"/>
        </w:tabs>
        <w:ind w:firstLine="0" w:firstLineChars="0"/>
        <w:rPr>
          <w:rFonts w:cs="Times New Roman"/>
          <w:i/>
          <w:iCs/>
          <w:kern w:val="0"/>
          <w:sz w:val="16"/>
          <w:szCs w:val="16"/>
        </w:rPr>
      </w:pPr>
      <w:r>
        <w:rPr>
          <w:rFonts w:hint="eastAsia" w:cs="Times New Roman"/>
          <w:lang w:val="en-US" w:eastAsia="zh-CN"/>
        </w:rPr>
        <w:tab/>
      </w:r>
      <w:r>
        <w:rPr>
          <w:rFonts w:hint="eastAsia" w:cs="Times New Roman"/>
        </w:rPr>
        <w:t>综上，结构性替代行为（换电动汽车、高铁代飞机）的正向福利结论对参数波动具有相对稳健性；轻量级习惯型行为的负向</w:t>
      </w:r>
      <w:r>
        <w:rPr>
          <w:rFonts w:hint="eastAsia" w:cs="Times New Roman"/>
          <w:lang w:val="en-US" w:eastAsia="zh-CN"/>
        </w:rPr>
        <w:t>福利</w:t>
      </w:r>
      <w:r>
        <w:rPr>
          <w:rFonts w:hint="eastAsia" w:cs="Times New Roman"/>
        </w:rPr>
        <w:t>结论在本研究参数体系内同样稳定。需指出，P(SW&gt;0)=100%/0%的实质含义为"本样本参数体系内的条件概率"，而非无条件判断；若未来获得独立数据对行为参数（尤其是Φ）外生校准，具体数值可能调整，但两类行为间的方向性分化格局具有相对稳健的理论基础。</w:t>
      </w:r>
    </w:p>
    <w:p w14:paraId="48AF0A69">
      <w:pPr>
        <w:widowControl/>
        <w:ind w:firstLine="0" w:firstLineChars="0"/>
        <w:jc w:val="left"/>
        <w:rPr>
          <w:rFonts w:cs="Times New Roman"/>
        </w:rPr>
      </w:pPr>
    </w:p>
    <w:p w14:paraId="4A3352E7">
      <w:pPr>
        <w:rPr>
          <w:rFonts w:ascii="Times New Roman" w:hAnsi="Times New Roman" w:cs="Times New Roman"/>
        </w:rPr>
      </w:pPr>
      <w:r>
        <w:rPr>
          <w:rFonts w:ascii="Times New Roman" w:hAnsi="Times New Roman" w:cs="Times New Roman"/>
        </w:rPr>
        <w:br w:type="page"/>
      </w:r>
    </w:p>
    <w:p w14:paraId="15BB833C">
      <w:pPr>
        <w:pStyle w:val="2"/>
        <w:numPr>
          <w:ilvl w:val="0"/>
          <w:numId w:val="0"/>
        </w:numPr>
        <w:ind w:left="425" w:hanging="425"/>
        <w:rPr>
          <w:rFonts w:hint="default" w:ascii="Times New Roman" w:hAnsi="Times New Roman" w:eastAsia="黑体" w:cs="Times New Roman"/>
          <w:lang w:val="en-US" w:eastAsia="zh-CN"/>
        </w:rPr>
      </w:pPr>
      <w:bookmarkStart w:id="37" w:name="_Toc21656"/>
      <w:r>
        <w:rPr>
          <w:rFonts w:ascii="Times New Roman" w:hAnsi="Times New Roman" w:cs="Times New Roman"/>
        </w:rPr>
        <w:t xml:space="preserve">第 </w:t>
      </w:r>
      <w:r>
        <w:rPr>
          <w:rFonts w:hint="eastAsia" w:ascii="Times New Roman" w:hAnsi="Times New Roman" w:cs="Times New Roman"/>
          <w:lang w:eastAsia="zh-CN"/>
        </w:rPr>
        <w:t>6</w:t>
      </w:r>
      <w:r>
        <w:rPr>
          <w:rFonts w:ascii="Times New Roman" w:hAnsi="Times New Roman" w:cs="Times New Roman"/>
        </w:rPr>
        <w:t xml:space="preserve"> 章</w:t>
      </w:r>
      <w:r>
        <w:rPr>
          <w:rFonts w:hint="eastAsia" w:ascii="Times New Roman" w:hAnsi="Times New Roman" w:cs="Times New Roman"/>
        </w:rPr>
        <w:t xml:space="preserve"> </w:t>
      </w:r>
      <w:r>
        <w:rPr>
          <w:rFonts w:hint="eastAsia" w:ascii="Times New Roman" w:hAnsi="Times New Roman" w:cs="Times New Roman"/>
          <w:lang w:val="en-US" w:eastAsia="zh-CN"/>
        </w:rPr>
        <w:t>结论与局限</w:t>
      </w:r>
      <w:bookmarkEnd w:id="37"/>
    </w:p>
    <w:p w14:paraId="7F9482E3">
      <w:pPr>
        <w:pStyle w:val="3"/>
        <w:bidi w:val="0"/>
        <w:rPr>
          <w:rFonts w:hint="eastAsia"/>
          <w:lang w:val="en-US" w:eastAsia="zh-CN"/>
        </w:rPr>
      </w:pPr>
      <w:bookmarkStart w:id="38" w:name="_Toc1603"/>
      <w:r>
        <w:rPr>
          <w:rFonts w:hint="eastAsia"/>
          <w:lang w:val="en-US" w:eastAsia="zh-CN"/>
        </w:rPr>
        <w:t>6.1 结论</w:t>
      </w:r>
      <w:bookmarkEnd w:id="38"/>
    </w:p>
    <w:p w14:paraId="73FE0E05">
      <w:pPr>
        <w:rPr>
          <w:rFonts w:hint="eastAsia" w:cs="Times New Roman"/>
          <w:kern w:val="0"/>
          <w:szCs w:val="24"/>
          <w:highlight w:val="none"/>
          <w:lang w:val="en-US" w:eastAsia="zh-CN"/>
        </w:rPr>
      </w:pPr>
      <w:r>
        <w:rPr>
          <w:rFonts w:hint="eastAsia" w:cs="Times New Roman"/>
          <w:kern w:val="0"/>
          <w:szCs w:val="24"/>
          <w:highlight w:val="none"/>
          <w:lang w:val="en-US" w:eastAsia="zh-CN"/>
        </w:rPr>
        <w:t>通过上述研究本文得出：</w:t>
      </w:r>
    </w:p>
    <w:p w14:paraId="37A69CE0">
      <w:pPr>
        <w:numPr>
          <w:ilvl w:val="0"/>
          <w:numId w:val="6"/>
        </w:numPr>
        <w:rPr>
          <w:rFonts w:hint="eastAsia" w:cs="Times New Roman"/>
          <w:kern w:val="0"/>
          <w:szCs w:val="24"/>
          <w:highlight w:val="none"/>
        </w:rPr>
      </w:pPr>
      <w:r>
        <w:rPr>
          <w:rFonts w:hint="eastAsia" w:cs="Times New Roman"/>
          <w:kern w:val="0"/>
          <w:szCs w:val="24"/>
          <w:highlight w:val="none"/>
        </w:rPr>
        <w:t>在城市居民的需求侧低碳行为决策中，包含金钱损益与非经济成本在内的综合客观阻力越高，主观感知难度越大。</w:t>
      </w:r>
    </w:p>
    <w:p w14:paraId="61BC461A">
      <w:pPr>
        <w:numPr>
          <w:ilvl w:val="0"/>
          <w:numId w:val="6"/>
        </w:numPr>
        <w:rPr>
          <w:rFonts w:hint="default"/>
          <w:lang w:val="en-US" w:eastAsia="zh-CN"/>
        </w:rPr>
      </w:pPr>
      <w:r>
        <w:rPr>
          <w:rFonts w:hint="eastAsia" w:cs="Times New Roman"/>
          <w:kern w:val="0"/>
          <w:szCs w:val="24"/>
          <w:highlight w:val="none"/>
        </w:rPr>
        <w:t>技术效率型行为的直接反弹在低收入群体中尤为剧烈，而习惯型行为的经济反弹具有跨阶层普适性。</w:t>
      </w:r>
    </w:p>
    <w:p w14:paraId="6DDB1604">
      <w:pPr>
        <w:numPr>
          <w:ilvl w:val="0"/>
          <w:numId w:val="6"/>
        </w:numPr>
        <w:rPr>
          <w:rFonts w:hint="default"/>
          <w:lang w:val="en-US" w:eastAsia="zh-CN"/>
        </w:rPr>
      </w:pPr>
      <w:r>
        <w:rPr>
          <w:rFonts w:hint="eastAsia" w:cs="Times New Roman"/>
          <w:kern w:val="0"/>
          <w:szCs w:val="24"/>
          <w:highlight w:val="none"/>
        </w:rPr>
        <w:t>在高综合阻力的低碳行为干预下，个体产生的补偿性</w:t>
      </w:r>
      <w:r>
        <w:rPr>
          <w:rFonts w:hint="eastAsia" w:cs="Times New Roman"/>
          <w:kern w:val="0"/>
          <w:szCs w:val="24"/>
          <w:highlight w:val="none"/>
          <w:lang w:eastAsia="zh-CN"/>
        </w:rPr>
        <w:t>“</w:t>
      </w:r>
      <w:r>
        <w:rPr>
          <w:rFonts w:hint="eastAsia" w:cs="Times New Roman"/>
          <w:kern w:val="0"/>
          <w:szCs w:val="24"/>
          <w:highlight w:val="none"/>
        </w:rPr>
        <w:t>权利感</w:t>
      </w:r>
      <w:r>
        <w:rPr>
          <w:rFonts w:hint="eastAsia" w:cs="Times New Roman"/>
          <w:kern w:val="0"/>
          <w:szCs w:val="24"/>
          <w:highlight w:val="none"/>
          <w:lang w:eastAsia="zh-CN"/>
        </w:rPr>
        <w:t>”</w:t>
      </w:r>
      <w:r>
        <w:rPr>
          <w:rFonts w:hint="eastAsia" w:cs="Times New Roman"/>
          <w:kern w:val="0"/>
          <w:szCs w:val="24"/>
          <w:highlight w:val="none"/>
        </w:rPr>
        <w:t>为中介变量，正向预测随后的高碳消费意愿。</w:t>
      </w:r>
      <w:r>
        <w:rPr>
          <w:rFonts w:hint="eastAsia" w:cs="Times New Roman"/>
          <w:kern w:val="0"/>
          <w:szCs w:val="24"/>
          <w:highlight w:val="none"/>
          <w:lang w:val="en-US" w:eastAsia="zh-CN"/>
        </w:rPr>
        <w:t>其中，</w:t>
      </w:r>
      <w:r>
        <w:rPr>
          <w:rFonts w:hint="eastAsia" w:cs="Times New Roman"/>
          <w:kern w:val="0"/>
          <w:szCs w:val="24"/>
          <w:highlight w:val="none"/>
        </w:rPr>
        <w:t>底层环境价值观在</w:t>
      </w:r>
      <w:r>
        <w:rPr>
          <w:rFonts w:hint="eastAsia" w:cs="Times New Roman"/>
          <w:kern w:val="0"/>
          <w:szCs w:val="24"/>
          <w:highlight w:val="none"/>
          <w:lang w:eastAsia="zh-CN"/>
        </w:rPr>
        <w:t>“</w:t>
      </w:r>
      <w:r>
        <w:rPr>
          <w:rFonts w:hint="eastAsia" w:cs="Times New Roman"/>
          <w:kern w:val="0"/>
          <w:szCs w:val="24"/>
          <w:highlight w:val="none"/>
        </w:rPr>
        <w:t>客观阻力—权利感—高碳意愿</w:t>
      </w:r>
      <w:r>
        <w:rPr>
          <w:rFonts w:hint="eastAsia" w:cs="Times New Roman"/>
          <w:kern w:val="0"/>
          <w:szCs w:val="24"/>
          <w:highlight w:val="none"/>
          <w:lang w:eastAsia="zh-CN"/>
        </w:rPr>
        <w:t>”</w:t>
      </w:r>
      <w:r>
        <w:rPr>
          <w:rFonts w:hint="eastAsia" w:cs="Times New Roman"/>
          <w:kern w:val="0"/>
          <w:szCs w:val="24"/>
          <w:highlight w:val="none"/>
        </w:rPr>
        <w:t>传导路径中发挥负向调节作用。高环境认同群体与低环境认同群体在权利感激活方向上截然相反，两类条件效应在总体样本中代数抵消，导致宏观统计层面主效应不显著。</w:t>
      </w:r>
    </w:p>
    <w:p w14:paraId="6E69474A">
      <w:pPr>
        <w:pStyle w:val="3"/>
        <w:bidi w:val="0"/>
        <w:rPr>
          <w:rFonts w:hint="default"/>
          <w:lang w:val="en-US" w:eastAsia="zh-CN"/>
        </w:rPr>
      </w:pPr>
      <w:bookmarkStart w:id="39" w:name="_Toc31596"/>
      <w:r>
        <w:rPr>
          <w:rFonts w:hint="eastAsia"/>
          <w:lang w:eastAsia="zh-CN"/>
        </w:rPr>
        <w:t>6</w:t>
      </w:r>
      <w:r>
        <w:t>.</w:t>
      </w:r>
      <w:r>
        <w:rPr>
          <w:rFonts w:hint="eastAsia"/>
          <w:lang w:val="en-US" w:eastAsia="zh-CN"/>
        </w:rPr>
        <w:t>2</w:t>
      </w:r>
      <w:r>
        <w:t xml:space="preserve">  </w:t>
      </w:r>
      <w:r>
        <w:rPr>
          <w:rFonts w:hint="eastAsia"/>
          <w:lang w:val="en-US" w:eastAsia="zh-CN"/>
        </w:rPr>
        <w:t>政策建议</w:t>
      </w:r>
      <w:bookmarkEnd w:id="39"/>
    </w:p>
    <w:p w14:paraId="78A5E4A3">
      <w:pPr>
        <w:rPr>
          <w:rFonts w:hint="eastAsia"/>
          <w:lang w:val="en-US" w:eastAsia="zh-CN"/>
        </w:rPr>
      </w:pPr>
      <w:r>
        <w:rPr>
          <w:rFonts w:hint="eastAsia"/>
          <w:lang w:val="en-US" w:eastAsia="zh-CN"/>
        </w:rPr>
        <w:t>本研究直接锚定N=538实证数据，适用于"城市中青年高受教育程度活跃消费群体"的精准政策工具设计，亦可作为全国性需求侧气候政策优先干预该群体的参考。</w:t>
      </w:r>
    </w:p>
    <w:p w14:paraId="55F93902">
      <w:pPr>
        <w:ind w:left="0" w:leftChars="0" w:firstLine="0" w:firstLineChars="0"/>
        <w:rPr>
          <w:rFonts w:hint="eastAsia"/>
          <w:lang w:val="en-US" w:eastAsia="zh-CN"/>
        </w:rPr>
      </w:pPr>
      <w:r>
        <w:rPr>
          <w:rFonts w:hint="eastAsia"/>
          <w:lang w:val="en-US" w:eastAsia="zh-CN"/>
        </w:rPr>
        <w:t>但任需更大规模数据支撑，不应视为可直接执行的政策处方。</w:t>
      </w:r>
    </w:p>
    <w:p w14:paraId="706B582D">
      <w:pPr>
        <w:ind w:left="0" w:leftChars="0" w:firstLine="420" w:firstLineChars="0"/>
        <w:rPr>
          <w:rFonts w:hint="eastAsia"/>
          <w:lang w:val="en-US" w:eastAsia="zh-CN"/>
        </w:rPr>
      </w:pPr>
      <w:r>
        <w:rPr>
          <w:rFonts w:hint="eastAsia"/>
          <w:lang w:val="en-US" w:eastAsia="zh-CN"/>
        </w:rPr>
        <w:t>（1）环境价值观是需求侧干预的关键“道德阀门”，政策必须走向受众分层：</w:t>
      </w:r>
    </w:p>
    <w:p w14:paraId="7A7C8F12">
      <w:pPr>
        <w:ind w:left="0" w:leftChars="0" w:firstLine="420" w:firstLineChars="0"/>
        <w:rPr>
          <w:rFonts w:hint="eastAsia"/>
          <w:lang w:val="en-US" w:eastAsia="zh-CN"/>
        </w:rPr>
      </w:pPr>
      <w:r>
        <w:rPr>
          <w:rFonts w:hint="eastAsia"/>
          <w:lang w:val="en-US" w:eastAsia="zh-CN"/>
        </w:rPr>
        <w:t>对“深绿”群体，可放心倡导高NPC的深度低碳行为，设计“低碳挑战打卡”“城市碳达人”等身份认同驱动机制，强化深绿自我认知并压低高碳补偿概率。</w:t>
      </w:r>
    </w:p>
    <w:p w14:paraId="2D91FB0C">
      <w:pPr>
        <w:ind w:left="0" w:leftChars="0" w:firstLine="420" w:firstLineChars="0"/>
        <w:rPr>
          <w:rFonts w:hint="eastAsia"/>
          <w:lang w:val="en-US" w:eastAsia="zh-CN"/>
        </w:rPr>
      </w:pPr>
      <w:r>
        <w:rPr>
          <w:rFonts w:hint="eastAsia"/>
          <w:lang w:val="en-US" w:eastAsia="zh-CN"/>
        </w:rPr>
        <w:t>对“浅绿大众”，必须彻底摒弃“牺牲感”话语框架，改用“顺手/无感”叙事——针对外卖减餐具、垃圾分类等习惯型行为，以“不需要额外行动”“3秒完成”等极低摩擦表述替代道德绑架话术；同时通过基础设施建设降低客观阻力，让低碳行为回归无痛感日常属性，避免触发权利感与补偿性高碳排放。</w:t>
      </w:r>
    </w:p>
    <w:p w14:paraId="72B74206">
      <w:pPr>
        <w:ind w:left="0" w:leftChars="0" w:firstLine="420" w:firstLineChars="0"/>
        <w:rPr>
          <w:rFonts w:hint="eastAsia"/>
          <w:lang w:val="en-US" w:eastAsia="zh-CN"/>
        </w:rPr>
      </w:pPr>
      <w:r>
        <w:rPr>
          <w:rFonts w:hint="eastAsia"/>
          <w:lang w:val="en-US" w:eastAsia="zh-CN"/>
        </w:rPr>
        <w:t>（2）补贴与积分的“预算锁定”设计</w:t>
      </w:r>
    </w:p>
    <w:p w14:paraId="79FD9708">
      <w:pPr>
        <w:ind w:left="0" w:leftChars="0" w:firstLine="420" w:firstLineChars="0"/>
        <w:rPr>
          <w:rFonts w:hint="eastAsia"/>
          <w:lang w:val="en-US" w:eastAsia="zh-CN"/>
        </w:rPr>
      </w:pPr>
      <w:r>
        <w:rPr>
          <w:rFonts w:hint="eastAsia"/>
          <w:lang w:val="en-US" w:eastAsia="zh-CN"/>
        </w:rPr>
        <w:t>传统绿色助推无力阻断预算放松后的高碳消费转移，碳税红利无条件返还实质上增加可支配收入，在高MPC驱动下易转化为新一轮高排放消费。未来制度设计须对减排红利的资金流向实施定向隔断：节能电器补贴应由现金直补改为电费账户专项抵扣券，强化“节能=节钱”的显性联系，从源头压低使用量反弹诱因；平台绿色积分（如蚂蚁森林能量）只允许在公共交通、节能电器、绿色食品等低碳闭环内抵扣，不可兑换通用红包或现金。</w:t>
      </w:r>
    </w:p>
    <w:p w14:paraId="7E1ABBE4">
      <w:pPr>
        <w:pStyle w:val="3"/>
        <w:bidi w:val="0"/>
      </w:pPr>
      <w:bookmarkStart w:id="40" w:name="_Toc14946"/>
      <w:r>
        <w:rPr>
          <w:rFonts w:hint="eastAsia"/>
          <w:lang w:val="en-US" w:eastAsia="zh-CN"/>
        </w:rPr>
        <w:t>6.3</w:t>
      </w:r>
      <w:r>
        <w:t xml:space="preserve">  研究局限</w:t>
      </w:r>
      <w:bookmarkEnd w:id="40"/>
    </w:p>
    <w:p w14:paraId="4A3AFDEB">
      <w:pPr>
        <w:ind w:firstLine="480"/>
        <w:rPr>
          <w:rFonts w:hint="eastAsia" w:cs="Times New Roman"/>
        </w:rPr>
      </w:pPr>
      <w:r>
        <w:rPr>
          <w:rFonts w:hint="eastAsia" w:cs="Times New Roman"/>
        </w:rPr>
        <w:t>一、样本代表性与参数外推边界。 样本限定于城市中青年高受教育程度活跃消费群体，三级质控（剔除率34.7%）进一步收敛至高质量受访者，结论不直接适用于中老年、低学历及农村居民，真实政策情境中心理反弹参数可能面临下行修正。此外，行为类别亦未涵盖建筑节能行为、绿色购物及屋顶光伏自用等重要领域。</w:t>
      </w:r>
    </w:p>
    <w:p w14:paraId="638424AA">
      <w:pPr>
        <w:ind w:firstLine="480"/>
        <w:rPr>
          <w:rFonts w:hint="eastAsia" w:cs="Times New Roman"/>
        </w:rPr>
      </w:pPr>
      <w:r>
        <w:rPr>
          <w:rFonts w:hint="eastAsia" w:cs="Times New Roman"/>
        </w:rPr>
        <w:t>二、意向测量与内生性双重偏差。 情境实验测量的反弹倾向均为主观意向而非真实行为，受假想偏差影响存在高估风险；动态CBA模拟所用道德许可反弹率直接来自同一样本，"参数来源与模型推演同源"削弱了蒙特卡洛作为独立验证工具的有效性。后续研究须结合客观行为追踪数据及预注册RCT设计加以校正。</w:t>
      </w:r>
    </w:p>
    <w:p w14:paraId="1771E974">
      <w:pPr>
        <w:ind w:firstLine="480"/>
        <w:rPr>
          <w:rFonts w:cs="Times New Roman"/>
        </w:rPr>
      </w:pPr>
      <w:r>
        <w:rPr>
          <w:rFonts w:hint="eastAsia" w:cs="Times New Roman"/>
        </w:rPr>
        <w:t>三、CBA参数精度不足。 部分碳排放因子与生命周期系数来自文献综合估算，部分行为节余资金流向仍以全国平均MPC代理，无法精准刻画不同行为的边际高碳消费路径。未来需结合一手碳足迹追踪数据与家庭微观面板数据提升模拟精度。</w:t>
      </w:r>
      <w:r>
        <w:rPr>
          <w:rFonts w:cs="Times New Roman"/>
        </w:rPr>
        <w:br w:type="page"/>
      </w:r>
    </w:p>
    <w:p w14:paraId="7C5B0DDC">
      <w:pPr>
        <w:pStyle w:val="2"/>
        <w:numPr>
          <w:ilvl w:val="0"/>
          <w:numId w:val="0"/>
        </w:numPr>
        <w:ind w:left="425" w:hanging="425"/>
        <w:rPr>
          <w:rFonts w:ascii="Times New Roman" w:hAnsi="Times New Roman" w:cs="Times New Roman"/>
        </w:rPr>
      </w:pPr>
      <w:bookmarkStart w:id="41" w:name="_Toc11103"/>
      <w:r>
        <w:rPr>
          <w:rFonts w:ascii="Times New Roman" w:hAnsi="Times New Roman" w:cs="Times New Roman"/>
        </w:rPr>
        <w:t>参</w:t>
      </w:r>
      <w:r>
        <w:rPr>
          <w:rFonts w:hint="eastAsia" w:ascii="Times New Roman" w:hAnsi="Times New Roman" w:cs="Times New Roman"/>
          <w:lang w:val="en-US" w:eastAsia="zh-CN"/>
        </w:rPr>
        <w:t xml:space="preserve"> </w:t>
      </w:r>
      <w:r>
        <w:rPr>
          <w:rFonts w:ascii="Times New Roman" w:hAnsi="Times New Roman" w:cs="Times New Roman"/>
        </w:rPr>
        <w:t>考</w:t>
      </w:r>
      <w:r>
        <w:rPr>
          <w:rFonts w:hint="eastAsia" w:ascii="Times New Roman" w:hAnsi="Times New Roman" w:cs="Times New Roman"/>
          <w:lang w:val="en-US" w:eastAsia="zh-CN"/>
        </w:rPr>
        <w:t xml:space="preserve"> </w:t>
      </w:r>
      <w:r>
        <w:rPr>
          <w:rFonts w:ascii="Times New Roman" w:hAnsi="Times New Roman" w:cs="Times New Roman"/>
        </w:rPr>
        <w:t>文</w:t>
      </w:r>
      <w:r>
        <w:rPr>
          <w:rFonts w:hint="eastAsia" w:ascii="Times New Roman" w:hAnsi="Times New Roman" w:cs="Times New Roman"/>
          <w:lang w:val="en-US" w:eastAsia="zh-CN"/>
        </w:rPr>
        <w:t xml:space="preserve"> </w:t>
      </w:r>
      <w:r>
        <w:rPr>
          <w:rFonts w:ascii="Times New Roman" w:hAnsi="Times New Roman" w:cs="Times New Roman"/>
        </w:rPr>
        <w:t>献</w:t>
      </w:r>
      <w:bookmarkEnd w:id="41"/>
    </w:p>
    <w:p w14:paraId="48C94BC1">
      <w:pPr>
        <w:ind w:firstLine="480"/>
        <w:rPr>
          <w:rFonts w:cs="Times New Roman" w:eastAsiaTheme="minorEastAsia"/>
        </w:rPr>
      </w:pPr>
      <w:r>
        <w:rPr>
          <w:rFonts w:cs="Times New Roman"/>
        </w:rPr>
        <w:t>[1] IPCC. (2022). Chapter 3: Mitigation pathways compatible with long-term goals. IPCC Sixth Assessment Report, Working Group III</w:t>
      </w:r>
      <w:r>
        <w:rPr>
          <w:rFonts w:hint="eastAsia" w:cs="Times New Roman"/>
        </w:rPr>
        <w:t>.</w:t>
      </w:r>
    </w:p>
    <w:p w14:paraId="5594BAC0">
      <w:pPr>
        <w:ind w:firstLine="480"/>
        <w:rPr>
          <w:rFonts w:cs="Times New Roman" w:eastAsiaTheme="minorEastAsia"/>
        </w:rPr>
      </w:pPr>
      <w:r>
        <w:rPr>
          <w:rFonts w:cs="Times New Roman"/>
        </w:rPr>
        <w:t>[2] IPCC. (2022). Potential of demand-side mitigation options by 2050 (SPM.7 b and LR Figure 4.4 b). IPCC AR6 Synthesis Report</w:t>
      </w:r>
      <w:r>
        <w:rPr>
          <w:rFonts w:hint="eastAsia" w:cs="Times New Roman"/>
        </w:rPr>
        <w:t>.</w:t>
      </w:r>
    </w:p>
    <w:p w14:paraId="2070F693">
      <w:pPr>
        <w:ind w:firstLine="480"/>
        <w:rPr>
          <w:rFonts w:cs="Times New Roman" w:eastAsiaTheme="minorEastAsia"/>
        </w:rPr>
      </w:pPr>
      <w:r>
        <w:rPr>
          <w:rFonts w:cs="Times New Roman"/>
        </w:rPr>
        <w:t>[3] IPCC. (2023). Summary for Policymakers. IPCC Sixth Assessment Report, Synthesis Report</w:t>
      </w:r>
      <w:r>
        <w:rPr>
          <w:rFonts w:hint="eastAsia" w:cs="Times New Roman"/>
        </w:rPr>
        <w:t>.</w:t>
      </w:r>
    </w:p>
    <w:p w14:paraId="193C6F47">
      <w:pPr>
        <w:ind w:firstLine="480"/>
        <w:rPr>
          <w:rFonts w:cs="Times New Roman" w:eastAsiaTheme="minorEastAsia"/>
        </w:rPr>
      </w:pPr>
      <w:r>
        <w:rPr>
          <w:rFonts w:cs="Times New Roman"/>
        </w:rPr>
        <w:t>[4] IPCC. (2022). Figure: SPM.6. IPCC Sixth Assessment Report, Working Group III</w:t>
      </w:r>
      <w:r>
        <w:rPr>
          <w:rFonts w:hint="eastAsia" w:cs="Times New Roman"/>
        </w:rPr>
        <w:t>.</w:t>
      </w:r>
    </w:p>
    <w:p w14:paraId="11BBFB07">
      <w:pPr>
        <w:ind w:firstLine="480"/>
        <w:rPr>
          <w:rFonts w:cs="Times New Roman" w:eastAsiaTheme="minorEastAsia"/>
        </w:rPr>
      </w:pPr>
      <w:r>
        <w:rPr>
          <w:rFonts w:cs="Times New Roman"/>
        </w:rPr>
        <w:t>[5] IPCC. (2022). Mitigation pathways compatible with long-term goals. IPCC AR6 WGIII Report</w:t>
      </w:r>
      <w:r>
        <w:rPr>
          <w:rFonts w:hint="eastAsia" w:cs="Times New Roman"/>
        </w:rPr>
        <w:t>.</w:t>
      </w:r>
    </w:p>
    <w:p w14:paraId="5C56C8B9">
      <w:pPr>
        <w:ind w:firstLine="480"/>
        <w:rPr>
          <w:rFonts w:cs="Times New Roman"/>
        </w:rPr>
      </w:pPr>
      <w:r>
        <w:rPr>
          <w:rFonts w:cs="Times New Roman"/>
        </w:rPr>
        <w:t>[6] BloombergNEF. (2025). New study shows sustainable energy technologies met rising demand growth in 2025 despite uncertainty. Bloomberg Finance L.P.</w:t>
      </w:r>
    </w:p>
    <w:p w14:paraId="45FDF65E">
      <w:pPr>
        <w:ind w:firstLine="480"/>
        <w:rPr>
          <w:rFonts w:cs="Times New Roman"/>
        </w:rPr>
      </w:pPr>
      <w:r>
        <w:rPr>
          <w:rFonts w:cs="Times New Roman"/>
        </w:rPr>
        <w:t>[7] Carbon Brief. (2024). Analysis: China's CO2 emissions have now been flat or falling for 18 months. Carbon Brief Analysis.</w:t>
      </w:r>
    </w:p>
    <w:p w14:paraId="583F235F">
      <w:pPr>
        <w:ind w:firstLine="480"/>
        <w:rPr>
          <w:rFonts w:cs="Times New Roman"/>
        </w:rPr>
      </w:pPr>
      <w:r>
        <w:rPr>
          <w:rFonts w:cs="Times New Roman"/>
        </w:rPr>
        <w:t>[8] Climate Action Tracker. (2024). China: Country summary. Climate Analytics and NewClimate Institute.</w:t>
      </w:r>
    </w:p>
    <w:p w14:paraId="663EE33B">
      <w:pPr>
        <w:ind w:firstLine="480"/>
        <w:rPr>
          <w:rFonts w:cs="Times New Roman"/>
        </w:rPr>
      </w:pPr>
      <w:r>
        <w:rPr>
          <w:rFonts w:cs="Times New Roman"/>
        </w:rPr>
        <w:t>[9] Climate Action Tracker. (2024). China - Policies &amp; action. Climate Analytics and NewClimate Institute.</w:t>
      </w:r>
    </w:p>
    <w:p w14:paraId="0331DA40">
      <w:pPr>
        <w:ind w:firstLine="480"/>
        <w:rPr>
          <w:rFonts w:cs="Times New Roman"/>
        </w:rPr>
      </w:pPr>
      <w:r>
        <w:rPr>
          <w:rFonts w:cs="Times New Roman"/>
        </w:rPr>
        <w:t>[10] State Council of the PRC. (2021). Full text: Carbon peaking and carbon neutrality China's plans and solutions. State Council White Papers.</w:t>
      </w:r>
    </w:p>
    <w:p w14:paraId="603F0621">
      <w:pPr>
        <w:ind w:firstLine="480"/>
        <w:rPr>
          <w:rFonts w:cs="Times New Roman"/>
        </w:rPr>
      </w:pPr>
      <w:r>
        <w:rPr>
          <w:rFonts w:cs="Times New Roman"/>
        </w:rPr>
        <w:t>[11] Ministry of Ecology and Environment. (2022). Policies and actions for addressing climate change. Ministry of Ecology and Environment Report.</w:t>
      </w:r>
    </w:p>
    <w:p w14:paraId="2539DB23">
      <w:pPr>
        <w:ind w:firstLine="480"/>
        <w:rPr>
          <w:rFonts w:cs="Times New Roman"/>
        </w:rPr>
      </w:pPr>
      <w:r>
        <w:rPr>
          <w:rFonts w:cs="Times New Roman"/>
        </w:rPr>
        <w:t>[12] Ember. (2025). Global electricity mid-year insights 2025. Ember Latest Insights.</w:t>
      </w:r>
    </w:p>
    <w:p w14:paraId="5318AE70">
      <w:pPr>
        <w:ind w:firstLine="480"/>
        <w:rPr>
          <w:rFonts w:cs="Times New Roman"/>
        </w:rPr>
      </w:pPr>
      <w:r>
        <w:rPr>
          <w:rFonts w:cs="Times New Roman"/>
        </w:rPr>
        <w:t>[13] Merics. (2021). China's new Five-Year Plan upgrades climate objectives while accepting continued role of coal. Mercator Institute for China Studies.</w:t>
      </w:r>
    </w:p>
    <w:p w14:paraId="0449DD64">
      <w:pPr>
        <w:ind w:firstLine="480"/>
        <w:rPr>
          <w:rFonts w:cs="Times New Roman"/>
        </w:rPr>
      </w:pPr>
      <w:r>
        <w:rPr>
          <w:rFonts w:cs="Times New Roman"/>
        </w:rPr>
        <w:t>[14] Kaiser, F.G., et al. (2021). Attitude-behavior consistency: Campbell's paradigm in environmental and health domains. Eindhoven University of Technology Research Portal.</w:t>
      </w:r>
    </w:p>
    <w:p w14:paraId="36B7016D">
      <w:pPr>
        <w:ind w:firstLine="480"/>
        <w:rPr>
          <w:rFonts w:cs="Times New Roman"/>
        </w:rPr>
      </w:pPr>
      <w:r>
        <w:rPr>
          <w:rFonts w:cs="Times New Roman"/>
        </w:rPr>
        <w:t>[16] Kaiser, F.G., et al. (2010). Reviving Campbell's paradigm for attitude research. Personality and Social Psychology Review, 14(4), 351–367.</w:t>
      </w:r>
    </w:p>
    <w:p w14:paraId="4737FD14">
      <w:pPr>
        <w:ind w:firstLine="480"/>
        <w:rPr>
          <w:rFonts w:cs="Times New Roman"/>
        </w:rPr>
      </w:pPr>
      <w:r>
        <w:rPr>
          <w:rFonts w:cs="Times New Roman"/>
        </w:rPr>
        <w:t>[17] Tan-Soo, J.S., et al. (2024). A comprehensive cost-benefit analysis of demand-side climate mitigation behaviors. Nature Climate Change, 14(x).</w:t>
      </w:r>
    </w:p>
    <w:p w14:paraId="5AB45B3D">
      <w:pPr>
        <w:ind w:firstLine="480"/>
        <w:rPr>
          <w:rFonts w:cs="Times New Roman" w:eastAsiaTheme="minorEastAsia"/>
        </w:rPr>
      </w:pPr>
      <w:r>
        <w:rPr>
          <w:rFonts w:cs="Times New Roman"/>
        </w:rPr>
        <w:t>[18] Remmerswaal, M., et al. (2024). A structural microsimulation model for demand-side cost-sharing in healthcare. CPB Discussion Paper, 415</w:t>
      </w:r>
      <w:r>
        <w:rPr>
          <w:rFonts w:hint="eastAsia" w:cs="Times New Roman"/>
        </w:rPr>
        <w:t>.</w:t>
      </w:r>
    </w:p>
    <w:p w14:paraId="6A6D3FC8">
      <w:pPr>
        <w:ind w:firstLine="480"/>
        <w:rPr>
          <w:rFonts w:cs="Times New Roman"/>
        </w:rPr>
      </w:pPr>
      <w:r>
        <w:rPr>
          <w:rFonts w:cs="Times New Roman"/>
        </w:rPr>
        <w:t>[19] Remmerswaal, M., et al. (2024). A structural microsimulation model for demand-side cost-sharing in healthcare. CPB Netherlands Bureau for Economic Policy Analysis.</w:t>
      </w:r>
    </w:p>
    <w:p w14:paraId="159C008A">
      <w:pPr>
        <w:ind w:firstLine="480"/>
        <w:rPr>
          <w:rFonts w:cs="Times New Roman"/>
        </w:rPr>
      </w:pPr>
      <w:r>
        <w:rPr>
          <w:rFonts w:cs="Times New Roman"/>
        </w:rPr>
        <w:t>[20] Peters, A., et al. (2012). Theoretical perspective on rebound effects from a social science point of view. Fraunhofer ISI Working Paper, WP02-2012.</w:t>
      </w:r>
    </w:p>
    <w:p w14:paraId="01DC52A0">
      <w:pPr>
        <w:ind w:firstLine="480"/>
        <w:rPr>
          <w:rFonts w:cs="Times New Roman"/>
        </w:rPr>
      </w:pPr>
      <w:r>
        <w:rPr>
          <w:rFonts w:cs="Times New Roman"/>
        </w:rPr>
        <w:t>[21] Santarius, T., et al. (2016). Exploring rebound effects from a psychological perspective. ResearchGate.</w:t>
      </w:r>
    </w:p>
    <w:p w14:paraId="2DDC8540">
      <w:pPr>
        <w:ind w:firstLine="480"/>
        <w:rPr>
          <w:rFonts w:cs="Times New Roman"/>
        </w:rPr>
      </w:pPr>
      <w:r>
        <w:rPr>
          <w:rFonts w:ascii="sans-serif" w:hAnsi="sans-serif" w:eastAsia="sans-serif" w:cs="sans-serif"/>
          <w:color w:val="1F1F1F"/>
        </w:rPr>
        <w:t>[</w:t>
      </w:r>
      <w:r>
        <w:rPr>
          <w:rFonts w:cs="Times New Roman"/>
        </w:rPr>
        <w:t>22] Garcia, J.R., et al. (2018). The foundations of the environmental rebound effect and its contribution towards a general framework. UFPR Ecological Macroeconomics.</w:t>
      </w:r>
    </w:p>
    <w:p w14:paraId="497A5DE0">
      <w:pPr>
        <w:ind w:firstLine="480"/>
        <w:rPr>
          <w:rFonts w:cs="Times New Roman"/>
        </w:rPr>
      </w:pPr>
      <w:r>
        <w:rPr>
          <w:rFonts w:cs="Times New Roman"/>
        </w:rPr>
        <w:t>[23] Hoyer, K.G., et al. (2012). The rebound effect: Implications of consumer behaviour for robust energy policies. IRGC Report.</w:t>
      </w:r>
    </w:p>
    <w:p w14:paraId="0999F9C4">
      <w:pPr>
        <w:ind w:firstLine="480"/>
        <w:rPr>
          <w:rFonts w:cs="Times New Roman"/>
        </w:rPr>
      </w:pPr>
      <w:r>
        <w:rPr>
          <w:rFonts w:cs="Times New Roman"/>
        </w:rPr>
        <w:t>[24] The Guardian, et al. (2024). Behavioral spillovers. Journal of Economic Behavior &amp; Organization, 229</w:t>
      </w:r>
      <w:r>
        <w:rPr>
          <w:rFonts w:hint="eastAsia" w:cs="Times New Roman"/>
        </w:rPr>
        <w:t>.</w:t>
      </w:r>
    </w:p>
    <w:p w14:paraId="7D5F80FE">
      <w:pPr>
        <w:ind w:firstLine="480"/>
        <w:rPr>
          <w:rFonts w:cs="Times New Roman"/>
        </w:rPr>
      </w:pPr>
      <w:r>
        <w:rPr>
          <w:rFonts w:cs="Times New Roman"/>
        </w:rPr>
        <w:t>[25] Sustainability Directory. (2024). Moral licensing. Sustainability Directory Resources.</w:t>
      </w:r>
    </w:p>
    <w:p w14:paraId="0664707F">
      <w:pPr>
        <w:ind w:firstLine="480"/>
        <w:rPr>
          <w:rFonts w:cs="Times New Roman"/>
        </w:rPr>
      </w:pPr>
      <w:r>
        <w:rPr>
          <w:rFonts w:cs="Times New Roman"/>
        </w:rPr>
        <w:t>[26] Merritt, A.C., et al. (2010). Moral self-licensing: When being good frees us to be bad. Social and Personality Psychology Compass, 4(5), 344–357.</w:t>
      </w:r>
    </w:p>
    <w:p w14:paraId="7F7C1832">
      <w:pPr>
        <w:ind w:firstLine="480"/>
        <w:rPr>
          <w:rFonts w:cs="Times New Roman"/>
        </w:rPr>
      </w:pPr>
      <w:r>
        <w:rPr>
          <w:rFonts w:cs="Times New Roman"/>
        </w:rPr>
        <w:t>[27] The Guardian, et al. (2024). The effect of other in-group members' organizational citizenship behavior on employees' organizational deviance: A moral licensing perspective. Journal of Asia Business Studies, 28(3), 177</w:t>
      </w:r>
      <w:r>
        <w:rPr>
          <w:rFonts w:hint="eastAsia" w:cs="Times New Roman"/>
        </w:rPr>
        <w:t>.</w:t>
      </w:r>
      <w:r>
        <w:rPr>
          <w:rFonts w:cs="Times New Roman"/>
        </w:rPr>
        <w:t>.</w:t>
      </w:r>
    </w:p>
    <w:p w14:paraId="426DF6D8">
      <w:pPr>
        <w:ind w:firstLine="480"/>
        <w:rPr>
          <w:rFonts w:cs="Times New Roman"/>
        </w:rPr>
      </w:pPr>
      <w:r>
        <w:rPr>
          <w:rFonts w:cs="Times New Roman"/>
        </w:rPr>
        <w:t>[28] Marcos, A. (2024). Moral licensing. In Vocabulary for Sustainable Consumption and Life. Taylor &amp; Francis.</w:t>
      </w:r>
    </w:p>
    <w:p w14:paraId="15D61ADC">
      <w:pPr>
        <w:ind w:firstLine="480"/>
        <w:rPr>
          <w:rFonts w:cs="Times New Roman"/>
        </w:rPr>
      </w:pPr>
      <w:r>
        <w:rPr>
          <w:rFonts w:cs="Times New Roman"/>
        </w:rPr>
        <w:t>[29] Remmerswaal, M., et al. , et al. (2024). Unpacking the relationship between customer citizenship behavior and dysfunctional customer behavior: The role of customer moral credits and entitlement. Journal of Service Theory and Practice, 33(1), 110</w:t>
      </w:r>
      <w:r>
        <w:rPr>
          <w:rFonts w:hint="eastAsia" w:cs="Times New Roman"/>
        </w:rPr>
        <w:t>.</w:t>
      </w:r>
      <w:r>
        <w:rPr>
          <w:rFonts w:cs="Times New Roman"/>
        </w:rPr>
        <w:t>.</w:t>
      </w:r>
    </w:p>
    <w:p w14:paraId="3386BB2B">
      <w:pPr>
        <w:ind w:firstLine="480"/>
        <w:rPr>
          <w:rFonts w:cs="Times New Roman"/>
        </w:rPr>
      </w:pPr>
      <w:r>
        <w:rPr>
          <w:rFonts w:cs="Times New Roman"/>
        </w:rPr>
        <w:t>[30] PsychoTricks. (2024). The perils of virtue: Understanding the licensing effect. PsychoTricks.</w:t>
      </w:r>
    </w:p>
    <w:p w14:paraId="74E47CD9">
      <w:pPr>
        <w:ind w:firstLine="480"/>
        <w:rPr>
          <w:rFonts w:cs="Times New Roman"/>
        </w:rPr>
      </w:pPr>
      <w:r>
        <w:rPr>
          <w:rFonts w:cs="Times New Roman"/>
        </w:rPr>
        <w:t>[31] Hartmann, S. (2022). Moral licensing in the context of environmental behaviour. Universität Passau Working Papers.</w:t>
      </w:r>
    </w:p>
    <w:p w14:paraId="593A2774">
      <w:pPr>
        <w:ind w:firstLine="480"/>
        <w:rPr>
          <w:rFonts w:cs="Times New Roman"/>
        </w:rPr>
      </w:pPr>
      <w:r>
        <w:rPr>
          <w:rFonts w:cs="Times New Roman"/>
        </w:rPr>
        <w:t>[32] Urban, J., et al. (2019). Green consumption does not make people cheat: Three replications of a moral licensing experiment. Journal of Experimental Psychology: Applied, 25(4), 659–675.</w:t>
      </w:r>
    </w:p>
    <w:p w14:paraId="60A6E495">
      <w:pPr>
        <w:ind w:firstLine="480"/>
        <w:rPr>
          <w:rFonts w:cs="Times New Roman"/>
        </w:rPr>
      </w:pPr>
      <w:r>
        <w:rPr>
          <w:rFonts w:cs="Times New Roman"/>
        </w:rPr>
        <w:t>[33] The Guardian. (2010). How going green may make you mean. The Guardian Ethical and Green Living.</w:t>
      </w:r>
    </w:p>
    <w:p w14:paraId="5E8B9910">
      <w:pPr>
        <w:ind w:firstLine="480"/>
        <w:rPr>
          <w:rFonts w:cs="Times New Roman"/>
        </w:rPr>
      </w:pPr>
      <w:r>
        <w:rPr>
          <w:rFonts w:cs="Times New Roman"/>
        </w:rPr>
        <w:t>[34] JCU. (2024). Moral licensing and habits. ResearchOnline@JCU.</w:t>
      </w:r>
    </w:p>
    <w:p w14:paraId="2AFA7B89">
      <w:pPr>
        <w:ind w:firstLine="480"/>
        <w:rPr>
          <w:rFonts w:cs="Times New Roman" w:eastAsiaTheme="minorEastAsia"/>
        </w:rPr>
      </w:pPr>
      <w:r>
        <w:rPr>
          <w:rFonts w:cs="Times New Roman"/>
        </w:rPr>
        <w:t>[35] Remmerswaal, M., et al. , et al. (2026). Spillover effects of pro-environmental behavior in the Metaverse. Frontiers in Psychology, 17</w:t>
      </w:r>
      <w:r>
        <w:rPr>
          <w:rFonts w:hint="eastAsia" w:cs="Times New Roman"/>
        </w:rPr>
        <w:t>.</w:t>
      </w:r>
    </w:p>
    <w:p w14:paraId="1FBBF574">
      <w:pPr>
        <w:ind w:firstLine="480"/>
        <w:rPr>
          <w:rFonts w:cs="Times New Roman"/>
        </w:rPr>
      </w:pPr>
      <w:r>
        <w:rPr>
          <w:rFonts w:cs="Times New Roman"/>
        </w:rPr>
        <w:t>[36] Nash, N., et al. (2020). Climate-relevant behavioural spillover and the potential contribution of social practice theory. CSSN Research Reports.</w:t>
      </w:r>
    </w:p>
    <w:p w14:paraId="710786DA">
      <w:pPr>
        <w:ind w:firstLine="480"/>
        <w:rPr>
          <w:rFonts w:cs="Times New Roman"/>
        </w:rPr>
      </w:pPr>
      <w:r>
        <w:rPr>
          <w:rFonts w:cs="Times New Roman"/>
        </w:rPr>
        <w:t>[37] Remmerswaal, M., et al. , et al. (2025). Spectral network analysis illuminates coordinated plant traits across a climate gradient. bioRxiv Preprint.</w:t>
      </w:r>
    </w:p>
    <w:p w14:paraId="05B88248">
      <w:pPr>
        <w:ind w:firstLine="480"/>
        <w:rPr>
          <w:rFonts w:cs="Times New Roman"/>
        </w:rPr>
      </w:pPr>
      <w:r>
        <w:rPr>
          <w:rFonts w:cs="Times New Roman"/>
        </w:rPr>
        <w:t xml:space="preserve">[38] </w:t>
      </w:r>
      <w:r>
        <w:rPr>
          <w:rFonts w:hint="eastAsia" w:cs="Times New Roman"/>
        </w:rPr>
        <w:t>Mattauch, L., et al. (2022). Steering the climate system: Using inertia to lower the cost of policy. American Economic Review, 112(11), 3506-3536.</w:t>
      </w:r>
    </w:p>
    <w:p w14:paraId="15360371">
      <w:pPr>
        <w:ind w:firstLine="480"/>
        <w:rPr>
          <w:rFonts w:cs="Times New Roman"/>
        </w:rPr>
      </w:pPr>
      <w:r>
        <w:rPr>
          <w:rFonts w:cs="Times New Roman"/>
        </w:rPr>
        <w:t xml:space="preserve">[39] Carattini, S., et al. (2018). Overcoming public resistance to carbon taxes. Wiley Interdisciplinary Reviews: Climate Change, 9(5), e531. </w:t>
      </w:r>
    </w:p>
    <w:p w14:paraId="34839B6C">
      <w:pPr>
        <w:ind w:firstLine="480"/>
        <w:rPr>
          <w:rFonts w:cs="Times New Roman"/>
        </w:rPr>
      </w:pPr>
      <w:r>
        <w:rPr>
          <w:rFonts w:cs="Times New Roman"/>
        </w:rPr>
        <w:t>[40]</w:t>
      </w:r>
      <w:r>
        <w:rPr>
          <w:rFonts w:hint="eastAsia" w:cs="Times New Roman"/>
        </w:rPr>
        <w:t xml:space="preserve"> Hagmann, D., et al. (2019). Nudging out support for a carbon tax. Nature Climate Change, 9(6), 484-489.</w:t>
      </w:r>
    </w:p>
    <w:p w14:paraId="276EECA9">
      <w:pPr>
        <w:ind w:firstLine="480"/>
        <w:rPr>
          <w:rFonts w:cs="Times New Roman"/>
        </w:rPr>
      </w:pPr>
      <w:r>
        <w:rPr>
          <w:rFonts w:cs="Times New Roman"/>
        </w:rPr>
        <w:t>[41]</w:t>
      </w:r>
      <w:r>
        <w:rPr>
          <w:rFonts w:hint="eastAsia" w:cs="Times New Roman"/>
        </w:rPr>
        <w:t xml:space="preserve"> </w:t>
      </w:r>
      <w:r>
        <w:rPr>
          <w:rFonts w:cs="Times New Roman"/>
        </w:rPr>
        <w:t>Klenert, D., et al. (2018). Making carbon pricing work for citizens. Nature Climate Change, 8(8), 669-677.</w:t>
      </w:r>
    </w:p>
    <w:p w14:paraId="252659DF">
      <w:pPr>
        <w:ind w:firstLine="480"/>
        <w:rPr>
          <w:rFonts w:cs="Times New Roman"/>
        </w:rPr>
      </w:pPr>
      <w:r>
        <w:rPr>
          <w:rFonts w:cs="Times New Roman"/>
        </w:rPr>
        <w:t>[42] Epskamp, S., et al. (2017). Estimating psychological networks and their accuracy: A tutorial paper. Psych-Networks.</w:t>
      </w:r>
    </w:p>
    <w:p w14:paraId="747B5510">
      <w:pPr>
        <w:ind w:firstLine="480"/>
        <w:rPr>
          <w:rFonts w:cs="Times New Roman"/>
        </w:rPr>
      </w:pPr>
      <w:r>
        <w:rPr>
          <w:rFonts w:cs="Times New Roman"/>
        </w:rPr>
        <w:t>[43]</w:t>
      </w:r>
      <w:r>
        <w:rPr>
          <w:rFonts w:hint="eastAsia" w:cs="Times New Roman"/>
        </w:rPr>
        <w:t xml:space="preserve"> </w:t>
      </w:r>
      <w:r>
        <w:rPr>
          <w:rFonts w:cs="Times New Roman"/>
        </w:rPr>
        <w:t>Epskamp, S., et al. (2018). Estimating psychological networks and their accuracy: A tutorial paper. Behavior Research Methods, 50(1), 195–212.</w:t>
      </w:r>
    </w:p>
    <w:p w14:paraId="6F57AE0F">
      <w:pPr>
        <w:ind w:firstLine="480"/>
        <w:rPr>
          <w:rFonts w:cs="Times New Roman"/>
        </w:rPr>
      </w:pPr>
      <w:r>
        <w:rPr>
          <w:rFonts w:cs="Times New Roman"/>
        </w:rPr>
        <w:t>[44] Steg, L., &amp; Vlek, C. (2009). Encouraging pro-environmental behaviour. Journal of Environmental Psychology, 29(3), 309-317.</w:t>
      </w:r>
    </w:p>
    <w:p w14:paraId="45348681">
      <w:pPr>
        <w:ind w:firstLine="480"/>
        <w:rPr>
          <w:rFonts w:cs="Times New Roman"/>
        </w:rPr>
      </w:pPr>
      <w:r>
        <w:rPr>
          <w:rFonts w:cs="Times New Roman"/>
        </w:rPr>
        <w:t>[45]</w:t>
      </w:r>
      <w:r>
        <w:rPr>
          <w:rFonts w:hint="eastAsia" w:cs="Times New Roman"/>
        </w:rPr>
        <w:t xml:space="preserve"> </w:t>
      </w:r>
      <w:r>
        <w:rPr>
          <w:rFonts w:cs="Times New Roman"/>
        </w:rPr>
        <w:t>Borsboom, D., &amp; Cramer, A. O. (2013). Network analysis: an integrative approach to the structure of psychopathology. Annual Review of Clinical Psychology, 9, 91-121.</w:t>
      </w:r>
    </w:p>
    <w:p w14:paraId="704C5056">
      <w:pPr>
        <w:ind w:firstLine="480"/>
        <w:rPr>
          <w:rFonts w:cs="Times New Roman"/>
        </w:rPr>
      </w:pPr>
      <w:r>
        <w:rPr>
          <w:rFonts w:cs="Times New Roman"/>
        </w:rPr>
        <w:t>[46] Sorrell, S., et al. (2004). The economics of energy efficiency: barriers to cost-effective investment. Edward Elgar Publishing.</w:t>
      </w:r>
    </w:p>
    <w:p w14:paraId="1E11A7B6">
      <w:pPr>
        <w:ind w:firstLine="480"/>
        <w:rPr>
          <w:rFonts w:cs="Times New Roman"/>
        </w:rPr>
      </w:pPr>
      <w:r>
        <w:rPr>
          <w:rFonts w:cs="Times New Roman"/>
        </w:rPr>
        <w:t>[47] Jupiterblue. (2025). Jupiterblue brochure 2025 complete V8. Jupiterblue Downloads.</w:t>
      </w:r>
    </w:p>
    <w:p w14:paraId="021A369E">
      <w:pPr>
        <w:ind w:firstLine="480"/>
        <w:rPr>
          <w:rFonts w:cs="Times New Roman"/>
        </w:rPr>
      </w:pPr>
      <w:r>
        <w:rPr>
          <w:rFonts w:cs="Times New Roman"/>
        </w:rPr>
        <w:t>[48] Sustainability Directory. (2024). Remaining carbon budget. Sustainability Directory Lifestyle Terms.</w:t>
      </w:r>
    </w:p>
    <w:p w14:paraId="43B489AF">
      <w:pPr>
        <w:ind w:firstLine="480"/>
        <w:rPr>
          <w:rFonts w:cs="Times New Roman"/>
        </w:rPr>
      </w:pPr>
      <w:r>
        <w:rPr>
          <w:rFonts w:cs="Times New Roman"/>
        </w:rPr>
        <w:t>[49] Kaiser, F.G., et al. (2020). The Campbell paradigm as a behavior-predictive reinterpretation of the classical tripartite model of attitudes. European Psychologist, 25(4), 247–260.</w:t>
      </w:r>
    </w:p>
    <w:p w14:paraId="42FAAD8E">
      <w:pPr>
        <w:ind w:firstLine="480"/>
        <w:rPr>
          <w:rFonts w:cs="Times New Roman"/>
        </w:rPr>
      </w:pPr>
      <w:r>
        <w:rPr>
          <w:rFonts w:cs="Times New Roman"/>
        </w:rPr>
        <w:t>[50] Kaiser, F.G., et al. (2020). The Campbell paradigm as a behavior-predictive reinterpretation of the classical tripartite model of attitudes. PubMed.</w:t>
      </w:r>
    </w:p>
    <w:p w14:paraId="24784A40">
      <w:pPr>
        <w:ind w:firstLine="480"/>
        <w:rPr>
          <w:rFonts w:cs="Times New Roman"/>
        </w:rPr>
      </w:pPr>
      <w:r>
        <w:rPr>
          <w:rFonts w:cs="Times New Roman"/>
        </w:rPr>
        <w:t>[51] Kaiser, F.G., et al. (2020). The Campbell paradigm as a behavior-predictive reinterpretation of the classical tripartite model of attitudes. PMC.</w:t>
      </w:r>
    </w:p>
    <w:p w14:paraId="23072FBA">
      <w:pPr>
        <w:ind w:firstLine="480"/>
        <w:rPr>
          <w:rFonts w:cs="Times New Roman"/>
        </w:rPr>
      </w:pPr>
      <w:r>
        <w:rPr>
          <w:rFonts w:cs="Times New Roman"/>
        </w:rPr>
        <w:t>[52] Wikipedia. (2024). Campbell paradigm. Wikipedia, The Free Encyclopedia.</w:t>
      </w:r>
    </w:p>
    <w:p w14:paraId="6149F4F3">
      <w:pPr>
        <w:ind w:firstLine="480"/>
        <w:rPr>
          <w:rFonts w:cs="Times New Roman"/>
        </w:rPr>
      </w:pPr>
      <w:r>
        <w:rPr>
          <w:rFonts w:cs="Times New Roman"/>
        </w:rPr>
        <w:t>[53]Allcott, H., &amp; Greenstone, M. (2012). Is there an energy efficiency gap? Journal of Economic Perspectives, 26(1), 3-28.</w:t>
      </w:r>
    </w:p>
    <w:p w14:paraId="7A48FB9C">
      <w:pPr>
        <w:ind w:firstLine="480"/>
        <w:rPr>
          <w:rFonts w:cs="Times New Roman"/>
        </w:rPr>
      </w:pPr>
      <w:r>
        <w:rPr>
          <w:rFonts w:cs="Times New Roman"/>
        </w:rPr>
        <w:t>[54] Kaiser, F.G., et al. (2010). Reviving Campbell's paradigm for attitude research. Eindhoven University of Technology Research Portal.</w:t>
      </w:r>
    </w:p>
    <w:p w14:paraId="6CB6EE9E">
      <w:pPr>
        <w:ind w:firstLine="480"/>
        <w:rPr>
          <w:rFonts w:cs="Times New Roman"/>
        </w:rPr>
      </w:pPr>
      <w:r>
        <w:rPr>
          <w:rFonts w:cs="Times New Roman"/>
        </w:rPr>
        <w:t>[55] Kaiser, F.G. (2021). Explaining behavior with mental attributes: An exposition with environmental attitude. European Psychologist, 26(4), 294–307.</w:t>
      </w:r>
    </w:p>
    <w:p w14:paraId="7B49B179">
      <w:pPr>
        <w:ind w:firstLine="480"/>
        <w:rPr>
          <w:rFonts w:cs="Times New Roman"/>
        </w:rPr>
      </w:pPr>
      <w:r>
        <w:rPr>
          <w:rFonts w:cs="Times New Roman"/>
        </w:rPr>
        <w:t>[56] Nilsson, A., et al. (2017). Spillover and moral licensing: A review. Global Environmental Change, 42, 1-10.</w:t>
      </w:r>
    </w:p>
    <w:p w14:paraId="44033407">
      <w:pPr>
        <w:ind w:firstLine="480"/>
        <w:rPr>
          <w:rFonts w:cs="Times New Roman"/>
        </w:rPr>
      </w:pPr>
      <w:r>
        <w:rPr>
          <w:rFonts w:cs="Times New Roman"/>
        </w:rPr>
        <w:t xml:space="preserve">[57] </w:t>
      </w:r>
      <w:r>
        <w:rPr>
          <w:rFonts w:hint="eastAsia" w:cs="Times New Roman"/>
        </w:rPr>
        <w:t>Tiefenbeck, V., et al. (2013). Foraging for moral risk in the everyday life: The case of water and energy consumption. Journal of Economic Psychology, 38, 118-125.s</w:t>
      </w:r>
    </w:p>
    <w:p w14:paraId="600E71C9">
      <w:pPr>
        <w:ind w:firstLine="480"/>
        <w:rPr>
          <w:rFonts w:cs="Times New Roman"/>
        </w:rPr>
      </w:pPr>
      <w:r>
        <w:rPr>
          <w:rFonts w:cs="Times New Roman"/>
        </w:rPr>
        <w:t>[58]Maki, A., et al. (2019). Meta-analysis of pro-environmental behaviour spillover. Nature Sustainability, 2(4), 307-315.</w:t>
      </w:r>
    </w:p>
    <w:p w14:paraId="22894C2D">
      <w:pPr>
        <w:ind w:firstLine="480"/>
        <w:rPr>
          <w:rFonts w:cs="Times New Roman" w:eastAsiaTheme="minorEastAsia"/>
        </w:rPr>
      </w:pPr>
      <w:r>
        <w:rPr>
          <w:rFonts w:cs="Times New Roman"/>
        </w:rPr>
        <w:t xml:space="preserve">[59] </w:t>
      </w:r>
      <w:r>
        <w:rPr>
          <w:rFonts w:hint="eastAsia" w:cs="Times New Roman"/>
        </w:rPr>
        <w:t>Truelove, H. B., et al. (2014). Positive and negative behavioral spillover in the environmental domain. Global Environmental Change, 29, 127-138.</w:t>
      </w:r>
    </w:p>
    <w:p w14:paraId="2AC256CF">
      <w:pPr>
        <w:ind w:firstLine="480"/>
        <w:rPr>
          <w:rFonts w:cs="Times New Roman"/>
        </w:rPr>
      </w:pPr>
      <w:r>
        <w:rPr>
          <w:rFonts w:cs="Times New Roman"/>
        </w:rPr>
        <w:t>[60] Schneider Electric. (2024). Demand-side strategies for sustainable transformation. Sustainability Research Institute.</w:t>
      </w:r>
    </w:p>
    <w:p w14:paraId="6D65C904">
      <w:pPr>
        <w:ind w:firstLine="480"/>
        <w:rPr>
          <w:rFonts w:cs="Times New Roman"/>
        </w:rPr>
      </w:pPr>
      <w:r>
        <w:rPr>
          <w:rFonts w:cs="Times New Roman"/>
        </w:rPr>
        <w:t>[61] Font Vivanco, D., et al. (2014). The underlying environmental rebound effect of electric mobility. Environmental Science &amp; Technology, 48(24), 14267-14274.</w:t>
      </w:r>
    </w:p>
    <w:p w14:paraId="5384AB16">
      <w:pPr>
        <w:ind w:firstLine="480"/>
        <w:rPr>
          <w:rFonts w:cs="Times New Roman"/>
        </w:rPr>
      </w:pPr>
      <w:r>
        <w:rPr>
          <w:rFonts w:cs="Times New Roman"/>
        </w:rPr>
        <w:t>[62] Bahník, Š. (2024). Three attempts to replicate moral licensing effect due to pro-environmental behavior. Štěpán Bahník Publications.</w:t>
      </w:r>
    </w:p>
    <w:p w14:paraId="2189F8A0">
      <w:pPr>
        <w:ind w:firstLine="480"/>
        <w:rPr>
          <w:rFonts w:cs="Times New Roman"/>
        </w:rPr>
      </w:pPr>
      <w:r>
        <w:rPr>
          <w:rFonts w:cs="Times New Roman"/>
        </w:rPr>
        <w:t>[63] Borenstein, S. (2015). A microeconomic framework for evaluating energy efficiency programs. Innovation Policy and the Economy, 15(1), 139-168.</w:t>
      </w:r>
    </w:p>
    <w:p w14:paraId="4D5D3D8C">
      <w:pPr>
        <w:ind w:firstLine="480"/>
        <w:rPr>
          <w:rFonts w:cs="Times New Roman"/>
        </w:rPr>
      </w:pPr>
      <w:r>
        <w:rPr>
          <w:rFonts w:cs="Times New Roman"/>
        </w:rPr>
        <w:t>[64] Freire-González, J. (2017). Evidence of direct and indirect rebound effect in households in EU-27 countries. Energy Policy, 102, 270-276.</w:t>
      </w:r>
    </w:p>
    <w:p w14:paraId="274ABECE">
      <w:pPr>
        <w:ind w:firstLine="480"/>
        <w:rPr>
          <w:rFonts w:cs="Times New Roman"/>
        </w:rPr>
      </w:pPr>
      <w:r>
        <w:rPr>
          <w:rFonts w:cs="Times New Roman"/>
        </w:rPr>
        <w:t>[65] Gillingham, K., et al. (2016). The rebound effect and energy efficiency policy. Review of Environmental Economics and Policy, 10(1), 68-88.</w:t>
      </w:r>
    </w:p>
    <w:p w14:paraId="132D1E7A">
      <w:pPr>
        <w:ind w:firstLine="480"/>
        <w:rPr>
          <w:rFonts w:cs="Times New Roman"/>
        </w:rPr>
      </w:pPr>
      <w:r>
        <w:rPr>
          <w:rFonts w:cs="Times New Roman"/>
        </w:rPr>
        <w:t>[66]Moran, D., et al. (2020). The carbon footprint of global tourism. Nature Climate Change, 8(5), 422-428.</w:t>
      </w:r>
    </w:p>
    <w:p w14:paraId="04714FF9">
      <w:pPr>
        <w:ind w:firstLine="480"/>
        <w:rPr>
          <w:rFonts w:cs="Times New Roman"/>
        </w:rPr>
      </w:pPr>
      <w:r>
        <w:rPr>
          <w:rFonts w:cs="Times New Roman"/>
        </w:rPr>
        <w:t>[67]Dubois, G., et al. (2019). It starts at home? Climate policies targeting household consumption and behavioral decisions are key to low-carbon futures. Energy Research &amp; Social Science, 52, 144-158.</w:t>
      </w:r>
    </w:p>
    <w:p w14:paraId="2C126D29">
      <w:pPr>
        <w:ind w:firstLine="480"/>
        <w:rPr>
          <w:rFonts w:cs="Times New Roman"/>
        </w:rPr>
      </w:pPr>
      <w:r>
        <w:rPr>
          <w:rFonts w:cs="Times New Roman"/>
        </w:rPr>
        <w:t>[68]Ivanova, D., et al. (2020). Quantifying the potential for climate change mitigation of consumption options. Environmental Research Letters, 15(9), 093001.</w:t>
      </w:r>
      <w:r>
        <w:rPr>
          <w:rFonts w:hint="eastAsia" w:cs="Times New Roman"/>
        </w:rPr>
        <w:tab/>
      </w:r>
      <w:r>
        <w:rPr>
          <w:rFonts w:cs="Times New Roman"/>
        </w:rPr>
        <w:t>[69] Dunlap, R.E., et al. (2000). The new environmental paradigm scale: From marginality to worldwide use. The Journal of Environmental Education, 31(1), 425–442.</w:t>
      </w:r>
    </w:p>
    <w:p w14:paraId="475D62CB">
      <w:pPr>
        <w:ind w:firstLine="480"/>
        <w:rPr>
          <w:rFonts w:cs="Times New Roman"/>
        </w:rPr>
      </w:pPr>
      <w:r>
        <w:rPr>
          <w:rFonts w:cs="Times New Roman"/>
        </w:rPr>
        <w:t>[70] 1. Creutzig, F., et al. (2018). Towards demand-side solutions for mitigating climate change.</w:t>
      </w:r>
    </w:p>
    <w:p w14:paraId="6E62536B">
      <w:pPr>
        <w:ind w:firstLine="480"/>
        <w:rPr>
          <w:rFonts w:cs="Times New Roman"/>
        </w:rPr>
      </w:pPr>
      <w:r>
        <w:rPr>
          <w:rFonts w:cs="Times New Roman"/>
        </w:rPr>
        <w:t>[71] Gillingham, K., Newell, R. G., &amp; Palmer, K. (2009). Energy efficiency economics and policy. Annual Review of Resource Economics, 1, 597-620.</w:t>
      </w:r>
    </w:p>
    <w:p w14:paraId="338EB56E">
      <w:pPr>
        <w:ind w:firstLine="480"/>
        <w:rPr>
          <w:rFonts w:cs="Times New Roman"/>
        </w:rPr>
      </w:pPr>
      <w:r>
        <w:rPr>
          <w:rFonts w:cs="Times New Roman"/>
        </w:rPr>
        <w:t>[72] Kesicki, F., &amp; Strachan, N. (2011). Marginal abatement cost (MAC) curves: confronting theory and practice. Environmental Science &amp; Policy, 14(8), 1195-1204.</w:t>
      </w:r>
    </w:p>
    <w:p w14:paraId="66DBF6A9">
      <w:pPr>
        <w:ind w:firstLine="480"/>
        <w:rPr>
          <w:rFonts w:cs="Times New Roman"/>
        </w:rPr>
      </w:pPr>
      <w:r>
        <w:rPr>
          <w:rFonts w:cs="Times New Roman"/>
        </w:rPr>
        <w:t>[73] Galvin, R. (2015). The rebound effect, gender and social justice: A case study in Germany. Energy Policy, 86, 759-769.</w:t>
      </w:r>
    </w:p>
    <w:p w14:paraId="3786964E">
      <w:pPr>
        <w:ind w:firstLine="480"/>
        <w:rPr>
          <w:rFonts w:cs="Times New Roman"/>
        </w:rPr>
      </w:pPr>
      <w:r>
        <w:rPr>
          <w:rFonts w:cs="Times New Roman"/>
        </w:rPr>
        <w:t>[74] Milne, G., &amp; Boardman, B. (2000). Making cold homes warmer: the effect of energy efficiency improvements in low-income homes. Energy Policy, 28(6-7), 411-424.</w:t>
      </w:r>
    </w:p>
    <w:p w14:paraId="543C837E">
      <w:pPr>
        <w:ind w:firstLine="480"/>
        <w:rPr>
          <w:rFonts w:cs="Times New Roman"/>
        </w:rPr>
      </w:pPr>
      <w:r>
        <w:rPr>
          <w:rFonts w:cs="Times New Roman"/>
        </w:rPr>
        <w:t>[75] Chitnis, M., Sorrell, S., Druckman, A., Firth, S. K., &amp; Jackson, T. (2014). Who rebounds most? Estimating direct and indirect rebound effects for different UK socioeconomic groups. Ecological Economics, 106, 12-32.</w:t>
      </w:r>
    </w:p>
    <w:p w14:paraId="0099F625">
      <w:pPr>
        <w:ind w:firstLine="480"/>
        <w:rPr>
          <w:rFonts w:cs="Times New Roman"/>
        </w:rPr>
      </w:pPr>
      <w:r>
        <w:rPr>
          <w:rFonts w:cs="Times New Roman"/>
        </w:rPr>
        <w:t>[76]Sorrell, S., Dimitropoulos, J., &amp; Sommerville, M. (2009). Empirical estimates of the direct rebound effect: A review. Energy Policy, 37(4), 1356-1371.</w:t>
      </w:r>
    </w:p>
    <w:p w14:paraId="66A16D65">
      <w:pPr>
        <w:ind w:firstLine="480"/>
        <w:rPr>
          <w:rFonts w:cs="Times New Roman"/>
        </w:rPr>
      </w:pPr>
      <w:r>
        <w:rPr>
          <w:rFonts w:cs="Times New Roman"/>
        </w:rPr>
        <w:t>[77] Remmerswaal, M., et al. (2024). A structural microsimulation model for demand-side cost-sharing in healthcare. PubMed.</w:t>
      </w:r>
    </w:p>
    <w:p w14:paraId="35415EEA">
      <w:pPr>
        <w:ind w:firstLine="480"/>
        <w:rPr>
          <w:rFonts w:cs="Times New Roman"/>
        </w:rPr>
      </w:pPr>
      <w:r>
        <w:rPr>
          <w:rFonts w:cs="Times New Roman"/>
        </w:rPr>
        <w:t>[78] Greening, L. A., Greene, D. L., &amp; Difiglio, C. (2000). Energy efficiency and consumption—the rebound effect—a survey. Energy Policy, 28(6-7), 389-401.</w:t>
      </w:r>
    </w:p>
    <w:p w14:paraId="19E5962B">
      <w:pPr>
        <w:ind w:firstLine="480"/>
        <w:rPr>
          <w:rFonts w:cs="Times New Roman"/>
        </w:rPr>
      </w:pPr>
      <w:r>
        <w:rPr>
          <w:rFonts w:cs="Times New Roman"/>
        </w:rPr>
        <w:t>[79] Epskamp, S., et al. (2018). Visualizing psychological networks: A tutorial in R. PMC.</w:t>
      </w:r>
    </w:p>
    <w:p w14:paraId="24E0E9D7">
      <w:pPr>
        <w:ind w:firstLine="480"/>
        <w:rPr>
          <w:rFonts w:cs="Times New Roman"/>
        </w:rPr>
      </w:pPr>
      <w:r>
        <w:rPr>
          <w:rFonts w:cs="Times New Roman"/>
        </w:rPr>
        <w:t>[80] Kaiser, F.G., et al. (2010). Reviving Campbell's paradigm for attitude research. Personality and Social Psychology Review, 14(4), 351–367.</w:t>
      </w:r>
    </w:p>
    <w:p w14:paraId="0C632681">
      <w:pPr>
        <w:ind w:firstLine="480"/>
        <w:rPr>
          <w:rFonts w:cs="Times New Roman"/>
        </w:rPr>
      </w:pPr>
      <w:r>
        <w:rPr>
          <w:rFonts w:cs="Times New Roman"/>
        </w:rPr>
        <w:t>[81] Mazar, N., &amp; Zhong, C.B. (2010). Do green products make us better people? Psychological Science, 21(4), 494–498.</w:t>
      </w:r>
    </w:p>
    <w:p w14:paraId="6A8D7B75">
      <w:pPr>
        <w:ind w:firstLine="480"/>
        <w:rPr>
          <w:rFonts w:cs="Times New Roman"/>
        </w:rPr>
      </w:pPr>
      <w:r>
        <w:rPr>
          <w:rFonts w:cs="Times New Roman"/>
        </w:rPr>
        <w:t>[82] Urban, J., et al. (2019). Green consumption does not make people cheat: Three replications of a moral licensing experiment. Journal of Experimental Psychology: Applied, 25(4), 659–675.</w:t>
      </w:r>
    </w:p>
    <w:p w14:paraId="78C40CF4">
      <w:pPr>
        <w:ind w:firstLine="480"/>
        <w:rPr>
          <w:rFonts w:cs="Times New Roman"/>
        </w:rPr>
      </w:pPr>
      <w:r>
        <w:rPr>
          <w:rFonts w:cs="Times New Roman"/>
        </w:rPr>
        <w:t>[83]Truelove, H.B., et al. (2014). Positive and negative spillover of pro-environmental behavior: An integrative review and theoretical framework. Global Environmental Change, 29, 127–138.</w:t>
      </w:r>
    </w:p>
    <w:p w14:paraId="6029CA59">
      <w:pPr>
        <w:ind w:left="240" w:leftChars="100" w:firstLine="240" w:firstLineChars="100"/>
        <w:rPr>
          <w:rFonts w:hint="default" w:cs="Times New Roman"/>
          <w:lang w:val="en-US" w:eastAsia="zh-CN"/>
        </w:rPr>
      </w:pPr>
      <w:r>
        <w:rPr>
          <w:rFonts w:hint="eastAsia" w:cs="Times New Roman"/>
          <w:lang w:val="en-US" w:eastAsia="zh-CN"/>
        </w:rPr>
        <w:t>[84]Cao, X., &amp; Gao, Y. (2021). Does pilot low-carbon city policy promote green lifestyle of urban residents? China Population, Resources and Environment, 31(12), 93–103.</w:t>
      </w:r>
    </w:p>
    <w:p w14:paraId="39449F62">
      <w:pPr>
        <w:ind w:firstLine="480"/>
        <w:rPr>
          <w:rFonts w:cs="Times New Roman"/>
        </w:rPr>
      </w:pPr>
    </w:p>
    <w:p w14:paraId="69957FC1">
      <w:pPr>
        <w:ind w:firstLine="480"/>
        <w:rPr>
          <w:rFonts w:cs="Times New Roman"/>
        </w:rPr>
      </w:pPr>
      <w:r>
        <w:rPr>
          <w:rFonts w:cs="Times New Roman"/>
        </w:rPr>
        <w:br w:type="page"/>
      </w:r>
    </w:p>
    <w:p w14:paraId="7DBF8CE9">
      <w:pPr>
        <w:pStyle w:val="2"/>
        <w:numPr>
          <w:ilvl w:val="0"/>
          <w:numId w:val="0"/>
        </w:numPr>
        <w:ind w:left="425" w:hanging="425"/>
        <w:rPr>
          <w:rFonts w:ascii="Times New Roman" w:hAnsi="Times New Roman" w:cs="Times New Roman"/>
        </w:rPr>
      </w:pPr>
      <w:bookmarkStart w:id="42" w:name="_Toc29501"/>
      <w:r>
        <w:rPr>
          <w:rFonts w:ascii="Times New Roman" w:hAnsi="Times New Roman" w:cs="Times New Roman"/>
        </w:rPr>
        <w:t>附</w:t>
      </w:r>
      <w:r>
        <w:rPr>
          <w:rFonts w:hint="eastAsia" w:ascii="Times New Roman" w:hAnsi="Times New Roman" w:cs="Times New Roman"/>
        </w:rPr>
        <w:t xml:space="preserve"> </w:t>
      </w:r>
      <w:r>
        <w:rPr>
          <w:rFonts w:ascii="Times New Roman" w:hAnsi="Times New Roman" w:cs="Times New Roman"/>
        </w:rPr>
        <w:t>录</w:t>
      </w:r>
      <w:bookmarkEnd w:id="42"/>
      <w:r>
        <w:rPr>
          <w:rFonts w:ascii="Times New Roman" w:hAnsi="Times New Roman" w:cs="Times New Roman"/>
        </w:rPr>
        <w:t xml:space="preserve"> </w:t>
      </w:r>
    </w:p>
    <w:p w14:paraId="06DE6B0B">
      <w:pPr>
        <w:pStyle w:val="3"/>
        <w:bidi w:val="0"/>
        <w:rPr>
          <w:rFonts w:hint="eastAsia"/>
        </w:rPr>
      </w:pPr>
      <w:bookmarkStart w:id="43" w:name="_Toc7636"/>
      <w:r>
        <w:rPr>
          <w:rFonts w:hint="eastAsia"/>
        </w:rPr>
        <w:t xml:space="preserve">附录A </w:t>
      </w:r>
      <w:r>
        <w:t>调研实施过程</w:t>
      </w:r>
      <w:bookmarkEnd w:id="43"/>
    </w:p>
    <w:p w14:paraId="1506C280">
      <w:pPr>
        <w:pStyle w:val="4"/>
        <w:bidi w:val="0"/>
      </w:pPr>
      <w:bookmarkStart w:id="44" w:name="_Toc24427"/>
      <w:r>
        <w:t>A</w:t>
      </w:r>
      <w:r>
        <w:rPr>
          <w:rFonts w:hint="default"/>
        </w:rPr>
        <w:t>.1</w:t>
      </w:r>
      <w:r>
        <w:t>调研总体设计与时间安排</w:t>
      </w:r>
      <w:bookmarkEnd w:id="44"/>
    </w:p>
    <w:p w14:paraId="47F892AF">
      <w:pPr>
        <w:ind w:firstLine="480"/>
        <w:rPr>
          <w:rFonts w:cs="Times New Roman"/>
        </w:rPr>
      </w:pPr>
      <w:r>
        <w:rPr>
          <w:rFonts w:hint="eastAsia" w:cs="Times New Roman"/>
        </w:rPr>
        <w:t>本研究调研历时约6个月，分两阶段推进。</w:t>
      </w:r>
    </w:p>
    <w:p w14:paraId="4F695F3E">
      <w:pPr>
        <w:ind w:firstLine="480"/>
        <w:rPr>
          <w:rFonts w:hint="eastAsia" w:cs="Times New Roman"/>
          <w:b/>
          <w:bCs/>
        </w:rPr>
      </w:pPr>
      <w:r>
        <w:rPr>
          <w:rFonts w:hint="eastAsia" w:cs="Times New Roman"/>
          <w:b/>
          <w:bCs/>
        </w:rPr>
        <w:t>第一阶段（2025年1月—4月）：预调研与初步正式调研</w:t>
      </w:r>
    </w:p>
    <w:p w14:paraId="61D7AB62">
      <w:pPr>
        <w:ind w:firstLine="480"/>
        <w:rPr>
          <w:rFonts w:hint="eastAsia" w:cs="Times New Roman"/>
        </w:rPr>
      </w:pPr>
      <w:r>
        <w:rPr>
          <w:rFonts w:hint="eastAsia" w:cs="Times New Roman"/>
        </w:rPr>
        <w:t>以北京、浙江（杭州、温州）为核心区域，首轮投放110份问卷后发现三类问题：MaxDiff任务认知负荷过高（平均作答超15分钟，直线型作答率13.4%）、饮食类选项表述重叠、时间金钱权衡情境缺乏普适性。据此完成第一轮修订后，经小样本复测（N≈30）确认作答时长降至11分钟、直线型作答率降至4.2%、信效度良好（α=0.914，KMO=0.932），随后完成初步正式调研，累计回收约392份有效问卷，初步得出</w:t>
      </w:r>
      <w:r>
        <w:rPr>
          <w:rFonts w:hint="eastAsia" w:cs="Times New Roman"/>
          <w:lang w:eastAsia="zh-CN"/>
        </w:rPr>
        <w:t>“</w:t>
      </w:r>
      <w:r>
        <w:rPr>
          <w:rFonts w:hint="eastAsia" w:cs="Times New Roman"/>
        </w:rPr>
        <w:t>节能技术＞经济替代＞习惯颠覆</w:t>
      </w:r>
      <w:r>
        <w:rPr>
          <w:rFonts w:hint="eastAsia" w:cs="Times New Roman"/>
          <w:lang w:eastAsia="zh-CN"/>
        </w:rPr>
        <w:t>”</w:t>
      </w:r>
      <w:r>
        <w:rPr>
          <w:rFonts w:hint="eastAsia" w:cs="Times New Roman"/>
        </w:rPr>
        <w:t>的偏好层级结构。</w:t>
      </w:r>
    </w:p>
    <w:p w14:paraId="6A905289">
      <w:pPr>
        <w:ind w:firstLine="480"/>
        <w:rPr>
          <w:rFonts w:hint="eastAsia" w:cs="Times New Roman"/>
          <w:b/>
          <w:bCs/>
        </w:rPr>
      </w:pPr>
      <w:r>
        <w:rPr>
          <w:rFonts w:hint="eastAsia" w:cs="Times New Roman"/>
          <w:b/>
          <w:bCs/>
        </w:rPr>
        <w:t>第二阶段（2026年1月—3月）：大规模正式调研</w:t>
      </w:r>
    </w:p>
    <w:p w14:paraId="610DEE62">
      <w:pPr>
        <w:ind w:firstLine="480"/>
        <w:rPr>
          <w:rFonts w:hint="eastAsia" w:cs="Times New Roman"/>
        </w:rPr>
      </w:pPr>
      <w:r>
        <w:rPr>
          <w:rFonts w:hint="eastAsia" w:cs="Times New Roman"/>
        </w:rPr>
        <w:t>在浙江温州延续性样本基础上新增黑龙江作为东北代表性样本，同时将行为类别由12种缩减至6种核心行为，并新增直接与间接反弹情境题目。本阶段回收问卷824份，经三级质控后获有效样本538份（有效率65.3%）。</w:t>
      </w:r>
    </w:p>
    <w:p w14:paraId="46293EB5">
      <w:pPr>
        <w:pStyle w:val="23"/>
      </w:pPr>
    </w:p>
    <w:p w14:paraId="1EA76C31">
      <w:pPr>
        <w:pStyle w:val="23"/>
      </w:pPr>
      <w:r>
        <w:t>表</w:t>
      </w:r>
      <w:r>
        <w:rPr>
          <w:rFonts w:hint="eastAsia"/>
        </w:rPr>
        <w:t>A-1</w:t>
      </w:r>
      <w:r>
        <w:t xml:space="preserve"> 调研阶段时间安排总览</w:t>
      </w:r>
    </w:p>
    <w:p w14:paraId="7500768B">
      <w:pPr>
        <w:pStyle w:val="23"/>
      </w:pPr>
      <w:r>
        <w:rPr>
          <w:rFonts w:hint="eastAsia"/>
        </w:rPr>
        <w:t>Table A-1 Overview of Time Schedule for the Survey Phase</w:t>
      </w:r>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730"/>
        <w:gridCol w:w="2079"/>
        <w:gridCol w:w="1771"/>
        <w:gridCol w:w="1771"/>
      </w:tblGrid>
      <w:tr w14:paraId="6C86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pct"/>
            <w:tcBorders>
              <w:top w:val="single" w:color="000000" w:sz="12" w:space="0"/>
              <w:left w:val="nil"/>
              <w:bottom w:val="single" w:color="000000" w:sz="4" w:space="0"/>
              <w:right w:val="nil"/>
              <w:tl2br w:val="nil"/>
            </w:tcBorders>
            <w:shd w:val="clear" w:color="auto" w:fill="FFFFFF"/>
            <w:vAlign w:val="center"/>
          </w:tcPr>
          <w:p w14:paraId="5AB533DC">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阶段</w:t>
            </w:r>
          </w:p>
        </w:tc>
        <w:tc>
          <w:tcPr>
            <w:tcW w:w="977" w:type="pct"/>
            <w:tcBorders>
              <w:top w:val="single" w:color="000000" w:sz="12" w:space="0"/>
              <w:left w:val="nil"/>
              <w:bottom w:val="single" w:color="000000" w:sz="4" w:space="0"/>
              <w:right w:val="nil"/>
            </w:tcBorders>
            <w:shd w:val="clear" w:color="auto" w:fill="FFFFFF"/>
            <w:vAlign w:val="center"/>
          </w:tcPr>
          <w:p w14:paraId="31AC2479">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时间</w:t>
            </w:r>
          </w:p>
        </w:tc>
        <w:tc>
          <w:tcPr>
            <w:tcW w:w="1174" w:type="pct"/>
            <w:tcBorders>
              <w:top w:val="single" w:color="000000" w:sz="12" w:space="0"/>
              <w:left w:val="nil"/>
              <w:bottom w:val="single" w:color="000000" w:sz="4" w:space="0"/>
              <w:right w:val="nil"/>
            </w:tcBorders>
            <w:shd w:val="clear" w:color="auto" w:fill="FFFFFF"/>
            <w:vAlign w:val="center"/>
          </w:tcPr>
          <w:p w14:paraId="110354D2">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地域</w:t>
            </w:r>
          </w:p>
        </w:tc>
        <w:tc>
          <w:tcPr>
            <w:tcW w:w="1000" w:type="pct"/>
            <w:tcBorders>
              <w:top w:val="single" w:color="000000" w:sz="12" w:space="0"/>
              <w:left w:val="nil"/>
              <w:bottom w:val="single" w:color="000000" w:sz="4" w:space="0"/>
              <w:right w:val="nil"/>
            </w:tcBorders>
            <w:shd w:val="clear" w:color="auto" w:fill="FFFFFF"/>
            <w:vAlign w:val="center"/>
          </w:tcPr>
          <w:p w14:paraId="63B29725">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主要目标</w:t>
            </w:r>
          </w:p>
        </w:tc>
        <w:tc>
          <w:tcPr>
            <w:tcW w:w="1000" w:type="pct"/>
            <w:tcBorders>
              <w:top w:val="single" w:color="000000" w:sz="12" w:space="0"/>
              <w:left w:val="nil"/>
              <w:bottom w:val="single" w:color="000000" w:sz="4" w:space="0"/>
              <w:right w:val="nil"/>
            </w:tcBorders>
            <w:shd w:val="clear" w:color="auto" w:fill="FFFFFF"/>
            <w:vAlign w:val="center"/>
          </w:tcPr>
          <w:p w14:paraId="18BA154E">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lang w:val="en-US" w:eastAsia="zh-CN"/>
              </w:rPr>
              <w:t>总</w:t>
            </w:r>
            <w:r>
              <w:rPr>
                <w:rFonts w:hint="eastAsia" w:cs="Times New Roman"/>
              </w:rPr>
              <w:t>样本量</w:t>
            </w:r>
          </w:p>
        </w:tc>
      </w:tr>
      <w:tr w14:paraId="5AAC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pct"/>
            <w:tcBorders>
              <w:top w:val="single" w:color="000000" w:sz="4" w:space="0"/>
              <w:left w:val="nil"/>
              <w:bottom w:val="nil"/>
              <w:right w:val="nil"/>
            </w:tcBorders>
            <w:shd w:val="clear" w:color="auto" w:fill="FFFFFF"/>
            <w:vAlign w:val="center"/>
          </w:tcPr>
          <w:p w14:paraId="1370476E">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预调研</w:t>
            </w:r>
          </w:p>
        </w:tc>
        <w:tc>
          <w:tcPr>
            <w:tcW w:w="977" w:type="pct"/>
            <w:tcBorders>
              <w:top w:val="single" w:color="000000" w:sz="4" w:space="0"/>
              <w:left w:val="nil"/>
              <w:bottom w:val="nil"/>
              <w:right w:val="nil"/>
            </w:tcBorders>
            <w:shd w:val="clear" w:color="auto" w:fill="FFFFFF"/>
            <w:vAlign w:val="center"/>
          </w:tcPr>
          <w:p w14:paraId="170859A9">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2025年1月</w:t>
            </w:r>
          </w:p>
        </w:tc>
        <w:tc>
          <w:tcPr>
            <w:tcW w:w="1174" w:type="pct"/>
            <w:tcBorders>
              <w:top w:val="single" w:color="000000" w:sz="4" w:space="0"/>
              <w:left w:val="nil"/>
              <w:bottom w:val="nil"/>
              <w:right w:val="nil"/>
            </w:tcBorders>
            <w:shd w:val="clear" w:color="auto" w:fill="FFFFFF"/>
            <w:vAlign w:val="center"/>
          </w:tcPr>
          <w:p w14:paraId="4234E87A">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北京、浙江温州</w:t>
            </w:r>
          </w:p>
        </w:tc>
        <w:tc>
          <w:tcPr>
            <w:tcW w:w="1000" w:type="pct"/>
            <w:tcBorders>
              <w:top w:val="single" w:color="000000" w:sz="4" w:space="0"/>
              <w:left w:val="nil"/>
              <w:bottom w:val="nil"/>
              <w:right w:val="nil"/>
            </w:tcBorders>
            <w:shd w:val="clear" w:color="auto" w:fill="FFFFFF"/>
            <w:vAlign w:val="center"/>
          </w:tcPr>
          <w:p w14:paraId="769BCB40">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问卷测试与迭代</w:t>
            </w:r>
          </w:p>
        </w:tc>
        <w:tc>
          <w:tcPr>
            <w:tcW w:w="1000" w:type="pct"/>
            <w:tcBorders>
              <w:top w:val="single" w:color="000000" w:sz="4" w:space="0"/>
              <w:left w:val="nil"/>
              <w:bottom w:val="nil"/>
              <w:right w:val="nil"/>
            </w:tcBorders>
            <w:shd w:val="clear" w:color="auto" w:fill="FFFFFF"/>
            <w:vAlign w:val="center"/>
          </w:tcPr>
          <w:p w14:paraId="5E4D1C97">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lang w:val="en-US" w:eastAsia="zh-CN"/>
              </w:rPr>
              <w:t>110</w:t>
            </w:r>
            <w:r>
              <w:rPr>
                <w:rFonts w:hint="eastAsia" w:cs="Times New Roman"/>
              </w:rPr>
              <w:t>份</w:t>
            </w:r>
          </w:p>
        </w:tc>
      </w:tr>
      <w:tr w14:paraId="76C8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pct"/>
            <w:tcBorders>
              <w:top w:val="nil"/>
              <w:left w:val="nil"/>
              <w:bottom w:val="nil"/>
              <w:right w:val="nil"/>
            </w:tcBorders>
            <w:shd w:val="clear" w:color="auto" w:fill="FFFFFF"/>
            <w:vAlign w:val="center"/>
          </w:tcPr>
          <w:p w14:paraId="25CC7B60">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初步正式调研</w:t>
            </w:r>
          </w:p>
        </w:tc>
        <w:tc>
          <w:tcPr>
            <w:tcW w:w="977" w:type="pct"/>
            <w:tcBorders>
              <w:top w:val="nil"/>
              <w:left w:val="nil"/>
              <w:bottom w:val="nil"/>
              <w:right w:val="nil"/>
            </w:tcBorders>
            <w:shd w:val="clear" w:color="auto" w:fill="FFFFFF"/>
            <w:vAlign w:val="center"/>
          </w:tcPr>
          <w:p w14:paraId="193A4633">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2025年3-4月</w:t>
            </w:r>
          </w:p>
        </w:tc>
        <w:tc>
          <w:tcPr>
            <w:tcW w:w="1174" w:type="pct"/>
            <w:tcBorders>
              <w:top w:val="nil"/>
              <w:left w:val="nil"/>
              <w:bottom w:val="nil"/>
              <w:right w:val="nil"/>
            </w:tcBorders>
            <w:shd w:val="clear" w:color="auto" w:fill="FFFFFF"/>
            <w:vAlign w:val="center"/>
          </w:tcPr>
          <w:p w14:paraId="623CF2E0">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北京、浙江（杭州/温州）</w:t>
            </w:r>
          </w:p>
        </w:tc>
        <w:tc>
          <w:tcPr>
            <w:tcW w:w="1000" w:type="pct"/>
            <w:tcBorders>
              <w:top w:val="nil"/>
              <w:left w:val="nil"/>
              <w:bottom w:val="nil"/>
              <w:right w:val="nil"/>
            </w:tcBorders>
            <w:shd w:val="clear" w:color="auto" w:fill="FFFFFF"/>
            <w:vAlign w:val="center"/>
          </w:tcPr>
          <w:p w14:paraId="4E8A5C64">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预备数据收集与偏好结构验证</w:t>
            </w:r>
          </w:p>
        </w:tc>
        <w:tc>
          <w:tcPr>
            <w:tcW w:w="1000" w:type="pct"/>
            <w:tcBorders>
              <w:top w:val="nil"/>
              <w:left w:val="nil"/>
              <w:bottom w:val="nil"/>
              <w:right w:val="nil"/>
            </w:tcBorders>
            <w:shd w:val="clear" w:color="auto" w:fill="FFFFFF"/>
            <w:vAlign w:val="center"/>
          </w:tcPr>
          <w:p w14:paraId="440EB3A3">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lang w:val="en-US" w:eastAsia="zh-CN"/>
              </w:rPr>
              <w:t>392</w:t>
            </w:r>
            <w:r>
              <w:rPr>
                <w:rFonts w:hint="eastAsia" w:cs="Times New Roman"/>
              </w:rPr>
              <w:t>份</w:t>
            </w:r>
          </w:p>
        </w:tc>
      </w:tr>
      <w:tr w14:paraId="4A19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pct"/>
            <w:tcBorders>
              <w:top w:val="nil"/>
              <w:left w:val="nil"/>
              <w:bottom w:val="single" w:color="000000" w:sz="12" w:space="0"/>
              <w:right w:val="nil"/>
            </w:tcBorders>
            <w:shd w:val="clear" w:color="auto" w:fill="FFFFFF"/>
            <w:vAlign w:val="center"/>
          </w:tcPr>
          <w:p w14:paraId="59B37652">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大规模正式调研</w:t>
            </w:r>
          </w:p>
        </w:tc>
        <w:tc>
          <w:tcPr>
            <w:tcW w:w="977" w:type="pct"/>
            <w:tcBorders>
              <w:top w:val="nil"/>
              <w:left w:val="nil"/>
              <w:bottom w:val="single" w:color="000000" w:sz="12" w:space="0"/>
              <w:right w:val="nil"/>
            </w:tcBorders>
            <w:shd w:val="clear" w:color="auto" w:fill="FFFFFF"/>
            <w:vAlign w:val="center"/>
          </w:tcPr>
          <w:p w14:paraId="3D134C96">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2026年1月-2026年3月</w:t>
            </w:r>
          </w:p>
        </w:tc>
        <w:tc>
          <w:tcPr>
            <w:tcW w:w="1174" w:type="pct"/>
            <w:tcBorders>
              <w:top w:val="nil"/>
              <w:left w:val="nil"/>
              <w:bottom w:val="single" w:color="000000" w:sz="12" w:space="0"/>
              <w:right w:val="nil"/>
            </w:tcBorders>
            <w:shd w:val="clear" w:color="auto" w:fill="FFFFFF"/>
            <w:vAlign w:val="center"/>
          </w:tcPr>
          <w:p w14:paraId="04C2B72D">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浙江温州、黑龙江</w:t>
            </w:r>
          </w:p>
        </w:tc>
        <w:tc>
          <w:tcPr>
            <w:tcW w:w="1000" w:type="pct"/>
            <w:tcBorders>
              <w:top w:val="nil"/>
              <w:left w:val="nil"/>
              <w:bottom w:val="single" w:color="000000" w:sz="12" w:space="0"/>
              <w:right w:val="nil"/>
            </w:tcBorders>
            <w:shd w:val="clear" w:color="auto" w:fill="FFFFFF"/>
            <w:vAlign w:val="center"/>
          </w:tcPr>
          <w:p w14:paraId="1E154ABD">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rPr>
              <w:t>跨地区扩展与正式数据集构建</w:t>
            </w:r>
          </w:p>
        </w:tc>
        <w:tc>
          <w:tcPr>
            <w:tcW w:w="1000" w:type="pct"/>
            <w:tcBorders>
              <w:top w:val="nil"/>
              <w:left w:val="nil"/>
              <w:bottom w:val="single" w:color="000000" w:sz="12" w:space="0"/>
              <w:right w:val="nil"/>
            </w:tcBorders>
            <w:shd w:val="clear" w:color="auto" w:fill="FFFFFF"/>
            <w:vAlign w:val="center"/>
          </w:tcPr>
          <w:p w14:paraId="575D88D5">
            <w:pPr>
              <w:keepNext w:val="0"/>
              <w:keepLines w:val="0"/>
              <w:suppressLineNumbers w:val="0"/>
              <w:spacing w:before="0" w:beforeAutospacing="0" w:after="0" w:afterAutospacing="0"/>
              <w:ind w:left="0" w:right="0" w:firstLine="0" w:firstLineChars="0"/>
              <w:jc w:val="center"/>
              <w:rPr>
                <w:rFonts w:hint="default" w:cs="Times New Roman"/>
              </w:rPr>
            </w:pPr>
            <w:r>
              <w:rPr>
                <w:rFonts w:hint="eastAsia" w:cs="Times New Roman"/>
                <w:lang w:val="en-US" w:eastAsia="zh-CN"/>
              </w:rPr>
              <w:t>824</w:t>
            </w:r>
            <w:r>
              <w:rPr>
                <w:rFonts w:hint="eastAsia" w:cs="Times New Roman"/>
              </w:rPr>
              <w:t>份</w:t>
            </w:r>
          </w:p>
        </w:tc>
      </w:tr>
    </w:tbl>
    <w:p w14:paraId="50B5208B">
      <w:pPr>
        <w:ind w:firstLine="480"/>
        <w:rPr>
          <w:rFonts w:hint="eastAsia" w:cs="Times New Roman"/>
        </w:rPr>
      </w:pPr>
      <w:r>
        <w:rPr>
          <w:rFonts w:hint="eastAsia" w:cs="Times New Roman"/>
        </w:rPr>
        <w:t>抽样方法： 采用滚雪球抽样结合配额控制，在三地分别设置年龄、职业、收入三维度配额上限，防止同质性偏误。最终有效样本以18-35岁（约55%）、中等收入、受过良好教育的城市居民为主，与研究聚焦“消费活跃群体”的目标高度吻合。</w:t>
      </w:r>
    </w:p>
    <w:p w14:paraId="7100CD8D">
      <w:pPr>
        <w:ind w:firstLine="480"/>
        <w:rPr>
          <w:rFonts w:cs="Times New Roman"/>
        </w:rPr>
      </w:pPr>
      <w:r>
        <w:rPr>
          <w:rFonts w:hint="eastAsia" w:cs="Times New Roman"/>
        </w:rPr>
        <w:t>执行方式： 线上（问卷星，62%）与线下（社区党群服务中心，38%）相结合。线下调研主要部署于浙江温州及黑龙江哈尔滨，两名成员全程陪同，一人引导填写，一人现场质控，纸质问卷当日完成数字化录入。</w:t>
      </w:r>
    </w:p>
    <w:p w14:paraId="337D3B17">
      <w:pPr>
        <w:pStyle w:val="23"/>
        <w:jc w:val="both"/>
      </w:pPr>
    </w:p>
    <w:p w14:paraId="0D715076">
      <w:pPr>
        <w:ind w:firstLine="480"/>
        <w:rPr>
          <w:rFonts w:cs="Times New Roman"/>
        </w:rPr>
        <w:sectPr>
          <w:footerReference r:id="rId7" w:type="default"/>
          <w:pgSz w:w="12240" w:h="15840"/>
          <w:pgMar w:top="1667" w:right="1800" w:bottom="1440" w:left="1800" w:header="720" w:footer="720" w:gutter="0"/>
          <w:pgNumType w:fmt="decimal"/>
          <w:cols w:space="425" w:num="1"/>
          <w:docGrid w:type="lines" w:linePitch="312" w:charSpace="0"/>
        </w:sectPr>
      </w:pPr>
    </w:p>
    <w:p w14:paraId="7B1EB71F">
      <w:pPr>
        <w:pStyle w:val="4"/>
        <w:bidi w:val="0"/>
      </w:pPr>
      <w:bookmarkStart w:id="45" w:name="_Toc16066"/>
      <w:r>
        <w:t>A.</w:t>
      </w:r>
      <w:r>
        <w:rPr>
          <w:rFonts w:hint="eastAsia"/>
          <w:lang w:val="en-US" w:eastAsia="zh-CN"/>
        </w:rPr>
        <w:t>2</w:t>
      </w:r>
      <w:r>
        <w:t>调研记录</w:t>
      </w:r>
      <w:bookmarkEnd w:id="45"/>
    </w:p>
    <w:p w14:paraId="676DBE5B">
      <w:pPr>
        <w:ind w:firstLine="480"/>
        <w:rPr>
          <w:rFonts w:cs="Times New Roman"/>
        </w:rPr>
        <w:sectPr>
          <w:pgSz w:w="12240" w:h="15840"/>
          <w:pgMar w:top="1440" w:right="1800" w:bottom="1440" w:left="1800" w:header="720" w:footer="720" w:gutter="0"/>
          <w:pgNumType w:fmt="decimal"/>
          <w:cols w:space="425" w:num="1"/>
          <w:docGrid w:type="lines" w:linePitch="312" w:charSpace="0"/>
        </w:sectPr>
      </w:pPr>
      <w:r>
        <w:rPr>
          <w:rFonts w:cs="Times New Roman"/>
        </w:rPr>
        <w:drawing>
          <wp:anchor distT="0" distB="0" distL="114300" distR="114300" simplePos="0" relativeHeight="251664384" behindDoc="0" locked="0" layoutInCell="1" allowOverlap="1">
            <wp:simplePos x="0" y="0"/>
            <wp:positionH relativeFrom="column">
              <wp:posOffset>2568575</wp:posOffset>
            </wp:positionH>
            <wp:positionV relativeFrom="paragraph">
              <wp:posOffset>5979160</wp:posOffset>
            </wp:positionV>
            <wp:extent cx="2559050" cy="1659255"/>
            <wp:effectExtent l="0" t="0" r="3175" b="7620"/>
            <wp:wrapNone/>
            <wp:docPr id="12" name="图片 12" descr="ad16b0f8a1d1e2e5d570e64a296e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d16b0f8a1d1e2e5d570e64a296e931"/>
                    <pic:cNvPicPr>
                      <a:picLocks noChangeAspect="1"/>
                    </pic:cNvPicPr>
                  </pic:nvPicPr>
                  <pic:blipFill>
                    <a:blip r:embed="rId62"/>
                    <a:stretch>
                      <a:fillRect/>
                    </a:stretch>
                  </pic:blipFill>
                  <pic:spPr>
                    <a:xfrm>
                      <a:off x="0" y="0"/>
                      <a:ext cx="2559050" cy="1659255"/>
                    </a:xfrm>
                    <a:prstGeom prst="rect">
                      <a:avLst/>
                    </a:prstGeom>
                  </pic:spPr>
                </pic:pic>
              </a:graphicData>
            </a:graphic>
          </wp:anchor>
        </w:drawing>
      </w:r>
      <w:r>
        <w:drawing>
          <wp:anchor distT="0" distB="0" distL="114300" distR="114300" simplePos="0" relativeHeight="251661312" behindDoc="1" locked="0" layoutInCell="1" allowOverlap="1">
            <wp:simplePos x="0" y="0"/>
            <wp:positionH relativeFrom="column">
              <wp:posOffset>-198120</wp:posOffset>
            </wp:positionH>
            <wp:positionV relativeFrom="paragraph">
              <wp:posOffset>137160</wp:posOffset>
            </wp:positionV>
            <wp:extent cx="2697480" cy="3843655"/>
            <wp:effectExtent l="0" t="0" r="7620" b="4445"/>
            <wp:wrapThrough wrapText="bothSides">
              <wp:wrapPolygon>
                <wp:start x="0" y="0"/>
                <wp:lineTo x="0" y="21571"/>
                <wp:lineTo x="21508" y="21571"/>
                <wp:lineTo x="21508" y="0"/>
                <wp:lineTo x="0" y="0"/>
              </wp:wrapPolygon>
            </wp:wrapThrough>
            <wp:docPr id="3" name="图片 3" descr="3e2655ba09d05461fcb1f13c07aa8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e2655ba09d05461fcb1f13c07aa85eb"/>
                    <pic:cNvPicPr>
                      <a:picLocks noChangeAspect="1"/>
                    </pic:cNvPicPr>
                  </pic:nvPicPr>
                  <pic:blipFill>
                    <a:blip r:embed="rId63"/>
                    <a:stretch>
                      <a:fillRect/>
                    </a:stretch>
                  </pic:blipFill>
                  <pic:spPr>
                    <a:xfrm>
                      <a:off x="0" y="0"/>
                      <a:ext cx="2697480" cy="3843655"/>
                    </a:xfrm>
                    <a:prstGeom prst="rect">
                      <a:avLst/>
                    </a:prstGeom>
                  </pic:spPr>
                </pic:pic>
              </a:graphicData>
            </a:graphic>
          </wp:anchor>
        </w:drawing>
      </w:r>
      <w:r>
        <w:rPr>
          <w:rFonts w:cs="Times New Roman"/>
        </w:rPr>
        <w:drawing>
          <wp:anchor distT="0" distB="0" distL="114300" distR="114300" simplePos="0" relativeHeight="251665408" behindDoc="0" locked="0" layoutInCell="1" allowOverlap="1">
            <wp:simplePos x="0" y="0"/>
            <wp:positionH relativeFrom="column">
              <wp:posOffset>2576195</wp:posOffset>
            </wp:positionH>
            <wp:positionV relativeFrom="paragraph">
              <wp:posOffset>4030345</wp:posOffset>
            </wp:positionV>
            <wp:extent cx="2567940" cy="1925955"/>
            <wp:effectExtent l="0" t="0" r="3810" b="7620"/>
            <wp:wrapNone/>
            <wp:docPr id="13" name="图片 13" descr="11e26debf5d1887a1b11cedf6dc2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1e26debf5d1887a1b11cedf6dc2f3c"/>
                    <pic:cNvPicPr>
                      <a:picLocks noChangeAspect="1"/>
                    </pic:cNvPicPr>
                  </pic:nvPicPr>
                  <pic:blipFill>
                    <a:blip r:embed="rId64"/>
                    <a:stretch>
                      <a:fillRect/>
                    </a:stretch>
                  </pic:blipFill>
                  <pic:spPr>
                    <a:xfrm>
                      <a:off x="0" y="0"/>
                      <a:ext cx="2567940" cy="1925955"/>
                    </a:xfrm>
                    <a:prstGeom prst="rect">
                      <a:avLst/>
                    </a:prstGeom>
                  </pic:spPr>
                </pic:pic>
              </a:graphicData>
            </a:graphic>
          </wp:anchor>
        </w:drawing>
      </w:r>
      <w:r>
        <w:rPr>
          <w:rFonts w:cs="Times New Roman"/>
        </w:rPr>
        <w:drawing>
          <wp:anchor distT="0" distB="0" distL="114300" distR="114300" simplePos="0" relativeHeight="251660288" behindDoc="1" locked="0" layoutInCell="1" allowOverlap="1">
            <wp:simplePos x="0" y="0"/>
            <wp:positionH relativeFrom="column">
              <wp:posOffset>2576195</wp:posOffset>
            </wp:positionH>
            <wp:positionV relativeFrom="paragraph">
              <wp:posOffset>2057400</wp:posOffset>
            </wp:positionV>
            <wp:extent cx="2545080" cy="1909445"/>
            <wp:effectExtent l="0" t="0" r="7620" b="5080"/>
            <wp:wrapThrough wrapText="bothSides">
              <wp:wrapPolygon>
                <wp:start x="0" y="0"/>
                <wp:lineTo x="0" y="21442"/>
                <wp:lineTo x="21503" y="21442"/>
                <wp:lineTo x="21503" y="0"/>
                <wp:lineTo x="0" y="0"/>
              </wp:wrapPolygon>
            </wp:wrapThrough>
            <wp:docPr id="4" name="图片 4" descr="5bb4e7f46550e61803cfd2f12ba0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bb4e7f46550e61803cfd2f12ba02fa"/>
                    <pic:cNvPicPr>
                      <a:picLocks noChangeAspect="1"/>
                    </pic:cNvPicPr>
                  </pic:nvPicPr>
                  <pic:blipFill>
                    <a:blip r:embed="rId65"/>
                    <a:stretch>
                      <a:fillRect/>
                    </a:stretch>
                  </pic:blipFill>
                  <pic:spPr>
                    <a:xfrm>
                      <a:off x="0" y="0"/>
                      <a:ext cx="2545080" cy="1909445"/>
                    </a:xfrm>
                    <a:prstGeom prst="rect">
                      <a:avLst/>
                    </a:prstGeom>
                  </pic:spPr>
                </pic:pic>
              </a:graphicData>
            </a:graphic>
          </wp:anchor>
        </w:drawing>
      </w:r>
      <w:r>
        <w:rPr>
          <w:rFonts w:cs="Times New Roman"/>
        </w:rPr>
        <w:drawing>
          <wp:anchor distT="0" distB="0" distL="114300" distR="114300" simplePos="0" relativeHeight="251663360" behindDoc="0" locked="0" layoutInCell="1" allowOverlap="1">
            <wp:simplePos x="0" y="0"/>
            <wp:positionH relativeFrom="column">
              <wp:posOffset>2576830</wp:posOffset>
            </wp:positionH>
            <wp:positionV relativeFrom="paragraph">
              <wp:posOffset>129540</wp:posOffset>
            </wp:positionV>
            <wp:extent cx="2529840" cy="1897380"/>
            <wp:effectExtent l="0" t="0" r="3810" b="7620"/>
            <wp:wrapNone/>
            <wp:docPr id="11" name="图片 11" descr="830f6697321a6615b24643c13ab8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30f6697321a6615b24643c13ab8fda"/>
                    <pic:cNvPicPr>
                      <a:picLocks noChangeAspect="1"/>
                    </pic:cNvPicPr>
                  </pic:nvPicPr>
                  <pic:blipFill>
                    <a:blip r:embed="rId66"/>
                    <a:stretch>
                      <a:fillRect/>
                    </a:stretch>
                  </pic:blipFill>
                  <pic:spPr>
                    <a:xfrm>
                      <a:off x="0" y="0"/>
                      <a:ext cx="2529840" cy="1897380"/>
                    </a:xfrm>
                    <a:prstGeom prst="rect">
                      <a:avLst/>
                    </a:prstGeom>
                  </pic:spPr>
                </pic:pic>
              </a:graphicData>
            </a:graphic>
          </wp:anchor>
        </w:drawing>
      </w:r>
      <w:r>
        <w:rPr>
          <w:rFonts w:cs="Times New Roman"/>
        </w:rPr>
        <w:drawing>
          <wp:anchor distT="0" distB="0" distL="114300" distR="114300" simplePos="0" relativeHeight="251662336" behindDoc="1" locked="0" layoutInCell="1" allowOverlap="1">
            <wp:simplePos x="0" y="0"/>
            <wp:positionH relativeFrom="column">
              <wp:posOffset>-189865</wp:posOffset>
            </wp:positionH>
            <wp:positionV relativeFrom="paragraph">
              <wp:posOffset>4023360</wp:posOffset>
            </wp:positionV>
            <wp:extent cx="2674620" cy="3543935"/>
            <wp:effectExtent l="0" t="0" r="1905" b="8890"/>
            <wp:wrapThrough wrapText="bothSides">
              <wp:wrapPolygon>
                <wp:start x="0" y="0"/>
                <wp:lineTo x="0" y="21538"/>
                <wp:lineTo x="21538" y="21538"/>
                <wp:lineTo x="21538" y="0"/>
                <wp:lineTo x="0" y="0"/>
              </wp:wrapPolygon>
            </wp:wrapThrough>
            <wp:docPr id="6" name="图片 6" descr="7ec52e7fdb37d98ce710ff08d85b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ec52e7fdb37d98ce710ff08d85b0f4"/>
                    <pic:cNvPicPr>
                      <a:picLocks noChangeAspect="1"/>
                    </pic:cNvPicPr>
                  </pic:nvPicPr>
                  <pic:blipFill>
                    <a:blip r:embed="rId67"/>
                    <a:stretch>
                      <a:fillRect/>
                    </a:stretch>
                  </pic:blipFill>
                  <pic:spPr>
                    <a:xfrm>
                      <a:off x="0" y="0"/>
                      <a:ext cx="2674620" cy="3543935"/>
                    </a:xfrm>
                    <a:prstGeom prst="rect">
                      <a:avLst/>
                    </a:prstGeom>
                  </pic:spPr>
                </pic:pic>
              </a:graphicData>
            </a:graphic>
          </wp:anchor>
        </w:drawing>
      </w:r>
    </w:p>
    <w:p w14:paraId="06CCE79A">
      <w:pPr>
        <w:pStyle w:val="3"/>
        <w:bidi w:val="0"/>
        <w:rPr>
          <w:rFonts w:hint="default"/>
          <w:lang w:val="en-US" w:eastAsia="zh-CN"/>
        </w:rPr>
      </w:pPr>
      <w:bookmarkStart w:id="46" w:name="_Toc15323"/>
      <w:r>
        <w:t xml:space="preserve">附录B </w:t>
      </w:r>
      <w:r>
        <w:rPr>
          <w:rFonts w:hint="eastAsia"/>
        </w:rPr>
        <w:t>问卷</w:t>
      </w:r>
      <w:r>
        <w:t>全文</w:t>
      </w:r>
      <w:bookmarkEnd w:id="46"/>
    </w:p>
    <w:p w14:paraId="2BE1F9A8">
      <w:pPr>
        <w:spacing w:after="400" w:line="360" w:lineRule="auto"/>
        <w:ind w:firstLine="643"/>
        <w:jc w:val="center"/>
        <w:rPr>
          <w:rFonts w:cs="Times New Roman"/>
          <w:b/>
          <w:sz w:val="32"/>
        </w:rPr>
      </w:pPr>
      <w:r>
        <w:rPr>
          <w:rFonts w:cs="Times New Roman"/>
          <w:b/>
          <w:sz w:val="32"/>
        </w:rPr>
        <w:t>城市居民碳排放及低碳生活方式行动意愿调研</w:t>
      </w:r>
    </w:p>
    <w:p w14:paraId="2BD1307D">
      <w:pPr>
        <w:ind w:firstLine="480"/>
        <w:rPr>
          <w:rFonts w:cs="Times New Roman"/>
        </w:rPr>
      </w:pPr>
    </w:p>
    <w:p w14:paraId="17046E46">
      <w:pPr>
        <w:ind w:firstLine="480"/>
        <w:rPr>
          <w:rFonts w:cs="Times New Roman"/>
          <w:color w:val="666666"/>
        </w:rPr>
      </w:pPr>
      <w:r>
        <w:rPr>
          <w:rFonts w:eastAsia="PMingLiU" w:cs="Times New Roman"/>
          <w:color w:val="666666"/>
        </w:rPr>
        <w:t>尊敬的受访者</w:t>
      </w:r>
      <w:r>
        <w:rPr>
          <w:rFonts w:eastAsia="Times New Roman" w:cs="Times New Roman"/>
          <w:color w:val="666666"/>
        </w:rPr>
        <w:t>:</w:t>
      </w:r>
    </w:p>
    <w:p w14:paraId="626E348A">
      <w:pPr>
        <w:ind w:firstLine="480"/>
        <w:rPr>
          <w:rFonts w:cs="Times New Roman"/>
          <w:color w:val="666666"/>
        </w:rPr>
      </w:pPr>
      <w:r>
        <w:rPr>
          <w:rFonts w:eastAsia="PMingLiU" w:cs="Times New Roman"/>
          <w:color w:val="666666"/>
        </w:rPr>
        <w:t>您好！我们正在进行一项关于城市居民碳排放及低碳生活方式行动意愿的调查研究，感谢您抽出宝贵的时间来完成这份问卷，填写整个问卷预计花费</w:t>
      </w:r>
      <w:r>
        <w:rPr>
          <w:rFonts w:eastAsia="Times New Roman" w:cs="Times New Roman"/>
          <w:color w:val="666666"/>
        </w:rPr>
        <w:t>10</w:t>
      </w:r>
      <w:r>
        <w:rPr>
          <w:rFonts w:eastAsia="PMingLiU" w:cs="Times New Roman"/>
          <w:color w:val="666666"/>
        </w:rPr>
        <w:t>分钟。本次调查仅用于学术研究，答案无对错之分，请您放心并根据实际情况填写。您的支持将给我们的研究工作带来莫大的动力，感谢您的配合！</w:t>
      </w:r>
    </w:p>
    <w:p w14:paraId="440D47ED">
      <w:pPr>
        <w:ind w:firstLine="480"/>
        <w:rPr>
          <w:rFonts w:eastAsia="Times New Roman" w:cs="Times New Roman"/>
          <w:color w:val="666666"/>
        </w:rPr>
      </w:pPr>
      <w:r>
        <w:rPr>
          <w:rFonts w:eastAsia="PMingLiU" w:cs="Times New Roman"/>
          <w:color w:val="666666"/>
        </w:rPr>
        <w:t>中国石油大学（北京）经济管理学院</w:t>
      </w:r>
    </w:p>
    <w:p w14:paraId="46E69120">
      <w:pPr>
        <w:numPr>
          <w:ilvl w:val="0"/>
          <w:numId w:val="7"/>
        </w:numPr>
        <w:spacing w:line="360" w:lineRule="auto"/>
        <w:ind w:firstLine="480"/>
        <w:rPr>
          <w:rFonts w:hint="default" w:cs="Times New Roman"/>
          <w:lang w:val="en-US" w:eastAsia="zh-CN"/>
        </w:rPr>
      </w:pPr>
      <w:r>
        <w:rPr>
          <w:rFonts w:eastAsia="PMingLiU" w:cs="Times New Roman"/>
        </w:rPr>
        <w:t>请您基于您的意愿为以下低碳生活方式排序，排名越高，表示您更愿意对此低碳生活方式采取行动（两种呈现形式交叉发放）。</w:t>
      </w:r>
      <w:r>
        <w:rPr>
          <w:rFonts w:eastAsia="Times New Roman" w:cs="Times New Roman"/>
        </w:rPr>
        <w:t>[</w:t>
      </w:r>
      <w:r>
        <w:rPr>
          <w:rFonts w:eastAsia="PMingLiU" w:cs="Times New Roman"/>
        </w:rPr>
        <w:t>表格文本题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278"/>
        <w:gridCol w:w="1108"/>
        <w:gridCol w:w="1245"/>
        <w:gridCol w:w="1225"/>
      </w:tblGrid>
      <w:tr w14:paraId="363458B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single" w:color="000000" w:sz="12" w:space="0"/>
              <w:left w:val="nil"/>
              <w:bottom w:val="single" w:color="000000" w:sz="4" w:space="0"/>
              <w:right w:val="nil"/>
              <w:tl2br w:val="nil"/>
            </w:tcBorders>
            <w:shd w:val="clear" w:color="auto" w:fill="FFFFFF"/>
            <w:vAlign w:val="center"/>
          </w:tcPr>
          <w:p w14:paraId="78B8FA32">
            <w:pPr>
              <w:pStyle w:val="23"/>
              <w:keepNext w:val="0"/>
              <w:keepLines w:val="0"/>
              <w:suppressLineNumbers w:val="0"/>
              <w:spacing w:before="0" w:beforeAutospacing="0" w:after="0" w:afterAutospacing="0"/>
              <w:ind w:left="0" w:right="0"/>
              <w:rPr>
                <w:rFonts w:hint="default" w:cs="Times New Roman"/>
              </w:rPr>
            </w:pPr>
          </w:p>
        </w:tc>
        <w:tc>
          <w:tcPr>
            <w:tcW w:w="1108" w:type="dxa"/>
            <w:tcBorders>
              <w:top w:val="single" w:color="000000" w:sz="12" w:space="0"/>
              <w:left w:val="nil"/>
              <w:bottom w:val="single" w:color="000000" w:sz="4" w:space="0"/>
              <w:right w:val="nil"/>
            </w:tcBorders>
            <w:shd w:val="clear" w:color="auto" w:fill="FFFFFF"/>
            <w:vAlign w:val="center"/>
          </w:tcPr>
          <w:p w14:paraId="3D9EB1EC">
            <w:pPr>
              <w:pStyle w:val="23"/>
              <w:keepNext w:val="0"/>
              <w:keepLines w:val="0"/>
              <w:suppressLineNumbers w:val="0"/>
              <w:spacing w:before="0" w:beforeAutospacing="0" w:after="0" w:afterAutospacing="0"/>
              <w:ind w:left="0" w:right="0"/>
              <w:rPr>
                <w:rFonts w:hint="default" w:cs="Times New Roman"/>
              </w:rPr>
            </w:pPr>
            <w:r>
              <w:rPr>
                <w:rFonts w:hint="eastAsia" w:cs="Times New Roman"/>
              </w:rPr>
              <w:t>最重要</w:t>
            </w:r>
          </w:p>
        </w:tc>
        <w:tc>
          <w:tcPr>
            <w:tcW w:w="1245" w:type="dxa"/>
            <w:tcBorders>
              <w:top w:val="single" w:color="000000" w:sz="12" w:space="0"/>
              <w:left w:val="nil"/>
              <w:bottom w:val="single" w:color="000000" w:sz="4" w:space="0"/>
              <w:right w:val="nil"/>
            </w:tcBorders>
            <w:shd w:val="clear" w:color="auto" w:fill="FFFFFF"/>
            <w:vAlign w:val="center"/>
          </w:tcPr>
          <w:p w14:paraId="068353E8">
            <w:pPr>
              <w:pStyle w:val="23"/>
              <w:keepNext w:val="0"/>
              <w:keepLines w:val="0"/>
              <w:suppressLineNumbers w:val="0"/>
              <w:spacing w:before="0" w:beforeAutospacing="0" w:after="0" w:afterAutospacing="0"/>
              <w:ind w:left="0" w:right="0"/>
              <w:rPr>
                <w:rFonts w:hint="default" w:cs="Times New Roman"/>
              </w:rPr>
            </w:pPr>
            <w:r>
              <w:rPr>
                <w:rFonts w:hint="eastAsia" w:cs="Times New Roman"/>
              </w:rPr>
              <w:t>最不重要</w:t>
            </w:r>
          </w:p>
        </w:tc>
        <w:tc>
          <w:tcPr>
            <w:tcW w:w="1225" w:type="dxa"/>
            <w:tcBorders>
              <w:top w:val="single" w:color="000000" w:sz="12" w:space="0"/>
              <w:left w:val="nil"/>
              <w:bottom w:val="single" w:color="000000" w:sz="4" w:space="0"/>
              <w:right w:val="nil"/>
            </w:tcBorders>
            <w:shd w:val="clear" w:color="auto" w:fill="FFFFFF"/>
            <w:vAlign w:val="center"/>
          </w:tcPr>
          <w:p w14:paraId="1C5AAA7F">
            <w:pPr>
              <w:pStyle w:val="23"/>
              <w:keepNext w:val="0"/>
              <w:keepLines w:val="0"/>
              <w:suppressLineNumbers w:val="0"/>
              <w:spacing w:before="0" w:beforeAutospacing="0" w:after="0" w:afterAutospacing="0"/>
              <w:ind w:left="0" w:right="0"/>
              <w:rPr>
                <w:rFonts w:hint="default" w:cs="Times New Roman"/>
              </w:rPr>
            </w:pPr>
            <w:r>
              <w:rPr>
                <w:rFonts w:hint="eastAsia" w:cs="Times New Roman"/>
              </w:rPr>
              <w:t>出现顺序</w:t>
            </w:r>
          </w:p>
        </w:tc>
      </w:tr>
      <w:tr w14:paraId="0FD2923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single" w:color="000000" w:sz="4" w:space="0"/>
              <w:left w:val="nil"/>
              <w:bottom w:val="nil"/>
              <w:right w:val="nil"/>
            </w:tcBorders>
            <w:shd w:val="clear" w:color="auto" w:fill="FFFFFF"/>
            <w:vAlign w:val="center"/>
          </w:tcPr>
          <w:p w14:paraId="73C181AF">
            <w:pPr>
              <w:pStyle w:val="23"/>
              <w:keepNext w:val="0"/>
              <w:keepLines w:val="0"/>
              <w:suppressLineNumbers w:val="0"/>
              <w:spacing w:before="0" w:beforeAutospacing="0" w:after="0" w:afterAutospacing="0"/>
              <w:ind w:left="0" w:right="0"/>
              <w:rPr>
                <w:rFonts w:hint="default" w:cs="Times New Roman"/>
              </w:rPr>
            </w:pPr>
            <w:r>
              <w:rPr>
                <w:rFonts w:hint="eastAsia" w:cs="Times New Roman"/>
              </w:rPr>
              <w:t>减少外卖中一半的一次性餐具使用</w:t>
            </w:r>
          </w:p>
        </w:tc>
        <w:tc>
          <w:tcPr>
            <w:tcW w:w="1108" w:type="dxa"/>
            <w:tcBorders>
              <w:top w:val="single" w:color="000000" w:sz="4" w:space="0"/>
              <w:left w:val="nil"/>
              <w:bottom w:val="nil"/>
              <w:right w:val="nil"/>
            </w:tcBorders>
            <w:shd w:val="clear" w:color="auto" w:fill="FFFFFF"/>
            <w:vAlign w:val="center"/>
          </w:tcPr>
          <w:p w14:paraId="0C105B52">
            <w:pPr>
              <w:pStyle w:val="23"/>
              <w:keepNext w:val="0"/>
              <w:keepLines w:val="0"/>
              <w:suppressLineNumbers w:val="0"/>
              <w:spacing w:before="0" w:beforeAutospacing="0" w:after="0" w:afterAutospacing="0"/>
              <w:ind w:left="0" w:right="0"/>
              <w:rPr>
                <w:rFonts w:hint="default" w:cs="Times New Roman"/>
              </w:rPr>
            </w:pPr>
          </w:p>
        </w:tc>
        <w:tc>
          <w:tcPr>
            <w:tcW w:w="1245" w:type="dxa"/>
            <w:tcBorders>
              <w:top w:val="single" w:color="000000" w:sz="4" w:space="0"/>
              <w:left w:val="nil"/>
              <w:bottom w:val="nil"/>
              <w:right w:val="nil"/>
            </w:tcBorders>
            <w:shd w:val="clear" w:color="auto" w:fill="FFFFFF"/>
            <w:vAlign w:val="center"/>
          </w:tcPr>
          <w:p w14:paraId="57C2D4A6">
            <w:pPr>
              <w:pStyle w:val="23"/>
              <w:keepNext w:val="0"/>
              <w:keepLines w:val="0"/>
              <w:suppressLineNumbers w:val="0"/>
              <w:spacing w:before="0" w:beforeAutospacing="0" w:after="0" w:afterAutospacing="0"/>
              <w:ind w:left="0" w:right="0"/>
              <w:rPr>
                <w:rFonts w:hint="default" w:cs="Times New Roman"/>
              </w:rPr>
            </w:pPr>
          </w:p>
        </w:tc>
        <w:tc>
          <w:tcPr>
            <w:tcW w:w="1225" w:type="dxa"/>
            <w:tcBorders>
              <w:top w:val="single" w:color="000000" w:sz="4" w:space="0"/>
              <w:left w:val="nil"/>
              <w:bottom w:val="nil"/>
              <w:right w:val="nil"/>
            </w:tcBorders>
            <w:shd w:val="clear" w:color="auto" w:fill="FFFFFF"/>
            <w:vAlign w:val="center"/>
          </w:tcPr>
          <w:p w14:paraId="7080127E">
            <w:pPr>
              <w:pStyle w:val="23"/>
              <w:keepNext w:val="0"/>
              <w:keepLines w:val="0"/>
              <w:suppressLineNumbers w:val="0"/>
              <w:spacing w:before="0" w:beforeAutospacing="0" w:after="0" w:afterAutospacing="0"/>
              <w:ind w:left="0" w:right="0"/>
              <w:rPr>
                <w:rFonts w:hint="default" w:cs="Times New Roman"/>
              </w:rPr>
            </w:pPr>
          </w:p>
        </w:tc>
      </w:tr>
      <w:tr w14:paraId="34FAE317">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nil"/>
              <w:left w:val="nil"/>
              <w:bottom w:val="nil"/>
              <w:right w:val="nil"/>
            </w:tcBorders>
            <w:shd w:val="clear" w:color="auto" w:fill="FFFFFF"/>
            <w:vAlign w:val="center"/>
          </w:tcPr>
          <w:p w14:paraId="5150F7C7">
            <w:pPr>
              <w:pStyle w:val="23"/>
              <w:keepNext w:val="0"/>
              <w:keepLines w:val="0"/>
              <w:suppressLineNumbers w:val="0"/>
              <w:spacing w:before="0" w:beforeAutospacing="0" w:after="0" w:afterAutospacing="0"/>
              <w:ind w:left="0" w:right="0"/>
              <w:rPr>
                <w:rFonts w:hint="default" w:cs="Times New Roman"/>
              </w:rPr>
            </w:pPr>
            <w:r>
              <w:rPr>
                <w:rFonts w:hint="eastAsia" w:cs="Times New Roman"/>
              </w:rPr>
              <w:t>将最便宜的空调更换为一级能效(最节能)的空调</w:t>
            </w:r>
          </w:p>
        </w:tc>
        <w:tc>
          <w:tcPr>
            <w:tcW w:w="1108" w:type="dxa"/>
            <w:tcBorders>
              <w:top w:val="nil"/>
              <w:left w:val="nil"/>
              <w:bottom w:val="nil"/>
              <w:right w:val="nil"/>
            </w:tcBorders>
            <w:shd w:val="clear" w:color="auto" w:fill="FFFFFF"/>
            <w:vAlign w:val="center"/>
          </w:tcPr>
          <w:p w14:paraId="291DA046">
            <w:pPr>
              <w:pStyle w:val="23"/>
              <w:keepNext w:val="0"/>
              <w:keepLines w:val="0"/>
              <w:suppressLineNumbers w:val="0"/>
              <w:spacing w:before="0" w:beforeAutospacing="0" w:after="0" w:afterAutospacing="0"/>
              <w:ind w:left="0" w:right="0"/>
              <w:rPr>
                <w:rFonts w:hint="default" w:cs="Times New Roman"/>
              </w:rPr>
            </w:pPr>
          </w:p>
        </w:tc>
        <w:tc>
          <w:tcPr>
            <w:tcW w:w="1245" w:type="dxa"/>
            <w:tcBorders>
              <w:top w:val="nil"/>
              <w:left w:val="nil"/>
              <w:bottom w:val="nil"/>
              <w:right w:val="nil"/>
            </w:tcBorders>
            <w:shd w:val="clear" w:color="auto" w:fill="FFFFFF"/>
            <w:vAlign w:val="center"/>
          </w:tcPr>
          <w:p w14:paraId="5007F4FA">
            <w:pPr>
              <w:pStyle w:val="23"/>
              <w:keepNext w:val="0"/>
              <w:keepLines w:val="0"/>
              <w:suppressLineNumbers w:val="0"/>
              <w:spacing w:before="0" w:beforeAutospacing="0" w:after="0" w:afterAutospacing="0"/>
              <w:ind w:left="0" w:right="0"/>
              <w:rPr>
                <w:rFonts w:hint="default" w:cs="Times New Roman"/>
              </w:rPr>
            </w:pPr>
          </w:p>
        </w:tc>
        <w:tc>
          <w:tcPr>
            <w:tcW w:w="1225" w:type="dxa"/>
            <w:tcBorders>
              <w:top w:val="nil"/>
              <w:left w:val="nil"/>
              <w:bottom w:val="nil"/>
              <w:right w:val="nil"/>
            </w:tcBorders>
            <w:shd w:val="clear" w:color="auto" w:fill="FFFFFF"/>
            <w:vAlign w:val="center"/>
          </w:tcPr>
          <w:p w14:paraId="2210493B">
            <w:pPr>
              <w:pStyle w:val="23"/>
              <w:keepNext w:val="0"/>
              <w:keepLines w:val="0"/>
              <w:suppressLineNumbers w:val="0"/>
              <w:spacing w:before="0" w:beforeAutospacing="0" w:after="0" w:afterAutospacing="0"/>
              <w:ind w:left="0" w:right="0"/>
              <w:rPr>
                <w:rFonts w:hint="default" w:cs="Times New Roman"/>
              </w:rPr>
            </w:pPr>
          </w:p>
        </w:tc>
      </w:tr>
      <w:tr w14:paraId="57F10F2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nil"/>
              <w:left w:val="nil"/>
              <w:bottom w:val="nil"/>
              <w:right w:val="nil"/>
            </w:tcBorders>
            <w:shd w:val="clear" w:color="auto" w:fill="FFFFFF"/>
            <w:vAlign w:val="center"/>
          </w:tcPr>
          <w:p w14:paraId="1077FBF0">
            <w:pPr>
              <w:pStyle w:val="23"/>
              <w:keepNext w:val="0"/>
              <w:keepLines w:val="0"/>
              <w:suppressLineNumbers w:val="0"/>
              <w:spacing w:before="0" w:beforeAutospacing="0" w:after="0" w:afterAutospacing="0"/>
              <w:ind w:left="0" w:right="0"/>
              <w:rPr>
                <w:rFonts w:hint="default" w:cs="Times New Roman"/>
              </w:rPr>
            </w:pPr>
            <w:r>
              <w:rPr>
                <w:rFonts w:hint="eastAsia" w:cs="Times New Roman"/>
              </w:rPr>
              <w:t>每次扔家庭垃圾都分类回收</w:t>
            </w:r>
          </w:p>
        </w:tc>
        <w:tc>
          <w:tcPr>
            <w:tcW w:w="1108" w:type="dxa"/>
            <w:tcBorders>
              <w:top w:val="nil"/>
              <w:left w:val="nil"/>
              <w:bottom w:val="nil"/>
              <w:right w:val="nil"/>
            </w:tcBorders>
            <w:shd w:val="clear" w:color="auto" w:fill="FFFFFF"/>
            <w:vAlign w:val="center"/>
          </w:tcPr>
          <w:p w14:paraId="51AF1F5F">
            <w:pPr>
              <w:pStyle w:val="23"/>
              <w:keepNext w:val="0"/>
              <w:keepLines w:val="0"/>
              <w:suppressLineNumbers w:val="0"/>
              <w:spacing w:before="0" w:beforeAutospacing="0" w:after="0" w:afterAutospacing="0"/>
              <w:ind w:left="0" w:right="0"/>
              <w:rPr>
                <w:rFonts w:hint="default" w:cs="Times New Roman"/>
              </w:rPr>
            </w:pPr>
          </w:p>
        </w:tc>
        <w:tc>
          <w:tcPr>
            <w:tcW w:w="1245" w:type="dxa"/>
            <w:tcBorders>
              <w:top w:val="nil"/>
              <w:left w:val="nil"/>
              <w:bottom w:val="nil"/>
              <w:right w:val="nil"/>
            </w:tcBorders>
            <w:shd w:val="clear" w:color="auto" w:fill="FFFFFF"/>
            <w:vAlign w:val="center"/>
          </w:tcPr>
          <w:p w14:paraId="3DD1DCDC">
            <w:pPr>
              <w:pStyle w:val="23"/>
              <w:keepNext w:val="0"/>
              <w:keepLines w:val="0"/>
              <w:suppressLineNumbers w:val="0"/>
              <w:spacing w:before="0" w:beforeAutospacing="0" w:after="0" w:afterAutospacing="0"/>
              <w:ind w:left="0" w:right="0"/>
              <w:rPr>
                <w:rFonts w:hint="default" w:cs="Times New Roman"/>
              </w:rPr>
            </w:pPr>
          </w:p>
        </w:tc>
        <w:tc>
          <w:tcPr>
            <w:tcW w:w="1225" w:type="dxa"/>
            <w:tcBorders>
              <w:top w:val="nil"/>
              <w:left w:val="nil"/>
              <w:bottom w:val="nil"/>
              <w:right w:val="nil"/>
            </w:tcBorders>
            <w:shd w:val="clear" w:color="auto" w:fill="FFFFFF"/>
            <w:vAlign w:val="center"/>
          </w:tcPr>
          <w:p w14:paraId="1849F4A5">
            <w:pPr>
              <w:pStyle w:val="23"/>
              <w:keepNext w:val="0"/>
              <w:keepLines w:val="0"/>
              <w:suppressLineNumbers w:val="0"/>
              <w:spacing w:before="0" w:beforeAutospacing="0" w:after="0" w:afterAutospacing="0"/>
              <w:ind w:left="0" w:right="0"/>
              <w:rPr>
                <w:rFonts w:hint="default" w:cs="Times New Roman"/>
              </w:rPr>
            </w:pPr>
          </w:p>
        </w:tc>
      </w:tr>
      <w:tr w14:paraId="7C127B7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nil"/>
              <w:left w:val="nil"/>
              <w:bottom w:val="nil"/>
              <w:right w:val="nil"/>
            </w:tcBorders>
            <w:shd w:val="clear" w:color="auto" w:fill="FFFFFF"/>
            <w:vAlign w:val="center"/>
          </w:tcPr>
          <w:p w14:paraId="50C2D07C">
            <w:pPr>
              <w:pStyle w:val="23"/>
              <w:keepNext w:val="0"/>
              <w:keepLines w:val="0"/>
              <w:suppressLineNumbers w:val="0"/>
              <w:spacing w:before="0" w:beforeAutospacing="0" w:after="0" w:afterAutospacing="0"/>
              <w:ind w:left="0" w:right="0"/>
              <w:rPr>
                <w:rFonts w:hint="default" w:cs="Times New Roman"/>
              </w:rPr>
            </w:pPr>
            <w:r>
              <w:rPr>
                <w:rFonts w:hint="eastAsia" w:cs="Times New Roman"/>
              </w:rPr>
              <w:t>1500km 以内或三小时以内的飞机出行,用高铁替代</w:t>
            </w:r>
          </w:p>
        </w:tc>
        <w:tc>
          <w:tcPr>
            <w:tcW w:w="1108" w:type="dxa"/>
            <w:tcBorders>
              <w:top w:val="nil"/>
              <w:left w:val="nil"/>
              <w:bottom w:val="nil"/>
              <w:right w:val="nil"/>
            </w:tcBorders>
            <w:shd w:val="clear" w:color="auto" w:fill="FFFFFF"/>
            <w:vAlign w:val="center"/>
          </w:tcPr>
          <w:p w14:paraId="3768741C">
            <w:pPr>
              <w:pStyle w:val="23"/>
              <w:keepNext w:val="0"/>
              <w:keepLines w:val="0"/>
              <w:suppressLineNumbers w:val="0"/>
              <w:spacing w:before="0" w:beforeAutospacing="0" w:after="0" w:afterAutospacing="0"/>
              <w:ind w:left="0" w:right="0"/>
              <w:rPr>
                <w:rFonts w:hint="default" w:cs="Times New Roman"/>
              </w:rPr>
            </w:pPr>
          </w:p>
        </w:tc>
        <w:tc>
          <w:tcPr>
            <w:tcW w:w="1245" w:type="dxa"/>
            <w:tcBorders>
              <w:top w:val="nil"/>
              <w:left w:val="nil"/>
              <w:bottom w:val="nil"/>
              <w:right w:val="nil"/>
            </w:tcBorders>
            <w:shd w:val="clear" w:color="auto" w:fill="FFFFFF"/>
            <w:vAlign w:val="center"/>
          </w:tcPr>
          <w:p w14:paraId="071A2843">
            <w:pPr>
              <w:pStyle w:val="23"/>
              <w:keepNext w:val="0"/>
              <w:keepLines w:val="0"/>
              <w:suppressLineNumbers w:val="0"/>
              <w:spacing w:before="0" w:beforeAutospacing="0" w:after="0" w:afterAutospacing="0"/>
              <w:ind w:left="0" w:right="0"/>
              <w:rPr>
                <w:rFonts w:hint="default" w:cs="Times New Roman"/>
              </w:rPr>
            </w:pPr>
          </w:p>
        </w:tc>
        <w:tc>
          <w:tcPr>
            <w:tcW w:w="1225" w:type="dxa"/>
            <w:tcBorders>
              <w:top w:val="nil"/>
              <w:left w:val="nil"/>
              <w:bottom w:val="nil"/>
              <w:right w:val="nil"/>
            </w:tcBorders>
            <w:shd w:val="clear" w:color="auto" w:fill="FFFFFF"/>
            <w:vAlign w:val="center"/>
          </w:tcPr>
          <w:p w14:paraId="7117A125">
            <w:pPr>
              <w:pStyle w:val="23"/>
              <w:keepNext w:val="0"/>
              <w:keepLines w:val="0"/>
              <w:suppressLineNumbers w:val="0"/>
              <w:spacing w:before="0" w:beforeAutospacing="0" w:after="0" w:afterAutospacing="0"/>
              <w:ind w:left="0" w:right="0"/>
              <w:rPr>
                <w:rFonts w:hint="default" w:cs="Times New Roman"/>
              </w:rPr>
            </w:pPr>
          </w:p>
        </w:tc>
      </w:tr>
      <w:tr w14:paraId="0117384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nil"/>
              <w:left w:val="nil"/>
              <w:bottom w:val="nil"/>
              <w:right w:val="nil"/>
            </w:tcBorders>
            <w:shd w:val="clear" w:color="auto" w:fill="FFFFFF"/>
            <w:vAlign w:val="center"/>
          </w:tcPr>
          <w:p w14:paraId="3BBE2AE0">
            <w:pPr>
              <w:pStyle w:val="23"/>
              <w:keepNext w:val="0"/>
              <w:keepLines w:val="0"/>
              <w:suppressLineNumbers w:val="0"/>
              <w:spacing w:before="0" w:beforeAutospacing="0" w:after="0" w:afterAutospacing="0"/>
              <w:ind w:left="0" w:right="0"/>
              <w:rPr>
                <w:rFonts w:hint="default" w:cs="Times New Roman"/>
              </w:rPr>
            </w:pPr>
            <w:r>
              <w:rPr>
                <w:rFonts w:hint="eastAsia" w:cs="Times New Roman"/>
              </w:rPr>
              <w:t>上下班从现有出行方式转变为电动汽车出行</w:t>
            </w:r>
          </w:p>
        </w:tc>
        <w:tc>
          <w:tcPr>
            <w:tcW w:w="1108" w:type="dxa"/>
            <w:tcBorders>
              <w:top w:val="nil"/>
              <w:left w:val="nil"/>
              <w:bottom w:val="nil"/>
              <w:right w:val="nil"/>
            </w:tcBorders>
            <w:shd w:val="clear" w:color="auto" w:fill="FFFFFF"/>
            <w:vAlign w:val="center"/>
          </w:tcPr>
          <w:p w14:paraId="74FE093D">
            <w:pPr>
              <w:pStyle w:val="23"/>
              <w:keepNext w:val="0"/>
              <w:keepLines w:val="0"/>
              <w:suppressLineNumbers w:val="0"/>
              <w:spacing w:before="0" w:beforeAutospacing="0" w:after="0" w:afterAutospacing="0"/>
              <w:ind w:left="0" w:right="0"/>
              <w:rPr>
                <w:rFonts w:hint="default" w:cs="Times New Roman"/>
              </w:rPr>
            </w:pPr>
          </w:p>
        </w:tc>
        <w:tc>
          <w:tcPr>
            <w:tcW w:w="1245" w:type="dxa"/>
            <w:tcBorders>
              <w:top w:val="nil"/>
              <w:left w:val="nil"/>
              <w:bottom w:val="nil"/>
              <w:right w:val="nil"/>
            </w:tcBorders>
            <w:shd w:val="clear" w:color="auto" w:fill="FFFFFF"/>
            <w:vAlign w:val="center"/>
          </w:tcPr>
          <w:p w14:paraId="2BC3707E">
            <w:pPr>
              <w:pStyle w:val="23"/>
              <w:keepNext w:val="0"/>
              <w:keepLines w:val="0"/>
              <w:suppressLineNumbers w:val="0"/>
              <w:spacing w:before="0" w:beforeAutospacing="0" w:after="0" w:afterAutospacing="0"/>
              <w:ind w:left="0" w:right="0"/>
              <w:rPr>
                <w:rFonts w:hint="default" w:cs="Times New Roman"/>
              </w:rPr>
            </w:pPr>
          </w:p>
        </w:tc>
        <w:tc>
          <w:tcPr>
            <w:tcW w:w="1225" w:type="dxa"/>
            <w:tcBorders>
              <w:top w:val="nil"/>
              <w:left w:val="nil"/>
              <w:bottom w:val="nil"/>
              <w:right w:val="nil"/>
            </w:tcBorders>
            <w:shd w:val="clear" w:color="auto" w:fill="FFFFFF"/>
            <w:vAlign w:val="center"/>
          </w:tcPr>
          <w:p w14:paraId="0D5F6B42">
            <w:pPr>
              <w:pStyle w:val="23"/>
              <w:keepNext w:val="0"/>
              <w:keepLines w:val="0"/>
              <w:suppressLineNumbers w:val="0"/>
              <w:spacing w:before="0" w:beforeAutospacing="0" w:after="0" w:afterAutospacing="0"/>
              <w:ind w:left="0" w:right="0"/>
              <w:rPr>
                <w:rFonts w:hint="default" w:cs="Times New Roman"/>
              </w:rPr>
            </w:pPr>
          </w:p>
        </w:tc>
      </w:tr>
      <w:tr w14:paraId="302CA83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nil"/>
              <w:left w:val="nil"/>
              <w:bottom w:val="nil"/>
              <w:right w:val="nil"/>
            </w:tcBorders>
            <w:shd w:val="clear" w:color="auto" w:fill="FFFFFF"/>
            <w:vAlign w:val="center"/>
          </w:tcPr>
          <w:p w14:paraId="50B39D1F">
            <w:pPr>
              <w:pStyle w:val="23"/>
              <w:keepNext w:val="0"/>
              <w:keepLines w:val="0"/>
              <w:suppressLineNumbers w:val="0"/>
              <w:spacing w:before="0" w:beforeAutospacing="0" w:after="0" w:afterAutospacing="0"/>
              <w:ind w:left="0" w:right="0"/>
              <w:rPr>
                <w:rFonts w:hint="default" w:cs="Times New Roman"/>
              </w:rPr>
            </w:pPr>
            <w:r>
              <w:rPr>
                <w:rFonts w:hint="eastAsia" w:cs="Times New Roman"/>
              </w:rPr>
              <w:t>用豆腐代替一半的肉</w:t>
            </w:r>
          </w:p>
        </w:tc>
        <w:tc>
          <w:tcPr>
            <w:tcW w:w="1108" w:type="dxa"/>
            <w:tcBorders>
              <w:top w:val="nil"/>
              <w:left w:val="nil"/>
              <w:bottom w:val="nil"/>
              <w:right w:val="nil"/>
            </w:tcBorders>
            <w:shd w:val="clear" w:color="auto" w:fill="FFFFFF"/>
            <w:vAlign w:val="center"/>
          </w:tcPr>
          <w:p w14:paraId="35BFCF3E">
            <w:pPr>
              <w:pStyle w:val="23"/>
              <w:keepNext w:val="0"/>
              <w:keepLines w:val="0"/>
              <w:suppressLineNumbers w:val="0"/>
              <w:spacing w:before="0" w:beforeAutospacing="0" w:after="0" w:afterAutospacing="0"/>
              <w:ind w:left="0" w:right="0"/>
              <w:rPr>
                <w:rFonts w:hint="default" w:cs="Times New Roman"/>
              </w:rPr>
            </w:pPr>
          </w:p>
        </w:tc>
        <w:tc>
          <w:tcPr>
            <w:tcW w:w="1245" w:type="dxa"/>
            <w:tcBorders>
              <w:top w:val="nil"/>
              <w:left w:val="nil"/>
              <w:bottom w:val="nil"/>
              <w:right w:val="nil"/>
            </w:tcBorders>
            <w:shd w:val="clear" w:color="auto" w:fill="FFFFFF"/>
            <w:vAlign w:val="center"/>
          </w:tcPr>
          <w:p w14:paraId="30C6E487">
            <w:pPr>
              <w:pStyle w:val="23"/>
              <w:keepNext w:val="0"/>
              <w:keepLines w:val="0"/>
              <w:suppressLineNumbers w:val="0"/>
              <w:spacing w:before="0" w:beforeAutospacing="0" w:after="0" w:afterAutospacing="0"/>
              <w:ind w:left="0" w:right="0"/>
              <w:rPr>
                <w:rFonts w:hint="default" w:cs="Times New Roman"/>
              </w:rPr>
            </w:pPr>
          </w:p>
        </w:tc>
        <w:tc>
          <w:tcPr>
            <w:tcW w:w="1225" w:type="dxa"/>
            <w:tcBorders>
              <w:top w:val="nil"/>
              <w:left w:val="nil"/>
              <w:bottom w:val="nil"/>
              <w:right w:val="nil"/>
            </w:tcBorders>
            <w:shd w:val="clear" w:color="auto" w:fill="FFFFFF"/>
            <w:vAlign w:val="center"/>
          </w:tcPr>
          <w:p w14:paraId="19C9C13A">
            <w:pPr>
              <w:pStyle w:val="23"/>
              <w:keepNext w:val="0"/>
              <w:keepLines w:val="0"/>
              <w:suppressLineNumbers w:val="0"/>
              <w:spacing w:before="0" w:beforeAutospacing="0" w:after="0" w:afterAutospacing="0"/>
              <w:ind w:left="0" w:right="0"/>
              <w:rPr>
                <w:rFonts w:hint="default" w:cs="Times New Roman"/>
              </w:rPr>
            </w:pPr>
          </w:p>
        </w:tc>
      </w:tr>
      <w:tr w14:paraId="3BFB513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nil"/>
              <w:left w:val="nil"/>
              <w:bottom w:val="nil"/>
              <w:right w:val="nil"/>
            </w:tcBorders>
            <w:shd w:val="clear" w:color="auto" w:fill="FFFFFF"/>
            <w:vAlign w:val="center"/>
          </w:tcPr>
          <w:p w14:paraId="09F74C63">
            <w:pPr>
              <w:pStyle w:val="23"/>
              <w:keepNext w:val="0"/>
              <w:keepLines w:val="0"/>
              <w:suppressLineNumbers w:val="0"/>
              <w:spacing w:before="0" w:beforeAutospacing="0" w:after="0" w:afterAutospacing="0"/>
              <w:ind w:left="0" w:right="0"/>
              <w:rPr>
                <w:rFonts w:hint="default" w:cs="Times New Roman"/>
              </w:rPr>
            </w:pPr>
            <w:r>
              <w:rPr>
                <w:rFonts w:hint="eastAsia" w:cs="Times New Roman"/>
              </w:rPr>
              <w:t>减少外卖中一半的一次性餐具使用</w:t>
            </w:r>
          </w:p>
        </w:tc>
        <w:tc>
          <w:tcPr>
            <w:tcW w:w="1108" w:type="dxa"/>
            <w:tcBorders>
              <w:top w:val="nil"/>
              <w:left w:val="nil"/>
              <w:bottom w:val="nil"/>
              <w:right w:val="nil"/>
            </w:tcBorders>
            <w:shd w:val="clear" w:color="auto" w:fill="FFFFFF"/>
            <w:vAlign w:val="center"/>
          </w:tcPr>
          <w:p w14:paraId="258605D9">
            <w:pPr>
              <w:pStyle w:val="23"/>
              <w:keepNext w:val="0"/>
              <w:keepLines w:val="0"/>
              <w:suppressLineNumbers w:val="0"/>
              <w:spacing w:before="0" w:beforeAutospacing="0" w:after="0" w:afterAutospacing="0"/>
              <w:ind w:left="0" w:right="0"/>
              <w:rPr>
                <w:rFonts w:hint="default" w:cs="Times New Roman"/>
              </w:rPr>
            </w:pPr>
          </w:p>
        </w:tc>
        <w:tc>
          <w:tcPr>
            <w:tcW w:w="1245" w:type="dxa"/>
            <w:tcBorders>
              <w:top w:val="nil"/>
              <w:left w:val="nil"/>
              <w:bottom w:val="nil"/>
              <w:right w:val="nil"/>
            </w:tcBorders>
            <w:shd w:val="clear" w:color="auto" w:fill="FFFFFF"/>
            <w:vAlign w:val="center"/>
          </w:tcPr>
          <w:p w14:paraId="4269A7F1">
            <w:pPr>
              <w:pStyle w:val="23"/>
              <w:keepNext w:val="0"/>
              <w:keepLines w:val="0"/>
              <w:suppressLineNumbers w:val="0"/>
              <w:spacing w:before="0" w:beforeAutospacing="0" w:after="0" w:afterAutospacing="0"/>
              <w:ind w:left="0" w:right="0"/>
              <w:rPr>
                <w:rFonts w:hint="default" w:cs="Times New Roman"/>
              </w:rPr>
            </w:pPr>
          </w:p>
        </w:tc>
        <w:tc>
          <w:tcPr>
            <w:tcW w:w="1225" w:type="dxa"/>
            <w:tcBorders>
              <w:top w:val="nil"/>
              <w:left w:val="nil"/>
              <w:bottom w:val="nil"/>
              <w:right w:val="nil"/>
            </w:tcBorders>
            <w:shd w:val="clear" w:color="auto" w:fill="FFFFFF"/>
            <w:vAlign w:val="center"/>
          </w:tcPr>
          <w:p w14:paraId="28136EFA">
            <w:pPr>
              <w:pStyle w:val="23"/>
              <w:keepNext w:val="0"/>
              <w:keepLines w:val="0"/>
              <w:suppressLineNumbers w:val="0"/>
              <w:spacing w:before="0" w:beforeAutospacing="0" w:after="0" w:afterAutospacing="0"/>
              <w:ind w:left="0" w:right="0"/>
              <w:rPr>
                <w:rFonts w:hint="default" w:cs="Times New Roman"/>
              </w:rPr>
            </w:pPr>
          </w:p>
        </w:tc>
      </w:tr>
      <w:tr w14:paraId="097844A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nil"/>
              <w:left w:val="nil"/>
              <w:bottom w:val="nil"/>
              <w:right w:val="nil"/>
            </w:tcBorders>
            <w:shd w:val="clear" w:color="auto" w:fill="FFFFFF"/>
            <w:vAlign w:val="center"/>
          </w:tcPr>
          <w:p w14:paraId="0E95B748">
            <w:pPr>
              <w:pStyle w:val="23"/>
              <w:keepNext w:val="0"/>
              <w:keepLines w:val="0"/>
              <w:suppressLineNumbers w:val="0"/>
              <w:spacing w:before="0" w:beforeAutospacing="0" w:after="0" w:afterAutospacing="0"/>
              <w:ind w:left="0" w:right="0"/>
              <w:rPr>
                <w:rFonts w:hint="default" w:cs="Times New Roman"/>
              </w:rPr>
            </w:pPr>
            <w:r>
              <w:rPr>
                <w:rFonts w:hint="eastAsia" w:cs="Times New Roman"/>
              </w:rPr>
              <w:t>将最便宜的空调更换为一级能效(最节能)的空调</w:t>
            </w:r>
          </w:p>
        </w:tc>
        <w:tc>
          <w:tcPr>
            <w:tcW w:w="1108" w:type="dxa"/>
            <w:tcBorders>
              <w:top w:val="nil"/>
              <w:left w:val="nil"/>
              <w:bottom w:val="nil"/>
              <w:right w:val="nil"/>
            </w:tcBorders>
            <w:shd w:val="clear" w:color="auto" w:fill="FFFFFF"/>
            <w:vAlign w:val="center"/>
          </w:tcPr>
          <w:p w14:paraId="44194C1C">
            <w:pPr>
              <w:pStyle w:val="23"/>
              <w:keepNext w:val="0"/>
              <w:keepLines w:val="0"/>
              <w:suppressLineNumbers w:val="0"/>
              <w:spacing w:before="0" w:beforeAutospacing="0" w:after="0" w:afterAutospacing="0"/>
              <w:ind w:left="0" w:right="0"/>
              <w:rPr>
                <w:rFonts w:hint="default" w:cs="Times New Roman"/>
              </w:rPr>
            </w:pPr>
          </w:p>
        </w:tc>
        <w:tc>
          <w:tcPr>
            <w:tcW w:w="1245" w:type="dxa"/>
            <w:tcBorders>
              <w:top w:val="nil"/>
              <w:left w:val="nil"/>
              <w:bottom w:val="nil"/>
              <w:right w:val="nil"/>
            </w:tcBorders>
            <w:shd w:val="clear" w:color="auto" w:fill="FFFFFF"/>
            <w:vAlign w:val="center"/>
          </w:tcPr>
          <w:p w14:paraId="4E7644E7">
            <w:pPr>
              <w:pStyle w:val="23"/>
              <w:keepNext w:val="0"/>
              <w:keepLines w:val="0"/>
              <w:suppressLineNumbers w:val="0"/>
              <w:spacing w:before="0" w:beforeAutospacing="0" w:after="0" w:afterAutospacing="0"/>
              <w:ind w:left="0" w:right="0"/>
              <w:rPr>
                <w:rFonts w:hint="default" w:cs="Times New Roman"/>
              </w:rPr>
            </w:pPr>
          </w:p>
        </w:tc>
        <w:tc>
          <w:tcPr>
            <w:tcW w:w="1225" w:type="dxa"/>
            <w:tcBorders>
              <w:top w:val="nil"/>
              <w:left w:val="nil"/>
              <w:bottom w:val="nil"/>
              <w:right w:val="nil"/>
            </w:tcBorders>
            <w:shd w:val="clear" w:color="auto" w:fill="FFFFFF"/>
            <w:vAlign w:val="center"/>
          </w:tcPr>
          <w:p w14:paraId="11316672">
            <w:pPr>
              <w:pStyle w:val="23"/>
              <w:keepNext w:val="0"/>
              <w:keepLines w:val="0"/>
              <w:suppressLineNumbers w:val="0"/>
              <w:spacing w:before="0" w:beforeAutospacing="0" w:after="0" w:afterAutospacing="0"/>
              <w:ind w:left="0" w:right="0"/>
              <w:rPr>
                <w:rFonts w:hint="default" w:cs="Times New Roman"/>
              </w:rPr>
            </w:pPr>
          </w:p>
        </w:tc>
      </w:tr>
      <w:tr w14:paraId="067CD3F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nil"/>
              <w:left w:val="nil"/>
              <w:bottom w:val="nil"/>
              <w:right w:val="nil"/>
            </w:tcBorders>
            <w:shd w:val="clear" w:color="auto" w:fill="FFFFFF"/>
            <w:vAlign w:val="center"/>
          </w:tcPr>
          <w:p w14:paraId="7234211D">
            <w:pPr>
              <w:pStyle w:val="23"/>
              <w:keepNext w:val="0"/>
              <w:keepLines w:val="0"/>
              <w:suppressLineNumbers w:val="0"/>
              <w:spacing w:before="0" w:beforeAutospacing="0" w:after="0" w:afterAutospacing="0"/>
              <w:ind w:left="0" w:right="0"/>
              <w:rPr>
                <w:rFonts w:hint="default" w:cs="Times New Roman"/>
              </w:rPr>
            </w:pPr>
            <w:r>
              <w:rPr>
                <w:rFonts w:hint="eastAsia" w:cs="Times New Roman"/>
              </w:rPr>
              <w:t>每次扔家庭垃圾都分类回收</w:t>
            </w:r>
          </w:p>
        </w:tc>
        <w:tc>
          <w:tcPr>
            <w:tcW w:w="1108" w:type="dxa"/>
            <w:tcBorders>
              <w:top w:val="nil"/>
              <w:left w:val="nil"/>
              <w:bottom w:val="nil"/>
              <w:right w:val="nil"/>
            </w:tcBorders>
            <w:shd w:val="clear" w:color="auto" w:fill="FFFFFF"/>
            <w:vAlign w:val="center"/>
          </w:tcPr>
          <w:p w14:paraId="05CA9614">
            <w:pPr>
              <w:pStyle w:val="23"/>
              <w:keepNext w:val="0"/>
              <w:keepLines w:val="0"/>
              <w:suppressLineNumbers w:val="0"/>
              <w:spacing w:before="0" w:beforeAutospacing="0" w:after="0" w:afterAutospacing="0"/>
              <w:ind w:left="0" w:right="0"/>
              <w:rPr>
                <w:rFonts w:hint="default" w:cs="Times New Roman"/>
              </w:rPr>
            </w:pPr>
          </w:p>
        </w:tc>
        <w:tc>
          <w:tcPr>
            <w:tcW w:w="1245" w:type="dxa"/>
            <w:tcBorders>
              <w:top w:val="nil"/>
              <w:left w:val="nil"/>
              <w:bottom w:val="nil"/>
              <w:right w:val="nil"/>
            </w:tcBorders>
            <w:shd w:val="clear" w:color="auto" w:fill="FFFFFF"/>
            <w:vAlign w:val="center"/>
          </w:tcPr>
          <w:p w14:paraId="7BFF5B0D">
            <w:pPr>
              <w:pStyle w:val="23"/>
              <w:keepNext w:val="0"/>
              <w:keepLines w:val="0"/>
              <w:suppressLineNumbers w:val="0"/>
              <w:spacing w:before="0" w:beforeAutospacing="0" w:after="0" w:afterAutospacing="0"/>
              <w:ind w:left="0" w:right="0"/>
              <w:rPr>
                <w:rFonts w:hint="default" w:cs="Times New Roman"/>
              </w:rPr>
            </w:pPr>
          </w:p>
        </w:tc>
        <w:tc>
          <w:tcPr>
            <w:tcW w:w="1225" w:type="dxa"/>
            <w:tcBorders>
              <w:top w:val="nil"/>
              <w:left w:val="nil"/>
              <w:bottom w:val="nil"/>
              <w:right w:val="nil"/>
            </w:tcBorders>
            <w:shd w:val="clear" w:color="auto" w:fill="FFFFFF"/>
            <w:vAlign w:val="center"/>
          </w:tcPr>
          <w:p w14:paraId="5D117FC3">
            <w:pPr>
              <w:pStyle w:val="23"/>
              <w:keepNext w:val="0"/>
              <w:keepLines w:val="0"/>
              <w:suppressLineNumbers w:val="0"/>
              <w:spacing w:before="0" w:beforeAutospacing="0" w:after="0" w:afterAutospacing="0"/>
              <w:ind w:left="0" w:right="0"/>
              <w:rPr>
                <w:rFonts w:hint="default" w:cs="Times New Roman"/>
              </w:rPr>
            </w:pPr>
          </w:p>
        </w:tc>
      </w:tr>
      <w:tr w14:paraId="3272594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5278" w:type="dxa"/>
            <w:tcBorders>
              <w:top w:val="nil"/>
              <w:left w:val="nil"/>
              <w:bottom w:val="single" w:color="000000" w:sz="12" w:space="0"/>
              <w:right w:val="nil"/>
            </w:tcBorders>
            <w:shd w:val="clear" w:color="auto" w:fill="FFFFFF"/>
            <w:vAlign w:val="center"/>
          </w:tcPr>
          <w:p w14:paraId="43337407">
            <w:pPr>
              <w:pStyle w:val="23"/>
              <w:keepNext w:val="0"/>
              <w:keepLines w:val="0"/>
              <w:suppressLineNumbers w:val="0"/>
              <w:spacing w:before="0" w:beforeAutospacing="0" w:after="0" w:afterAutospacing="0"/>
              <w:ind w:left="0" w:right="0"/>
              <w:rPr>
                <w:rFonts w:hint="default" w:cs="Times New Roman"/>
              </w:rPr>
            </w:pPr>
            <w:r>
              <w:rPr>
                <w:rFonts w:hint="eastAsia" w:cs="Times New Roman"/>
              </w:rPr>
              <w:t>1500km 以内或三小时以内的飞机出行,用高铁替代</w:t>
            </w:r>
          </w:p>
        </w:tc>
        <w:tc>
          <w:tcPr>
            <w:tcW w:w="1108" w:type="dxa"/>
            <w:tcBorders>
              <w:top w:val="nil"/>
              <w:left w:val="nil"/>
              <w:bottom w:val="single" w:color="000000" w:sz="12" w:space="0"/>
              <w:right w:val="nil"/>
            </w:tcBorders>
            <w:shd w:val="clear" w:color="auto" w:fill="FFFFFF"/>
            <w:vAlign w:val="center"/>
          </w:tcPr>
          <w:p w14:paraId="444E7D4B">
            <w:pPr>
              <w:pStyle w:val="23"/>
              <w:keepNext w:val="0"/>
              <w:keepLines w:val="0"/>
              <w:suppressLineNumbers w:val="0"/>
              <w:spacing w:before="0" w:beforeAutospacing="0" w:after="0" w:afterAutospacing="0"/>
              <w:ind w:left="0" w:right="0"/>
              <w:rPr>
                <w:rFonts w:hint="default" w:cs="Times New Roman"/>
              </w:rPr>
            </w:pPr>
          </w:p>
        </w:tc>
        <w:tc>
          <w:tcPr>
            <w:tcW w:w="1245" w:type="dxa"/>
            <w:tcBorders>
              <w:top w:val="nil"/>
              <w:left w:val="nil"/>
              <w:bottom w:val="single" w:color="000000" w:sz="12" w:space="0"/>
              <w:right w:val="nil"/>
            </w:tcBorders>
            <w:shd w:val="clear" w:color="auto" w:fill="FFFFFF"/>
            <w:vAlign w:val="center"/>
          </w:tcPr>
          <w:p w14:paraId="4633345D">
            <w:pPr>
              <w:pStyle w:val="23"/>
              <w:keepNext w:val="0"/>
              <w:keepLines w:val="0"/>
              <w:suppressLineNumbers w:val="0"/>
              <w:spacing w:before="0" w:beforeAutospacing="0" w:after="0" w:afterAutospacing="0"/>
              <w:ind w:left="0" w:right="0"/>
              <w:rPr>
                <w:rFonts w:hint="default" w:cs="Times New Roman"/>
              </w:rPr>
            </w:pPr>
          </w:p>
        </w:tc>
        <w:tc>
          <w:tcPr>
            <w:tcW w:w="1225" w:type="dxa"/>
            <w:tcBorders>
              <w:top w:val="nil"/>
              <w:left w:val="nil"/>
              <w:bottom w:val="single" w:color="000000" w:sz="12" w:space="0"/>
              <w:right w:val="nil"/>
            </w:tcBorders>
            <w:shd w:val="clear" w:color="auto" w:fill="FFFFFF"/>
            <w:vAlign w:val="center"/>
          </w:tcPr>
          <w:p w14:paraId="3CA0CBDB">
            <w:pPr>
              <w:pStyle w:val="23"/>
              <w:keepNext w:val="0"/>
              <w:keepLines w:val="0"/>
              <w:suppressLineNumbers w:val="0"/>
              <w:spacing w:before="0" w:beforeAutospacing="0" w:after="0" w:afterAutospacing="0"/>
              <w:ind w:left="0" w:right="0"/>
              <w:rPr>
                <w:rFonts w:hint="default" w:cs="Times New Roman"/>
              </w:rPr>
            </w:pPr>
          </w:p>
        </w:tc>
      </w:tr>
    </w:tbl>
    <w:p w14:paraId="60E91CD6">
      <w:pPr>
        <w:ind w:firstLine="480"/>
        <w:rPr>
          <w:rFonts w:hint="eastAsia" w:cs="Times New Roman"/>
          <w:lang w:val="en-US" w:eastAsia="zh-CN"/>
        </w:rPr>
      </w:pPr>
      <w:r>
        <w:rPr>
          <w:rFonts w:hint="eastAsia" w:cs="Times New Roman"/>
          <w:lang w:val="en-US" w:eastAsia="zh-CN"/>
        </w:rPr>
        <w:t>具体呈现形式：</w:t>
      </w:r>
    </w:p>
    <w:p w14:paraId="1F577C97">
      <w:pPr>
        <w:numPr>
          <w:ilvl w:val="0"/>
          <w:numId w:val="0"/>
        </w:numPr>
        <w:spacing w:line="360" w:lineRule="auto"/>
        <w:rPr>
          <w:rFonts w:hint="default" w:cs="Times New Roman"/>
          <w:lang w:val="en-US" w:eastAsia="zh-CN"/>
        </w:rPr>
      </w:pPr>
      <w:r>
        <w:drawing>
          <wp:inline distT="0" distB="0" distL="114300" distR="114300">
            <wp:extent cx="5060315" cy="4445000"/>
            <wp:effectExtent l="0" t="0" r="6985" b="317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68"/>
                    <a:srcRect l="55990"/>
                    <a:stretch>
                      <a:fillRect/>
                    </a:stretch>
                  </pic:blipFill>
                  <pic:spPr>
                    <a:xfrm>
                      <a:off x="0" y="0"/>
                      <a:ext cx="5060315" cy="4445000"/>
                    </a:xfrm>
                    <a:prstGeom prst="rect">
                      <a:avLst/>
                    </a:prstGeom>
                    <a:noFill/>
                    <a:ln>
                      <a:noFill/>
                    </a:ln>
                  </pic:spPr>
                </pic:pic>
              </a:graphicData>
            </a:graphic>
          </wp:inline>
        </w:drawing>
      </w:r>
    </w:p>
    <w:p w14:paraId="508AA890">
      <w:pPr>
        <w:ind w:firstLine="480"/>
        <w:rPr>
          <w:rFonts w:hint="default" w:cs="Times New Roman"/>
          <w:lang w:val="en-US" w:eastAsia="zh-CN"/>
        </w:rPr>
      </w:pPr>
    </w:p>
    <w:p w14:paraId="1A50975C">
      <w:pPr>
        <w:spacing w:line="360" w:lineRule="auto"/>
        <w:ind w:firstLine="480"/>
        <w:rPr>
          <w:rFonts w:cs="Times New Roman"/>
        </w:rPr>
      </w:pPr>
      <w:r>
        <w:rPr>
          <w:rFonts w:eastAsia="PMingLiU" w:cs="Times New Roman"/>
        </w:rPr>
        <w:t>请根据您的实际生活习惯，对以下行为的执行频率进行评分：</w:t>
      </w:r>
      <w:r>
        <w:rPr>
          <w:rFonts w:eastAsia="Times New Roman" w:cs="Times New Roman"/>
        </w:rPr>
        <w:t>[</w:t>
      </w:r>
      <w:r>
        <w:rPr>
          <w:rFonts w:eastAsia="PMingLiU" w:cs="Times New Roman"/>
        </w:rPr>
        <w:t>矩阵单选题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3995"/>
        <w:gridCol w:w="1016"/>
        <w:gridCol w:w="1050"/>
        <w:gridCol w:w="1034"/>
        <w:gridCol w:w="1016"/>
        <w:gridCol w:w="745"/>
      </w:tblGrid>
      <w:tr w14:paraId="7ECD221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3995" w:type="dxa"/>
            <w:tcBorders>
              <w:top w:val="single" w:color="000000" w:sz="12" w:space="0"/>
              <w:left w:val="nil"/>
              <w:bottom w:val="single" w:color="000000" w:sz="4" w:space="0"/>
              <w:right w:val="nil"/>
              <w:tl2br w:val="nil"/>
            </w:tcBorders>
            <w:shd w:val="clear" w:color="auto" w:fill="FFFFFF"/>
            <w:vAlign w:val="center"/>
          </w:tcPr>
          <w:p w14:paraId="0B44566C">
            <w:pPr>
              <w:pStyle w:val="23"/>
              <w:keepNext w:val="0"/>
              <w:keepLines w:val="0"/>
              <w:suppressLineNumbers w:val="0"/>
              <w:spacing w:before="0" w:beforeAutospacing="0" w:after="0" w:afterAutospacing="0"/>
              <w:ind w:left="0" w:right="0"/>
              <w:rPr>
                <w:rFonts w:hint="default" w:cs="Times New Roman"/>
              </w:rPr>
            </w:pPr>
          </w:p>
        </w:tc>
        <w:tc>
          <w:tcPr>
            <w:tcW w:w="1016" w:type="dxa"/>
            <w:tcBorders>
              <w:top w:val="single" w:color="000000" w:sz="12" w:space="0"/>
              <w:left w:val="nil"/>
              <w:bottom w:val="single" w:color="000000" w:sz="4" w:space="0"/>
              <w:right w:val="nil"/>
            </w:tcBorders>
            <w:shd w:val="clear" w:color="auto" w:fill="FFFFFF"/>
            <w:vAlign w:val="center"/>
          </w:tcPr>
          <w:p w14:paraId="34001743">
            <w:pPr>
              <w:pStyle w:val="23"/>
              <w:keepNext w:val="0"/>
              <w:keepLines w:val="0"/>
              <w:suppressLineNumbers w:val="0"/>
              <w:spacing w:before="0" w:beforeAutospacing="0" w:after="0" w:afterAutospacing="0"/>
              <w:ind w:left="0" w:right="0"/>
              <w:rPr>
                <w:rFonts w:hint="default" w:cs="Times New Roman"/>
              </w:rPr>
            </w:pPr>
            <w:r>
              <w:rPr>
                <w:rFonts w:hint="eastAsia" w:cs="Times New Roman"/>
              </w:rPr>
              <w:t>从不</w:t>
            </w:r>
          </w:p>
        </w:tc>
        <w:tc>
          <w:tcPr>
            <w:tcW w:w="1050" w:type="dxa"/>
            <w:tcBorders>
              <w:top w:val="single" w:color="000000" w:sz="12" w:space="0"/>
              <w:left w:val="nil"/>
              <w:bottom w:val="single" w:color="000000" w:sz="4" w:space="0"/>
              <w:right w:val="nil"/>
            </w:tcBorders>
            <w:shd w:val="clear" w:color="auto" w:fill="FFFFFF"/>
            <w:vAlign w:val="center"/>
          </w:tcPr>
          <w:p w14:paraId="50ABEBF3">
            <w:pPr>
              <w:pStyle w:val="23"/>
              <w:keepNext w:val="0"/>
              <w:keepLines w:val="0"/>
              <w:suppressLineNumbers w:val="0"/>
              <w:spacing w:before="0" w:beforeAutospacing="0" w:after="0" w:afterAutospacing="0"/>
              <w:ind w:left="0" w:right="0"/>
              <w:rPr>
                <w:rFonts w:hint="default" w:cs="Times New Roman"/>
              </w:rPr>
            </w:pPr>
            <w:r>
              <w:rPr>
                <w:rFonts w:hint="eastAsia" w:cs="Times New Roman"/>
              </w:rPr>
              <w:t>很少</w:t>
            </w:r>
          </w:p>
        </w:tc>
        <w:tc>
          <w:tcPr>
            <w:tcW w:w="1034" w:type="dxa"/>
            <w:tcBorders>
              <w:top w:val="single" w:color="000000" w:sz="12" w:space="0"/>
              <w:left w:val="nil"/>
              <w:bottom w:val="single" w:color="000000" w:sz="4" w:space="0"/>
              <w:right w:val="nil"/>
            </w:tcBorders>
            <w:shd w:val="clear" w:color="auto" w:fill="FFFFFF"/>
            <w:vAlign w:val="center"/>
          </w:tcPr>
          <w:p w14:paraId="2408B78D">
            <w:pPr>
              <w:pStyle w:val="23"/>
              <w:keepNext w:val="0"/>
              <w:keepLines w:val="0"/>
              <w:suppressLineNumbers w:val="0"/>
              <w:spacing w:before="0" w:beforeAutospacing="0" w:after="0" w:afterAutospacing="0"/>
              <w:ind w:left="0" w:right="0"/>
              <w:rPr>
                <w:rFonts w:hint="default" w:cs="Times New Roman"/>
              </w:rPr>
            </w:pPr>
            <w:r>
              <w:rPr>
                <w:rFonts w:hint="eastAsia" w:cs="Times New Roman"/>
              </w:rPr>
              <w:t>有时</w:t>
            </w:r>
          </w:p>
        </w:tc>
        <w:tc>
          <w:tcPr>
            <w:tcW w:w="1016" w:type="dxa"/>
            <w:tcBorders>
              <w:top w:val="single" w:color="000000" w:sz="12" w:space="0"/>
              <w:left w:val="nil"/>
              <w:bottom w:val="single" w:color="000000" w:sz="4" w:space="0"/>
              <w:right w:val="nil"/>
            </w:tcBorders>
            <w:shd w:val="clear" w:color="auto" w:fill="FFFFFF"/>
            <w:vAlign w:val="center"/>
          </w:tcPr>
          <w:p w14:paraId="76161972">
            <w:pPr>
              <w:pStyle w:val="23"/>
              <w:keepNext w:val="0"/>
              <w:keepLines w:val="0"/>
              <w:suppressLineNumbers w:val="0"/>
              <w:spacing w:before="0" w:beforeAutospacing="0" w:after="0" w:afterAutospacing="0"/>
              <w:ind w:left="0" w:right="0"/>
              <w:rPr>
                <w:rFonts w:hint="default" w:cs="Times New Roman"/>
              </w:rPr>
            </w:pPr>
            <w:r>
              <w:rPr>
                <w:rFonts w:hint="eastAsia" w:cs="Times New Roman"/>
              </w:rPr>
              <w:t>经常</w:t>
            </w:r>
          </w:p>
        </w:tc>
        <w:tc>
          <w:tcPr>
            <w:tcW w:w="745" w:type="dxa"/>
            <w:tcBorders>
              <w:top w:val="single" w:color="000000" w:sz="12" w:space="0"/>
              <w:left w:val="nil"/>
              <w:bottom w:val="single" w:color="000000" w:sz="4" w:space="0"/>
              <w:right w:val="nil"/>
            </w:tcBorders>
            <w:shd w:val="clear" w:color="auto" w:fill="FFFFFF"/>
            <w:vAlign w:val="center"/>
          </w:tcPr>
          <w:p w14:paraId="573083CB">
            <w:pPr>
              <w:pStyle w:val="23"/>
              <w:keepNext w:val="0"/>
              <w:keepLines w:val="0"/>
              <w:suppressLineNumbers w:val="0"/>
              <w:spacing w:before="0" w:beforeAutospacing="0" w:after="0" w:afterAutospacing="0"/>
              <w:ind w:left="0" w:right="0"/>
              <w:rPr>
                <w:rFonts w:hint="default" w:cs="Times New Roman"/>
              </w:rPr>
            </w:pPr>
            <w:r>
              <w:rPr>
                <w:rFonts w:hint="eastAsia" w:cs="Times New Roman"/>
              </w:rPr>
              <w:t>总是</w:t>
            </w:r>
          </w:p>
        </w:tc>
      </w:tr>
      <w:tr w14:paraId="073D126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3995" w:type="dxa"/>
            <w:tcBorders>
              <w:top w:val="single" w:color="000000" w:sz="4" w:space="0"/>
              <w:left w:val="nil"/>
              <w:bottom w:val="nil"/>
              <w:right w:val="nil"/>
            </w:tcBorders>
            <w:shd w:val="clear" w:color="auto" w:fill="FFFFFF"/>
            <w:vAlign w:val="center"/>
          </w:tcPr>
          <w:p w14:paraId="2070A564">
            <w:pPr>
              <w:pStyle w:val="23"/>
              <w:keepNext w:val="0"/>
              <w:keepLines w:val="0"/>
              <w:suppressLineNumbers w:val="0"/>
              <w:spacing w:before="0" w:beforeAutospacing="0" w:after="0" w:afterAutospacing="0"/>
              <w:ind w:left="0" w:right="0"/>
              <w:rPr>
                <w:rFonts w:hint="default" w:cs="Times New Roman"/>
              </w:rPr>
            </w:pPr>
            <w:r>
              <w:rPr>
                <w:rFonts w:hint="eastAsia" w:cs="Times New Roman"/>
              </w:rPr>
              <w:t>减少外卖中一半的一次性餐具使用</w:t>
            </w:r>
          </w:p>
        </w:tc>
        <w:tc>
          <w:tcPr>
            <w:tcW w:w="1016" w:type="dxa"/>
            <w:tcBorders>
              <w:top w:val="single" w:color="000000" w:sz="4" w:space="0"/>
              <w:left w:val="nil"/>
              <w:bottom w:val="nil"/>
              <w:right w:val="nil"/>
            </w:tcBorders>
            <w:shd w:val="clear" w:color="auto" w:fill="FFFFFF"/>
            <w:vAlign w:val="center"/>
          </w:tcPr>
          <w:p w14:paraId="60FA4F1D">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50" w:type="dxa"/>
            <w:tcBorders>
              <w:top w:val="single" w:color="000000" w:sz="4" w:space="0"/>
              <w:left w:val="nil"/>
              <w:bottom w:val="nil"/>
              <w:right w:val="nil"/>
            </w:tcBorders>
            <w:shd w:val="clear" w:color="auto" w:fill="FFFFFF"/>
            <w:vAlign w:val="center"/>
          </w:tcPr>
          <w:p w14:paraId="2A449161">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34" w:type="dxa"/>
            <w:tcBorders>
              <w:top w:val="single" w:color="000000" w:sz="4" w:space="0"/>
              <w:left w:val="nil"/>
              <w:bottom w:val="nil"/>
              <w:right w:val="nil"/>
            </w:tcBorders>
            <w:shd w:val="clear" w:color="auto" w:fill="FFFFFF"/>
            <w:vAlign w:val="center"/>
          </w:tcPr>
          <w:p w14:paraId="0B2BAFF3">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16" w:type="dxa"/>
            <w:tcBorders>
              <w:top w:val="single" w:color="000000" w:sz="4" w:space="0"/>
              <w:left w:val="nil"/>
              <w:bottom w:val="nil"/>
              <w:right w:val="nil"/>
            </w:tcBorders>
            <w:shd w:val="clear" w:color="auto" w:fill="FFFFFF"/>
            <w:vAlign w:val="center"/>
          </w:tcPr>
          <w:p w14:paraId="265337A2">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745" w:type="dxa"/>
            <w:tcBorders>
              <w:top w:val="single" w:color="000000" w:sz="4" w:space="0"/>
              <w:left w:val="nil"/>
              <w:bottom w:val="nil"/>
              <w:right w:val="nil"/>
            </w:tcBorders>
            <w:shd w:val="clear" w:color="auto" w:fill="FFFFFF"/>
            <w:vAlign w:val="center"/>
          </w:tcPr>
          <w:p w14:paraId="46C318BA">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r>
      <w:tr w14:paraId="7CA6E1E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3995" w:type="dxa"/>
            <w:tcBorders>
              <w:top w:val="nil"/>
              <w:left w:val="nil"/>
              <w:bottom w:val="nil"/>
              <w:right w:val="nil"/>
            </w:tcBorders>
            <w:shd w:val="clear" w:color="auto" w:fill="FFFFFF"/>
            <w:vAlign w:val="center"/>
          </w:tcPr>
          <w:p w14:paraId="2BDB0600">
            <w:pPr>
              <w:pStyle w:val="23"/>
              <w:keepNext w:val="0"/>
              <w:keepLines w:val="0"/>
              <w:suppressLineNumbers w:val="0"/>
              <w:spacing w:before="0" w:beforeAutospacing="0" w:after="0" w:afterAutospacing="0"/>
              <w:ind w:left="0" w:right="0"/>
              <w:rPr>
                <w:rFonts w:hint="default" w:cs="Times New Roman"/>
              </w:rPr>
            </w:pPr>
            <w:r>
              <w:rPr>
                <w:rFonts w:hint="eastAsia" w:cs="Times New Roman"/>
              </w:rPr>
              <w:t>将最便宜的空调更换为一级能效(最节能)的空调</w:t>
            </w:r>
          </w:p>
        </w:tc>
        <w:tc>
          <w:tcPr>
            <w:tcW w:w="1016" w:type="dxa"/>
            <w:tcBorders>
              <w:top w:val="nil"/>
              <w:left w:val="nil"/>
              <w:bottom w:val="nil"/>
              <w:right w:val="nil"/>
            </w:tcBorders>
            <w:shd w:val="clear" w:color="auto" w:fill="FFFFFF"/>
            <w:vAlign w:val="center"/>
          </w:tcPr>
          <w:p w14:paraId="153E8B49">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50" w:type="dxa"/>
            <w:tcBorders>
              <w:top w:val="nil"/>
              <w:left w:val="nil"/>
              <w:bottom w:val="nil"/>
              <w:right w:val="nil"/>
            </w:tcBorders>
            <w:shd w:val="clear" w:color="auto" w:fill="FFFFFF"/>
            <w:vAlign w:val="center"/>
          </w:tcPr>
          <w:p w14:paraId="27AD2CDB">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34" w:type="dxa"/>
            <w:tcBorders>
              <w:top w:val="nil"/>
              <w:left w:val="nil"/>
              <w:bottom w:val="nil"/>
              <w:right w:val="nil"/>
            </w:tcBorders>
            <w:shd w:val="clear" w:color="auto" w:fill="FFFFFF"/>
            <w:vAlign w:val="center"/>
          </w:tcPr>
          <w:p w14:paraId="4EA7D418">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16" w:type="dxa"/>
            <w:tcBorders>
              <w:top w:val="nil"/>
              <w:left w:val="nil"/>
              <w:bottom w:val="nil"/>
              <w:right w:val="nil"/>
            </w:tcBorders>
            <w:shd w:val="clear" w:color="auto" w:fill="FFFFFF"/>
            <w:vAlign w:val="center"/>
          </w:tcPr>
          <w:p w14:paraId="4FFF0269">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745" w:type="dxa"/>
            <w:tcBorders>
              <w:top w:val="nil"/>
              <w:left w:val="nil"/>
              <w:bottom w:val="nil"/>
              <w:right w:val="nil"/>
            </w:tcBorders>
            <w:shd w:val="clear" w:color="auto" w:fill="FFFFFF"/>
            <w:vAlign w:val="center"/>
          </w:tcPr>
          <w:p w14:paraId="0500051F">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r>
      <w:tr w14:paraId="5BA3850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3995" w:type="dxa"/>
            <w:tcBorders>
              <w:top w:val="nil"/>
              <w:left w:val="nil"/>
              <w:bottom w:val="nil"/>
              <w:right w:val="nil"/>
            </w:tcBorders>
            <w:shd w:val="clear" w:color="auto" w:fill="FFFFFF"/>
            <w:vAlign w:val="center"/>
          </w:tcPr>
          <w:p w14:paraId="7BFC3172">
            <w:pPr>
              <w:pStyle w:val="23"/>
              <w:keepNext w:val="0"/>
              <w:keepLines w:val="0"/>
              <w:suppressLineNumbers w:val="0"/>
              <w:spacing w:before="0" w:beforeAutospacing="0" w:after="0" w:afterAutospacing="0"/>
              <w:ind w:left="0" w:right="0"/>
              <w:rPr>
                <w:rFonts w:hint="default" w:cs="Times New Roman"/>
              </w:rPr>
            </w:pPr>
            <w:r>
              <w:rPr>
                <w:rFonts w:hint="eastAsia" w:cs="Times New Roman"/>
              </w:rPr>
              <w:t>每次扔家庭垃圾都分类回收</w:t>
            </w:r>
          </w:p>
        </w:tc>
        <w:tc>
          <w:tcPr>
            <w:tcW w:w="1016" w:type="dxa"/>
            <w:tcBorders>
              <w:top w:val="nil"/>
              <w:left w:val="nil"/>
              <w:bottom w:val="nil"/>
              <w:right w:val="nil"/>
            </w:tcBorders>
            <w:shd w:val="clear" w:color="auto" w:fill="FFFFFF"/>
            <w:vAlign w:val="center"/>
          </w:tcPr>
          <w:p w14:paraId="04E6CFC9">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50" w:type="dxa"/>
            <w:tcBorders>
              <w:top w:val="nil"/>
              <w:left w:val="nil"/>
              <w:bottom w:val="nil"/>
              <w:right w:val="nil"/>
            </w:tcBorders>
            <w:shd w:val="clear" w:color="auto" w:fill="FFFFFF"/>
            <w:vAlign w:val="center"/>
          </w:tcPr>
          <w:p w14:paraId="435B19B1">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34" w:type="dxa"/>
            <w:tcBorders>
              <w:top w:val="nil"/>
              <w:left w:val="nil"/>
              <w:bottom w:val="nil"/>
              <w:right w:val="nil"/>
            </w:tcBorders>
            <w:shd w:val="clear" w:color="auto" w:fill="FFFFFF"/>
            <w:vAlign w:val="center"/>
          </w:tcPr>
          <w:p w14:paraId="4F9A36BA">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16" w:type="dxa"/>
            <w:tcBorders>
              <w:top w:val="nil"/>
              <w:left w:val="nil"/>
              <w:bottom w:val="nil"/>
              <w:right w:val="nil"/>
            </w:tcBorders>
            <w:shd w:val="clear" w:color="auto" w:fill="FFFFFF"/>
            <w:vAlign w:val="center"/>
          </w:tcPr>
          <w:p w14:paraId="45E35EC7">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745" w:type="dxa"/>
            <w:tcBorders>
              <w:top w:val="nil"/>
              <w:left w:val="nil"/>
              <w:bottom w:val="nil"/>
              <w:right w:val="nil"/>
            </w:tcBorders>
            <w:shd w:val="clear" w:color="auto" w:fill="FFFFFF"/>
            <w:vAlign w:val="center"/>
          </w:tcPr>
          <w:p w14:paraId="7DAD19B4">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r>
      <w:tr w14:paraId="37601D1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3995" w:type="dxa"/>
            <w:tcBorders>
              <w:top w:val="nil"/>
              <w:left w:val="nil"/>
              <w:bottom w:val="nil"/>
              <w:right w:val="nil"/>
            </w:tcBorders>
            <w:shd w:val="clear" w:color="auto" w:fill="FFFFFF"/>
            <w:vAlign w:val="center"/>
          </w:tcPr>
          <w:p w14:paraId="276DD89E">
            <w:pPr>
              <w:pStyle w:val="23"/>
              <w:keepNext w:val="0"/>
              <w:keepLines w:val="0"/>
              <w:suppressLineNumbers w:val="0"/>
              <w:spacing w:before="0" w:beforeAutospacing="0" w:after="0" w:afterAutospacing="0"/>
              <w:ind w:left="0" w:right="0"/>
              <w:rPr>
                <w:rFonts w:hint="default" w:cs="Times New Roman"/>
              </w:rPr>
            </w:pPr>
            <w:r>
              <w:rPr>
                <w:rFonts w:hint="eastAsia" w:cs="Times New Roman"/>
              </w:rPr>
              <w:t>1500km 以内或三小时以内的飞机出行,用高铁替代</w:t>
            </w:r>
          </w:p>
        </w:tc>
        <w:tc>
          <w:tcPr>
            <w:tcW w:w="1016" w:type="dxa"/>
            <w:tcBorders>
              <w:top w:val="nil"/>
              <w:left w:val="nil"/>
              <w:bottom w:val="nil"/>
              <w:right w:val="nil"/>
            </w:tcBorders>
            <w:shd w:val="clear" w:color="auto" w:fill="FFFFFF"/>
            <w:vAlign w:val="center"/>
          </w:tcPr>
          <w:p w14:paraId="0E6D3B6E">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50" w:type="dxa"/>
            <w:tcBorders>
              <w:top w:val="nil"/>
              <w:left w:val="nil"/>
              <w:bottom w:val="nil"/>
              <w:right w:val="nil"/>
            </w:tcBorders>
            <w:shd w:val="clear" w:color="auto" w:fill="FFFFFF"/>
            <w:vAlign w:val="center"/>
          </w:tcPr>
          <w:p w14:paraId="1FA06EA5">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34" w:type="dxa"/>
            <w:tcBorders>
              <w:top w:val="nil"/>
              <w:left w:val="nil"/>
              <w:bottom w:val="nil"/>
              <w:right w:val="nil"/>
            </w:tcBorders>
            <w:shd w:val="clear" w:color="auto" w:fill="FFFFFF"/>
            <w:vAlign w:val="center"/>
          </w:tcPr>
          <w:p w14:paraId="2D0AC8DD">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16" w:type="dxa"/>
            <w:tcBorders>
              <w:top w:val="nil"/>
              <w:left w:val="nil"/>
              <w:bottom w:val="nil"/>
              <w:right w:val="nil"/>
            </w:tcBorders>
            <w:shd w:val="clear" w:color="auto" w:fill="FFFFFF"/>
            <w:vAlign w:val="center"/>
          </w:tcPr>
          <w:p w14:paraId="637AA9AF">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745" w:type="dxa"/>
            <w:tcBorders>
              <w:top w:val="nil"/>
              <w:left w:val="nil"/>
              <w:bottom w:val="nil"/>
              <w:right w:val="nil"/>
            </w:tcBorders>
            <w:shd w:val="clear" w:color="auto" w:fill="FFFFFF"/>
            <w:vAlign w:val="center"/>
          </w:tcPr>
          <w:p w14:paraId="22A378E4">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r>
      <w:tr w14:paraId="3415EB67">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3995" w:type="dxa"/>
            <w:tcBorders>
              <w:top w:val="nil"/>
              <w:left w:val="nil"/>
              <w:bottom w:val="nil"/>
              <w:right w:val="nil"/>
            </w:tcBorders>
            <w:shd w:val="clear" w:color="auto" w:fill="FFFFFF"/>
            <w:vAlign w:val="center"/>
          </w:tcPr>
          <w:p w14:paraId="7AA2D968">
            <w:pPr>
              <w:pStyle w:val="23"/>
              <w:keepNext w:val="0"/>
              <w:keepLines w:val="0"/>
              <w:suppressLineNumbers w:val="0"/>
              <w:spacing w:before="0" w:beforeAutospacing="0" w:after="0" w:afterAutospacing="0"/>
              <w:ind w:left="0" w:right="0"/>
              <w:rPr>
                <w:rFonts w:hint="default" w:cs="Times New Roman"/>
              </w:rPr>
            </w:pPr>
            <w:r>
              <w:rPr>
                <w:rFonts w:hint="eastAsia" w:cs="Times New Roman"/>
              </w:rPr>
              <w:t>上下班从现有出行方式转变为电动汽车出行</w:t>
            </w:r>
          </w:p>
        </w:tc>
        <w:tc>
          <w:tcPr>
            <w:tcW w:w="1016" w:type="dxa"/>
            <w:tcBorders>
              <w:top w:val="nil"/>
              <w:left w:val="nil"/>
              <w:bottom w:val="nil"/>
              <w:right w:val="nil"/>
            </w:tcBorders>
            <w:shd w:val="clear" w:color="auto" w:fill="FFFFFF"/>
            <w:vAlign w:val="center"/>
          </w:tcPr>
          <w:p w14:paraId="7A45DAA4">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50" w:type="dxa"/>
            <w:tcBorders>
              <w:top w:val="nil"/>
              <w:left w:val="nil"/>
              <w:bottom w:val="nil"/>
              <w:right w:val="nil"/>
            </w:tcBorders>
            <w:shd w:val="clear" w:color="auto" w:fill="FFFFFF"/>
            <w:vAlign w:val="center"/>
          </w:tcPr>
          <w:p w14:paraId="1EBE935E">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34" w:type="dxa"/>
            <w:tcBorders>
              <w:top w:val="nil"/>
              <w:left w:val="nil"/>
              <w:bottom w:val="nil"/>
              <w:right w:val="nil"/>
            </w:tcBorders>
            <w:shd w:val="clear" w:color="auto" w:fill="FFFFFF"/>
            <w:vAlign w:val="center"/>
          </w:tcPr>
          <w:p w14:paraId="6FEC4C18">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16" w:type="dxa"/>
            <w:tcBorders>
              <w:top w:val="nil"/>
              <w:left w:val="nil"/>
              <w:bottom w:val="nil"/>
              <w:right w:val="nil"/>
            </w:tcBorders>
            <w:shd w:val="clear" w:color="auto" w:fill="FFFFFF"/>
            <w:vAlign w:val="center"/>
          </w:tcPr>
          <w:p w14:paraId="2B0429D9">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745" w:type="dxa"/>
            <w:tcBorders>
              <w:top w:val="nil"/>
              <w:left w:val="nil"/>
              <w:bottom w:val="nil"/>
              <w:right w:val="nil"/>
            </w:tcBorders>
            <w:shd w:val="clear" w:color="auto" w:fill="FFFFFF"/>
            <w:vAlign w:val="center"/>
          </w:tcPr>
          <w:p w14:paraId="007636BB">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r>
      <w:tr w14:paraId="295D0C17">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3995" w:type="dxa"/>
            <w:tcBorders>
              <w:top w:val="nil"/>
              <w:left w:val="nil"/>
              <w:bottom w:val="single" w:color="000000" w:sz="12" w:space="0"/>
              <w:right w:val="nil"/>
            </w:tcBorders>
            <w:shd w:val="clear" w:color="auto" w:fill="FFFFFF"/>
            <w:vAlign w:val="center"/>
          </w:tcPr>
          <w:p w14:paraId="7ED34AE7">
            <w:pPr>
              <w:pStyle w:val="23"/>
              <w:keepNext w:val="0"/>
              <w:keepLines w:val="0"/>
              <w:suppressLineNumbers w:val="0"/>
              <w:spacing w:before="0" w:beforeAutospacing="0" w:after="0" w:afterAutospacing="0"/>
              <w:ind w:left="0" w:right="0"/>
              <w:rPr>
                <w:rFonts w:hint="default" w:cs="Times New Roman"/>
              </w:rPr>
            </w:pPr>
            <w:r>
              <w:rPr>
                <w:rFonts w:hint="eastAsia" w:cs="Times New Roman"/>
              </w:rPr>
              <w:t>用豆腐代替一半的肉</w:t>
            </w:r>
          </w:p>
        </w:tc>
        <w:tc>
          <w:tcPr>
            <w:tcW w:w="1016" w:type="dxa"/>
            <w:tcBorders>
              <w:top w:val="nil"/>
              <w:left w:val="nil"/>
              <w:bottom w:val="single" w:color="000000" w:sz="12" w:space="0"/>
              <w:right w:val="nil"/>
            </w:tcBorders>
            <w:shd w:val="clear" w:color="auto" w:fill="FFFFFF"/>
            <w:vAlign w:val="center"/>
          </w:tcPr>
          <w:p w14:paraId="48A263D5">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50" w:type="dxa"/>
            <w:tcBorders>
              <w:top w:val="nil"/>
              <w:left w:val="nil"/>
              <w:bottom w:val="single" w:color="000000" w:sz="12" w:space="0"/>
              <w:right w:val="nil"/>
            </w:tcBorders>
            <w:shd w:val="clear" w:color="auto" w:fill="FFFFFF"/>
            <w:vAlign w:val="center"/>
          </w:tcPr>
          <w:p w14:paraId="1E7AE2C6">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34" w:type="dxa"/>
            <w:tcBorders>
              <w:top w:val="nil"/>
              <w:left w:val="nil"/>
              <w:bottom w:val="single" w:color="000000" w:sz="12" w:space="0"/>
              <w:right w:val="nil"/>
            </w:tcBorders>
            <w:shd w:val="clear" w:color="auto" w:fill="FFFFFF"/>
            <w:vAlign w:val="center"/>
          </w:tcPr>
          <w:p w14:paraId="322EA69C">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1016" w:type="dxa"/>
            <w:tcBorders>
              <w:top w:val="nil"/>
              <w:left w:val="nil"/>
              <w:bottom w:val="single" w:color="000000" w:sz="12" w:space="0"/>
              <w:right w:val="nil"/>
            </w:tcBorders>
            <w:shd w:val="clear" w:color="auto" w:fill="FFFFFF"/>
            <w:vAlign w:val="center"/>
          </w:tcPr>
          <w:p w14:paraId="218AFD13">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745" w:type="dxa"/>
            <w:tcBorders>
              <w:top w:val="nil"/>
              <w:left w:val="nil"/>
              <w:bottom w:val="single" w:color="000000" w:sz="12" w:space="0"/>
              <w:right w:val="nil"/>
            </w:tcBorders>
            <w:shd w:val="clear" w:color="auto" w:fill="FFFFFF"/>
            <w:vAlign w:val="center"/>
          </w:tcPr>
          <w:p w14:paraId="5138D6C6">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r>
    </w:tbl>
    <w:p w14:paraId="16E32D1A">
      <w:pPr>
        <w:ind w:firstLine="480"/>
        <w:rPr>
          <w:rFonts w:cs="Times New Roman"/>
        </w:rPr>
      </w:pPr>
    </w:p>
    <w:p w14:paraId="3FC7DF4C">
      <w:pPr>
        <w:spacing w:line="360" w:lineRule="auto"/>
        <w:ind w:firstLine="480"/>
        <w:rPr>
          <w:rFonts w:cs="Times New Roman"/>
        </w:rPr>
      </w:pPr>
      <w:r>
        <w:rPr>
          <w:rFonts w:eastAsia="Times New Roman" w:cs="Times New Roman"/>
        </w:rPr>
        <w:t>1.</w:t>
      </w:r>
      <w:r>
        <w:rPr>
          <w:rFonts w:eastAsia="PMingLiU" w:cs="Times New Roman"/>
        </w:rPr>
        <w:t>假设您在网上购买了一件急需的日用品，现在有两个配送方案可选</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5C282B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C337EC1">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极速达</w:t>
            </w:r>
            <w:r>
              <w:rPr>
                <w:rFonts w:hint="eastAsia" w:eastAsia="Times New Roman" w:cs="Times New Roman"/>
              </w:rPr>
              <w:t>:</w:t>
            </w:r>
            <w:r>
              <w:rPr>
                <w:rFonts w:hint="eastAsia" w:eastAsia="PMingLiU" w:cs="Times New Roman"/>
              </w:rPr>
              <w:t>商家承诺</w:t>
            </w:r>
            <w:r>
              <w:rPr>
                <w:rFonts w:hint="eastAsia" w:eastAsia="Times New Roman" w:cs="Times New Roman"/>
              </w:rPr>
              <w:t>1</w:t>
            </w:r>
            <w:r>
              <w:rPr>
                <w:rFonts w:hint="eastAsia" w:eastAsia="PMingLiU" w:cs="Times New Roman"/>
              </w:rPr>
              <w:t>小时内送货上门，需支付配送费</w:t>
            </w:r>
            <w:r>
              <w:rPr>
                <w:rFonts w:hint="eastAsia" w:eastAsia="Times New Roman" w:cs="Times New Roman"/>
              </w:rPr>
              <w:t>20</w:t>
            </w:r>
            <w:r>
              <w:rPr>
                <w:rFonts w:hint="eastAsia" w:eastAsia="PMingLiU" w:cs="Times New Roman"/>
              </w:rPr>
              <w:t>元。</w:t>
            </w:r>
          </w:p>
        </w:tc>
      </w:tr>
      <w:tr w14:paraId="389F5B4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8A5CF98">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普通送</w:t>
            </w:r>
            <w:r>
              <w:rPr>
                <w:rFonts w:hint="eastAsia" w:eastAsia="Times New Roman" w:cs="Times New Roman"/>
              </w:rPr>
              <w:t>:</w:t>
            </w:r>
            <w:r>
              <w:rPr>
                <w:rFonts w:hint="eastAsia" w:eastAsia="PMingLiU" w:cs="Times New Roman"/>
              </w:rPr>
              <w:t>商家承诺</w:t>
            </w:r>
            <w:r>
              <w:rPr>
                <w:rFonts w:hint="eastAsia" w:eastAsia="Times New Roman" w:cs="Times New Roman"/>
              </w:rPr>
              <w:t>3</w:t>
            </w:r>
            <w:r>
              <w:rPr>
                <w:rFonts w:hint="eastAsia" w:eastAsia="PMingLiU" w:cs="Times New Roman"/>
              </w:rPr>
              <w:t>小时内送货上门（晚</w:t>
            </w:r>
            <w:r>
              <w:rPr>
                <w:rFonts w:hint="eastAsia" w:eastAsia="Times New Roman" w:cs="Times New Roman"/>
              </w:rPr>
              <w:t>2</w:t>
            </w:r>
            <w:r>
              <w:rPr>
                <w:rFonts w:hint="eastAsia" w:eastAsia="PMingLiU" w:cs="Times New Roman"/>
              </w:rPr>
              <w:t>个小时），但免收配送费。</w:t>
            </w:r>
          </w:p>
        </w:tc>
      </w:tr>
    </w:tbl>
    <w:p w14:paraId="3801E1DE">
      <w:pPr>
        <w:ind w:firstLine="480"/>
        <w:rPr>
          <w:rFonts w:cs="Times New Roman"/>
        </w:rPr>
      </w:pPr>
    </w:p>
    <w:p w14:paraId="2C2B0769">
      <w:pPr>
        <w:ind w:firstLine="480"/>
        <w:rPr>
          <w:rFonts w:cs="Times New Roman"/>
        </w:rPr>
      </w:pPr>
    </w:p>
    <w:p w14:paraId="52BBFF42">
      <w:pPr>
        <w:spacing w:line="360" w:lineRule="auto"/>
        <w:ind w:firstLine="480"/>
        <w:rPr>
          <w:rFonts w:cs="Times New Roman"/>
        </w:rPr>
      </w:pPr>
      <w:r>
        <w:rPr>
          <w:rFonts w:eastAsia="Times New Roman" w:cs="Times New Roman"/>
        </w:rPr>
        <w:t>2.</w:t>
      </w:r>
      <w:r>
        <w:rPr>
          <w:rFonts w:eastAsia="PMingLiU" w:cs="Times New Roman"/>
        </w:rPr>
        <w:t>假设您需要每月缴纳家庭宽带费，运营商提供了两种缴费维护模式</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1B8A74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0CDC0A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省心托管模式</w:t>
            </w:r>
            <w:r>
              <w:rPr>
                <w:rFonts w:hint="eastAsia" w:eastAsia="Times New Roman" w:cs="Times New Roman"/>
              </w:rPr>
              <w:t>:</w:t>
            </w:r>
            <w:r>
              <w:rPr>
                <w:rFonts w:hint="eastAsia" w:eastAsia="PMingLiU" w:cs="Times New Roman"/>
              </w:rPr>
              <w:t>系统自动扣费，且出现网络波动时后台自动修复，您完全不需要操心任何维护事宜。服务费</w:t>
            </w:r>
            <w:r>
              <w:rPr>
                <w:rFonts w:hint="eastAsia" w:eastAsia="Times New Roman" w:cs="Times New Roman"/>
              </w:rPr>
              <w:t>:</w:t>
            </w:r>
            <w:r>
              <w:rPr>
                <w:rFonts w:hint="eastAsia" w:eastAsia="PMingLiU" w:cs="Times New Roman"/>
              </w:rPr>
              <w:t>每月多加</w:t>
            </w:r>
            <w:r>
              <w:rPr>
                <w:rFonts w:hint="eastAsia" w:eastAsia="Times New Roman" w:cs="Times New Roman"/>
              </w:rPr>
              <w:t>10</w:t>
            </w:r>
            <w:r>
              <w:rPr>
                <w:rFonts w:hint="eastAsia" w:eastAsia="PMingLiU" w:cs="Times New Roman"/>
              </w:rPr>
              <w:t>元。</w:t>
            </w:r>
          </w:p>
        </w:tc>
      </w:tr>
      <w:tr w14:paraId="5D6D957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FCD6D6F">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自助管理模式</w:t>
            </w:r>
            <w:r>
              <w:rPr>
                <w:rFonts w:hint="eastAsia" w:eastAsia="Times New Roman" w:cs="Times New Roman"/>
              </w:rPr>
              <w:t>:</w:t>
            </w:r>
            <w:r>
              <w:rPr>
                <w:rFonts w:hint="eastAsia" w:eastAsia="PMingLiU" w:cs="Times New Roman"/>
              </w:rPr>
              <w:t>需要您每月收到短信后手动登录</w:t>
            </w:r>
            <w:r>
              <w:rPr>
                <w:rFonts w:hint="eastAsia" w:eastAsia="Times New Roman" w:cs="Times New Roman"/>
              </w:rPr>
              <w:t>APP</w:t>
            </w:r>
            <w:r>
              <w:rPr>
                <w:rFonts w:hint="eastAsia" w:eastAsia="PMingLiU" w:cs="Times New Roman"/>
              </w:rPr>
              <w:t>缴费，且偶尔网络波动时需您手动重启路由器。服务费</w:t>
            </w:r>
            <w:r>
              <w:rPr>
                <w:rFonts w:hint="eastAsia" w:eastAsia="Times New Roman" w:cs="Times New Roman"/>
              </w:rPr>
              <w:t>:</w:t>
            </w:r>
            <w:r>
              <w:rPr>
                <w:rFonts w:hint="eastAsia" w:eastAsia="PMingLiU" w:cs="Times New Roman"/>
              </w:rPr>
              <w:t>维持原价（省</w:t>
            </w:r>
            <w:r>
              <w:rPr>
                <w:rFonts w:hint="eastAsia" w:eastAsia="Times New Roman" w:cs="Times New Roman"/>
              </w:rPr>
              <w:t>10</w:t>
            </w:r>
            <w:r>
              <w:rPr>
                <w:rFonts w:hint="eastAsia" w:eastAsia="PMingLiU" w:cs="Times New Roman"/>
              </w:rPr>
              <w:t>元）。</w:t>
            </w:r>
          </w:p>
        </w:tc>
      </w:tr>
    </w:tbl>
    <w:p w14:paraId="309640D2">
      <w:pPr>
        <w:ind w:firstLine="480"/>
        <w:rPr>
          <w:rFonts w:cs="Times New Roman"/>
        </w:rPr>
      </w:pPr>
    </w:p>
    <w:p w14:paraId="5EDE9786">
      <w:pPr>
        <w:ind w:firstLine="480"/>
        <w:rPr>
          <w:rFonts w:cs="Times New Roman"/>
        </w:rPr>
      </w:pPr>
    </w:p>
    <w:p w14:paraId="4C6806A5">
      <w:pPr>
        <w:spacing w:line="360" w:lineRule="auto"/>
        <w:ind w:firstLine="480"/>
        <w:rPr>
          <w:rFonts w:cs="Times New Roman"/>
        </w:rPr>
      </w:pPr>
      <w:r>
        <w:rPr>
          <w:rFonts w:eastAsia="Times New Roman" w:cs="Times New Roman"/>
        </w:rPr>
        <w:t>3.</w:t>
      </w:r>
      <w:r>
        <w:rPr>
          <w:rFonts w:eastAsia="PMingLiU" w:cs="Times New Roman"/>
        </w:rPr>
        <w:t>假设您周末去一个热门商圈吃饭，面临停车或排队的难题。有两种预约服务可选</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E08D57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A39962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○A. </w:t>
            </w:r>
            <w:r>
              <w:rPr>
                <w:rFonts w:hint="eastAsia" w:eastAsia="PMingLiU" w:cs="Times New Roman"/>
              </w:rPr>
              <w:t>尊享预约</w:t>
            </w:r>
            <w:r>
              <w:rPr>
                <w:rFonts w:hint="eastAsia" w:eastAsia="Times New Roman" w:cs="Times New Roman"/>
              </w:rPr>
              <w:t xml:space="preserve">: </w:t>
            </w:r>
            <w:r>
              <w:rPr>
                <w:rFonts w:hint="eastAsia" w:eastAsia="PMingLiU" w:cs="Times New Roman"/>
              </w:rPr>
              <w:t>支付</w:t>
            </w:r>
            <w:r>
              <w:rPr>
                <w:rFonts w:hint="eastAsia" w:eastAsia="Times New Roman" w:cs="Times New Roman"/>
              </w:rPr>
              <w:t xml:space="preserve"> 15</w:t>
            </w:r>
            <w:r>
              <w:rPr>
                <w:rFonts w:hint="eastAsia" w:eastAsia="PMingLiU" w:cs="Times New Roman"/>
              </w:rPr>
              <w:t>元</w:t>
            </w:r>
            <w:r>
              <w:rPr>
                <w:rFonts w:hint="eastAsia" w:eastAsia="Times New Roman" w:cs="Times New Roman"/>
              </w:rPr>
              <w:t xml:space="preserve"> </w:t>
            </w:r>
            <w:r>
              <w:rPr>
                <w:rFonts w:hint="eastAsia" w:eastAsia="PMingLiU" w:cs="Times New Roman"/>
              </w:rPr>
              <w:t>服务费，平台为您</w:t>
            </w:r>
            <w:r>
              <w:rPr>
                <w:rFonts w:hint="eastAsia" w:eastAsia="Times New Roman" w:cs="Times New Roman"/>
              </w:rPr>
              <w:t>100%</w:t>
            </w:r>
            <w:r>
              <w:rPr>
                <w:rFonts w:hint="eastAsia" w:eastAsia="PMingLiU" w:cs="Times New Roman"/>
              </w:rPr>
              <w:t>预留车位或餐位，您到了直接停</w:t>
            </w:r>
            <w:r>
              <w:rPr>
                <w:rFonts w:hint="eastAsia" w:eastAsia="Times New Roman" w:cs="Times New Roman"/>
              </w:rPr>
              <w:t>/</w:t>
            </w:r>
            <w:r>
              <w:rPr>
                <w:rFonts w:hint="eastAsia" w:eastAsia="PMingLiU" w:cs="Times New Roman"/>
              </w:rPr>
              <w:t>直接吃，无需寻找和等待。</w:t>
            </w:r>
          </w:p>
        </w:tc>
      </w:tr>
      <w:tr w14:paraId="58ECA45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EDCAE1B">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○B. </w:t>
            </w:r>
            <w:r>
              <w:rPr>
                <w:rFonts w:hint="eastAsia" w:eastAsia="PMingLiU" w:cs="Times New Roman"/>
              </w:rPr>
              <w:t>普通前往</w:t>
            </w:r>
            <w:r>
              <w:rPr>
                <w:rFonts w:hint="eastAsia" w:eastAsia="Times New Roman" w:cs="Times New Roman"/>
              </w:rPr>
              <w:t xml:space="preserve">: </w:t>
            </w:r>
            <w:r>
              <w:rPr>
                <w:rFonts w:hint="eastAsia" w:eastAsia="PMingLiU" w:cs="Times New Roman"/>
              </w:rPr>
              <w:t>不收服务费，但您到达后可能需要花费</w:t>
            </w:r>
            <w:r>
              <w:rPr>
                <w:rFonts w:hint="eastAsia" w:eastAsia="Times New Roman" w:cs="Times New Roman"/>
              </w:rPr>
              <w:t>15-20</w:t>
            </w:r>
            <w:r>
              <w:rPr>
                <w:rFonts w:hint="eastAsia" w:eastAsia="PMingLiU" w:cs="Times New Roman"/>
              </w:rPr>
              <w:t>分钟在停车场转圈找车位，或者在门口排队等位。</w:t>
            </w:r>
          </w:p>
        </w:tc>
      </w:tr>
    </w:tbl>
    <w:p w14:paraId="35DF9CC2">
      <w:pPr>
        <w:ind w:firstLine="480"/>
        <w:rPr>
          <w:rFonts w:cs="Times New Roman"/>
        </w:rPr>
      </w:pPr>
    </w:p>
    <w:p w14:paraId="0037FA48">
      <w:pPr>
        <w:ind w:firstLine="480"/>
        <w:rPr>
          <w:rFonts w:cs="Times New Roman"/>
        </w:rPr>
      </w:pPr>
    </w:p>
    <w:p w14:paraId="66C6D13D">
      <w:pPr>
        <w:spacing w:line="360" w:lineRule="auto"/>
        <w:ind w:firstLine="480"/>
        <w:rPr>
          <w:rFonts w:cs="Times New Roman"/>
        </w:rPr>
      </w:pPr>
      <w:r>
        <w:rPr>
          <w:rFonts w:eastAsia="Times New Roman" w:cs="Times New Roman"/>
        </w:rPr>
        <w:t>4.</w:t>
      </w:r>
      <w:r>
        <w:rPr>
          <w:rFonts w:eastAsia="PMingLiU" w:cs="Times New Roman"/>
        </w:rPr>
        <w:t>假设您去电影院看一场时长</w:t>
      </w:r>
      <w:r>
        <w:rPr>
          <w:rFonts w:eastAsia="Times New Roman" w:cs="Times New Roman"/>
        </w:rPr>
        <w:t>2</w:t>
      </w:r>
      <w:r>
        <w:rPr>
          <w:rFonts w:eastAsia="PMingLiU" w:cs="Times New Roman"/>
        </w:rPr>
        <w:t>小时的电影，影院提供了两个不同价位的影厅，放映内容完全一样，你会选择哪个影厅</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EB4E0F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BF7CA9A">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舒适厅</w:t>
            </w:r>
            <w:r>
              <w:rPr>
                <w:rFonts w:hint="eastAsia" w:eastAsia="Times New Roman" w:cs="Times New Roman"/>
              </w:rPr>
              <w:t>:</w:t>
            </w:r>
            <w:r>
              <w:rPr>
                <w:rFonts w:hint="eastAsia" w:eastAsia="PMingLiU" w:cs="Times New Roman"/>
              </w:rPr>
              <w:t>采用真皮沙发座椅，空间宽敞，空调温度适宜，观影体验非常舒适。票价</w:t>
            </w:r>
            <w:r>
              <w:rPr>
                <w:rFonts w:hint="eastAsia" w:eastAsia="Times New Roman" w:cs="Times New Roman"/>
              </w:rPr>
              <w:t>:60</w:t>
            </w:r>
            <w:r>
              <w:rPr>
                <w:rFonts w:hint="eastAsia" w:eastAsia="PMingLiU" w:cs="Times New Roman"/>
              </w:rPr>
              <w:t>元。</w:t>
            </w:r>
          </w:p>
        </w:tc>
      </w:tr>
      <w:tr w14:paraId="0641940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6FAF7F2">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普通厅</w:t>
            </w:r>
            <w:r>
              <w:rPr>
                <w:rFonts w:hint="eastAsia" w:eastAsia="Times New Roman" w:cs="Times New Roman"/>
              </w:rPr>
              <w:t>:</w:t>
            </w:r>
            <w:r>
              <w:rPr>
                <w:rFonts w:hint="eastAsia" w:eastAsia="PMingLiU" w:cs="Times New Roman"/>
              </w:rPr>
              <w:t>采用普通硬质座椅，间距较窄，稍微有些拥挤闷热，观影体验一般。票价</w:t>
            </w:r>
            <w:r>
              <w:rPr>
                <w:rFonts w:hint="eastAsia" w:eastAsia="Times New Roman" w:cs="Times New Roman"/>
              </w:rPr>
              <w:t>:40</w:t>
            </w:r>
            <w:r>
              <w:rPr>
                <w:rFonts w:hint="eastAsia" w:eastAsia="PMingLiU" w:cs="Times New Roman"/>
              </w:rPr>
              <w:t>元（便宜</w:t>
            </w:r>
            <w:r>
              <w:rPr>
                <w:rFonts w:hint="eastAsia" w:eastAsia="Times New Roman" w:cs="Times New Roman"/>
              </w:rPr>
              <w:t>20</w:t>
            </w:r>
            <w:r>
              <w:rPr>
                <w:rFonts w:hint="eastAsia" w:eastAsia="PMingLiU" w:cs="Times New Roman"/>
              </w:rPr>
              <w:t>元）。</w:t>
            </w:r>
          </w:p>
        </w:tc>
      </w:tr>
    </w:tbl>
    <w:p w14:paraId="06668F2F">
      <w:pPr>
        <w:ind w:firstLine="480"/>
        <w:rPr>
          <w:rFonts w:cs="Times New Roman"/>
        </w:rPr>
      </w:pPr>
    </w:p>
    <w:p w14:paraId="1AF912AA">
      <w:pPr>
        <w:ind w:firstLine="480"/>
        <w:rPr>
          <w:rFonts w:cs="Times New Roman"/>
        </w:rPr>
      </w:pPr>
    </w:p>
    <w:p w14:paraId="38F012AF">
      <w:pPr>
        <w:spacing w:line="360" w:lineRule="auto"/>
        <w:ind w:firstLine="480"/>
        <w:rPr>
          <w:rFonts w:cs="Times New Roman"/>
        </w:rPr>
      </w:pPr>
      <w:r>
        <w:rPr>
          <w:rFonts w:eastAsia="Times New Roman" w:cs="Times New Roman"/>
        </w:rPr>
        <w:t>5.</w:t>
      </w:r>
      <w:r>
        <w:rPr>
          <w:rFonts w:eastAsia="PMingLiU" w:cs="Times New Roman"/>
        </w:rPr>
        <w:t>假设您将家里的燃油车换成了电动汽车（或者换了一级能效空调），您的使用成本（油费</w:t>
      </w:r>
      <w:r>
        <w:rPr>
          <w:rFonts w:eastAsia="Times New Roman" w:cs="Times New Roman"/>
        </w:rPr>
        <w:t>/</w:t>
      </w:r>
      <w:r>
        <w:rPr>
          <w:rFonts w:eastAsia="PMingLiU" w:cs="Times New Roman"/>
        </w:rPr>
        <w:t>电费）下降了约</w:t>
      </w:r>
      <w:r>
        <w:rPr>
          <w:rFonts w:eastAsia="Times New Roman" w:cs="Times New Roman"/>
        </w:rPr>
        <w:t xml:space="preserve"> 50% - 80%</w:t>
      </w:r>
      <w:r>
        <w:rPr>
          <w:rFonts w:eastAsia="PMingLiU" w:cs="Times New Roman"/>
        </w:rPr>
        <w:t>。在这种情况下，您的使用习惯会发生什么变化</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2DD23F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8BD100A">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完全不变。我该怎么用还是怎么用，不会因为便宜了就多用。</w:t>
            </w:r>
          </w:p>
        </w:tc>
      </w:tr>
      <w:tr w14:paraId="19BE250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9980E3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○B. </w:t>
            </w:r>
            <w:r>
              <w:rPr>
                <w:rFonts w:hint="eastAsia" w:eastAsia="PMingLiU" w:cs="Times New Roman"/>
              </w:rPr>
              <w:t>稍微增加。可能会稍微多开一点（如空调温度调低</w:t>
            </w:r>
            <w:r>
              <w:rPr>
                <w:rFonts w:hint="eastAsia" w:eastAsia="Times New Roman" w:cs="Times New Roman"/>
              </w:rPr>
              <w:t>1</w:t>
            </w:r>
            <w:r>
              <w:rPr>
                <w:rFonts w:hint="eastAsia" w:eastAsia="PMingLiU" w:cs="Times New Roman"/>
              </w:rPr>
              <w:t>度，或者周末多去周边自驾游），增加约</w:t>
            </w:r>
            <w:r>
              <w:rPr>
                <w:rFonts w:hint="eastAsia" w:eastAsia="Times New Roman" w:cs="Times New Roman"/>
              </w:rPr>
              <w:t xml:space="preserve"> 10% </w:t>
            </w:r>
            <w:r>
              <w:rPr>
                <w:rFonts w:hint="eastAsia" w:eastAsia="PMingLiU" w:cs="Times New Roman"/>
              </w:rPr>
              <w:t>的使用量。</w:t>
            </w:r>
          </w:p>
        </w:tc>
      </w:tr>
      <w:tr w14:paraId="3874AB1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F42D2D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○C. </w:t>
            </w:r>
            <w:r>
              <w:rPr>
                <w:rFonts w:hint="eastAsia" w:eastAsia="PMingLiU" w:cs="Times New Roman"/>
              </w:rPr>
              <w:t>大幅增加。既然这么便宜，我会经常开，不再担心电费，增加</w:t>
            </w:r>
            <w:r>
              <w:rPr>
                <w:rFonts w:hint="eastAsia" w:eastAsia="Times New Roman" w:cs="Times New Roman"/>
              </w:rPr>
              <w:t xml:space="preserve"> 30% </w:t>
            </w:r>
            <w:r>
              <w:rPr>
                <w:rFonts w:hint="eastAsia" w:eastAsia="PMingLiU" w:cs="Times New Roman"/>
              </w:rPr>
              <w:t>以上的使用量。</w:t>
            </w:r>
          </w:p>
        </w:tc>
      </w:tr>
    </w:tbl>
    <w:p w14:paraId="3C0C3A86">
      <w:pPr>
        <w:ind w:firstLine="480"/>
        <w:rPr>
          <w:rFonts w:cs="Times New Roman"/>
        </w:rPr>
      </w:pPr>
    </w:p>
    <w:p w14:paraId="4B33FFCF">
      <w:pPr>
        <w:ind w:firstLine="480"/>
        <w:rPr>
          <w:rFonts w:cs="Times New Roman"/>
        </w:rPr>
      </w:pPr>
    </w:p>
    <w:p w14:paraId="00384EE1">
      <w:pPr>
        <w:spacing w:line="360" w:lineRule="auto"/>
        <w:ind w:firstLine="480"/>
        <w:rPr>
          <w:rFonts w:cs="Times New Roman"/>
        </w:rPr>
      </w:pPr>
      <w:r>
        <w:rPr>
          <w:rFonts w:eastAsia="Times New Roman" w:cs="Times New Roman"/>
        </w:rPr>
        <w:t>6.</w:t>
      </w:r>
      <w:r>
        <w:rPr>
          <w:rFonts w:eastAsia="PMingLiU" w:cs="Times New Roman"/>
        </w:rPr>
        <w:t>如果您换了一级能效空调，电费省了一半。您会</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7ADE26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8F48DAD">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○A. </w:t>
            </w:r>
            <w:r>
              <w:rPr>
                <w:rFonts w:hint="eastAsia" w:eastAsia="PMingLiU" w:cs="Times New Roman"/>
              </w:rPr>
              <w:t>保持原来的温度和时长。</w:t>
            </w:r>
          </w:p>
        </w:tc>
      </w:tr>
      <w:tr w14:paraId="381ABE7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B902F2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○B. </w:t>
            </w:r>
            <w:r>
              <w:rPr>
                <w:rFonts w:hint="eastAsia" w:eastAsia="PMingLiU" w:cs="Times New Roman"/>
              </w:rPr>
              <w:t>把温度调得更低一点（更凉快），或者开的时间更长。</w:t>
            </w:r>
          </w:p>
        </w:tc>
      </w:tr>
    </w:tbl>
    <w:p w14:paraId="6D76BA32">
      <w:pPr>
        <w:ind w:firstLine="480"/>
        <w:rPr>
          <w:rFonts w:cs="Times New Roman"/>
        </w:rPr>
      </w:pPr>
    </w:p>
    <w:p w14:paraId="5002D306">
      <w:pPr>
        <w:ind w:firstLine="480"/>
        <w:rPr>
          <w:rFonts w:cs="Times New Roman"/>
        </w:rPr>
      </w:pPr>
    </w:p>
    <w:p w14:paraId="15FB85E1">
      <w:pPr>
        <w:spacing w:line="360" w:lineRule="auto"/>
        <w:ind w:firstLine="480"/>
        <w:rPr>
          <w:rFonts w:cs="Times New Roman"/>
        </w:rPr>
      </w:pPr>
      <w:r>
        <w:rPr>
          <w:rFonts w:eastAsia="Times New Roman" w:cs="Times New Roman"/>
        </w:rPr>
        <w:t>7.</w:t>
      </w:r>
      <w:r>
        <w:rPr>
          <w:rFonts w:eastAsia="PMingLiU" w:cs="Times New Roman"/>
        </w:rPr>
        <w:t>假设通过坚持乘坐高铁代替飞机，您家今年意外省下了</w:t>
      </w:r>
      <w:r>
        <w:rPr>
          <w:rFonts w:eastAsia="Times New Roman" w:cs="Times New Roman"/>
        </w:rPr>
        <w:t xml:space="preserve"> 2000</w:t>
      </w:r>
      <w:r>
        <w:rPr>
          <w:rFonts w:eastAsia="PMingLiU" w:cs="Times New Roman"/>
        </w:rPr>
        <w:t>元</w:t>
      </w:r>
      <w:r>
        <w:rPr>
          <w:rFonts w:eastAsia="Times New Roman" w:cs="Times New Roman"/>
        </w:rPr>
        <w:t xml:space="preserve"> </w:t>
      </w:r>
      <w:r>
        <w:rPr>
          <w:rFonts w:eastAsia="PMingLiU" w:cs="Times New Roman"/>
        </w:rPr>
        <w:t>人民币。这笔额外的</w:t>
      </w:r>
      <w:r>
        <w:rPr>
          <w:rFonts w:eastAsia="Times New Roman" w:cs="Times New Roman"/>
        </w:rPr>
        <w:t>“</w:t>
      </w:r>
      <w:r>
        <w:rPr>
          <w:rFonts w:eastAsia="PMingLiU" w:cs="Times New Roman"/>
        </w:rPr>
        <w:t>省下来的钱</w:t>
      </w:r>
      <w:r>
        <w:rPr>
          <w:rFonts w:eastAsia="Times New Roman" w:cs="Times New Roman"/>
        </w:rPr>
        <w:t>”</w:t>
      </w:r>
      <w:r>
        <w:rPr>
          <w:rFonts w:eastAsia="PMingLiU" w:cs="Times New Roman"/>
        </w:rPr>
        <w:t>，您最可能怎么处理</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959B6C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FD6DFFD">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全部存起来</w:t>
            </w:r>
            <w:r>
              <w:rPr>
                <w:rFonts w:hint="eastAsia" w:eastAsia="Times New Roman" w:cs="Times New Roman"/>
              </w:rPr>
              <w:t xml:space="preserve"> / </w:t>
            </w:r>
            <w:r>
              <w:rPr>
                <w:rFonts w:hint="eastAsia" w:eastAsia="PMingLiU" w:cs="Times New Roman"/>
              </w:rPr>
              <w:t>用于还房贷</w:t>
            </w:r>
            <w:r>
              <w:rPr>
                <w:rFonts w:hint="eastAsia" w:eastAsia="Times New Roman" w:cs="Times New Roman"/>
              </w:rPr>
              <w:t xml:space="preserve"> / </w:t>
            </w:r>
            <w:r>
              <w:rPr>
                <w:rFonts w:hint="eastAsia" w:eastAsia="PMingLiU" w:cs="Times New Roman"/>
              </w:rPr>
              <w:t>购买理财产品。</w:t>
            </w:r>
          </w:p>
        </w:tc>
      </w:tr>
      <w:tr w14:paraId="0C60EFA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C85701B">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存一半，花一半。</w:t>
            </w:r>
          </w:p>
        </w:tc>
      </w:tr>
      <w:tr w14:paraId="3DA1804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B5061A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基本都花掉，用于改善生活。</w:t>
            </w:r>
          </w:p>
        </w:tc>
      </w:tr>
    </w:tbl>
    <w:p w14:paraId="48E691FC">
      <w:pPr>
        <w:ind w:firstLine="480"/>
        <w:rPr>
          <w:rFonts w:cs="Times New Roman"/>
        </w:rPr>
      </w:pPr>
    </w:p>
    <w:p w14:paraId="6A292A26">
      <w:pPr>
        <w:ind w:firstLine="480"/>
        <w:rPr>
          <w:rFonts w:cs="Times New Roman"/>
        </w:rPr>
      </w:pPr>
    </w:p>
    <w:p w14:paraId="14F0C38D">
      <w:pPr>
        <w:spacing w:line="360" w:lineRule="auto"/>
        <w:ind w:firstLine="480"/>
        <w:rPr>
          <w:rFonts w:cs="Times New Roman"/>
        </w:rPr>
      </w:pPr>
      <w:r>
        <w:rPr>
          <w:rFonts w:eastAsia="Times New Roman" w:cs="Times New Roman"/>
        </w:rPr>
        <w:t>8.</w:t>
      </w:r>
      <w:r>
        <w:rPr>
          <w:rFonts w:eastAsia="PMingLiU" w:cs="Times New Roman"/>
        </w:rPr>
        <w:t>（接上题）如果您决定花掉这笔钱，您主要会花在哪个领域</w:t>
      </w:r>
      <w:r>
        <w:rPr>
          <w:rFonts w:eastAsia="Times New Roman" w:cs="Times New Roman"/>
        </w:rPr>
        <w:t>?</w:t>
      </w:r>
      <w:r>
        <w:rPr>
          <w:rFonts w:eastAsia="PMingLiU" w:cs="Times New Roman"/>
        </w:rPr>
        <w:t>（请单选最主要的一项）</w:t>
      </w:r>
      <w:r>
        <w:rPr>
          <w:rFonts w:eastAsia="Times New Roman" w:cs="Times New Roman"/>
        </w:rPr>
        <w:t xml:space="preserve">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2E5346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14721DD">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吃喝餐饮（买好吃的、聚餐）</w:t>
            </w:r>
          </w:p>
        </w:tc>
      </w:tr>
      <w:tr w14:paraId="1A9968A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8FF2273">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○B. </w:t>
            </w:r>
            <w:r>
              <w:rPr>
                <w:rFonts w:hint="eastAsia" w:eastAsia="PMingLiU" w:cs="Times New Roman"/>
              </w:rPr>
              <w:t>电子</w:t>
            </w:r>
            <w:r>
              <w:rPr>
                <w:rFonts w:hint="eastAsia" w:eastAsia="Times New Roman" w:cs="Times New Roman"/>
              </w:rPr>
              <w:t>/</w:t>
            </w:r>
            <w:r>
              <w:rPr>
                <w:rFonts w:hint="eastAsia" w:eastAsia="PMingLiU" w:cs="Times New Roman"/>
              </w:rPr>
              <w:t>服装（买手机、衣服、包）</w:t>
            </w:r>
          </w:p>
        </w:tc>
      </w:tr>
      <w:tr w14:paraId="45970A6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539894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○C. </w:t>
            </w:r>
            <w:r>
              <w:rPr>
                <w:rFonts w:hint="eastAsia" w:eastAsia="PMingLiU" w:cs="Times New Roman"/>
              </w:rPr>
              <w:t>旅游出行（买机票、自驾游、住酒店）</w:t>
            </w:r>
          </w:p>
        </w:tc>
      </w:tr>
      <w:tr w14:paraId="79E0720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A95EE9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○D. </w:t>
            </w:r>
            <w:r>
              <w:rPr>
                <w:rFonts w:hint="eastAsia" w:eastAsia="PMingLiU" w:cs="Times New Roman"/>
              </w:rPr>
              <w:t>教育服务（网课、健身、美容、会员充值）</w:t>
            </w:r>
          </w:p>
        </w:tc>
      </w:tr>
    </w:tbl>
    <w:p w14:paraId="47B64D35">
      <w:pPr>
        <w:ind w:firstLine="480"/>
        <w:rPr>
          <w:rFonts w:cs="Times New Roman"/>
        </w:rPr>
      </w:pPr>
    </w:p>
    <w:p w14:paraId="7B69A894">
      <w:pPr>
        <w:ind w:firstLine="480"/>
        <w:rPr>
          <w:rFonts w:cs="Times New Roman"/>
        </w:rPr>
      </w:pPr>
    </w:p>
    <w:p w14:paraId="18DFBFC2">
      <w:pPr>
        <w:spacing w:line="360" w:lineRule="auto"/>
        <w:ind w:firstLine="480"/>
        <w:rPr>
          <w:rFonts w:cs="Times New Roman"/>
        </w:rPr>
      </w:pPr>
      <w:r>
        <w:rPr>
          <w:rFonts w:eastAsia="Times New Roman" w:cs="Times New Roman"/>
        </w:rPr>
        <w:t>9.</w:t>
      </w:r>
      <w:r>
        <w:rPr>
          <w:rFonts w:eastAsia="PMingLiU" w:cs="Times New Roman"/>
        </w:rPr>
        <w:t>（接上题）如果您选择进行上述消费</w:t>
      </w:r>
      <w:r>
        <w:rPr>
          <w:rFonts w:eastAsia="Times New Roman" w:cs="Times New Roman"/>
        </w:rPr>
        <w:t>/</w:t>
      </w:r>
      <w:r>
        <w:rPr>
          <w:rFonts w:eastAsia="PMingLiU" w:cs="Times New Roman"/>
        </w:rPr>
        <w:t>享受，请问您做这些决定的原因中，有多少比例是因为</w:t>
      </w:r>
      <w:r>
        <w:rPr>
          <w:rFonts w:eastAsia="Times New Roman" w:cs="Times New Roman"/>
        </w:rPr>
        <w:t>“</w:t>
      </w:r>
      <w:r>
        <w:rPr>
          <w:rFonts w:eastAsia="PMingLiU" w:cs="Times New Roman"/>
        </w:rPr>
        <w:t>觉得自己之前做了环保好事，值得奖励</w:t>
      </w:r>
      <w:r>
        <w:rPr>
          <w:rFonts w:eastAsia="Times New Roman" w:cs="Times New Roman"/>
        </w:rPr>
        <w:t>/</w:t>
      </w:r>
      <w:r>
        <w:rPr>
          <w:rFonts w:eastAsia="PMingLiU" w:cs="Times New Roman"/>
        </w:rPr>
        <w:t>补偿一下自己</w:t>
      </w:r>
      <w:r>
        <w:rPr>
          <w:rFonts w:eastAsia="Times New Roman" w:cs="Times New Roman"/>
        </w:rPr>
        <w:t>”? [</w:t>
      </w:r>
      <w:r>
        <w:rPr>
          <w:rFonts w:cs="Times New Roman"/>
        </w:rPr>
        <w:t>单</w:t>
      </w:r>
      <w:r>
        <w:rPr>
          <w:rFonts w:eastAsia="PMingLiU" w:cs="Times New Roman"/>
        </w:rPr>
        <w:t>选题</w:t>
      </w:r>
      <w:r>
        <w:rPr>
          <w:rFonts w:eastAsia="Times New Roman" w:cs="Times New Roman"/>
        </w:rPr>
        <w:t>]</w:t>
      </w:r>
      <w:r>
        <w:rPr>
          <w:rFonts w:eastAsia="Times New Roman" w:cs="Times New Roman"/>
          <w:color w:val="FF0000"/>
        </w:rPr>
        <w:t xml:space="preserve"> *</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938ABD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71F2FA3">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 0% (</w:t>
            </w:r>
            <w:r>
              <w:rPr>
                <w:rFonts w:hint="eastAsia" w:eastAsia="PMingLiU" w:cs="Times New Roman"/>
              </w:rPr>
              <w:t>完全是因为天气热</w:t>
            </w:r>
            <w:r>
              <w:rPr>
                <w:rFonts w:hint="eastAsia" w:eastAsia="Times New Roman" w:cs="Times New Roman"/>
              </w:rPr>
              <w:t>/</w:t>
            </w:r>
            <w:r>
              <w:rPr>
                <w:rFonts w:hint="eastAsia" w:eastAsia="PMingLiU" w:cs="Times New Roman"/>
              </w:rPr>
              <w:t>饿了</w:t>
            </w:r>
            <w:r>
              <w:rPr>
                <w:rFonts w:hint="eastAsia" w:eastAsia="Times New Roman" w:cs="Times New Roman"/>
              </w:rPr>
              <w:t>/</w:t>
            </w:r>
            <w:r>
              <w:rPr>
                <w:rFonts w:hint="eastAsia" w:eastAsia="PMingLiU" w:cs="Times New Roman"/>
              </w:rPr>
              <w:t>赶时间，与之前的环保行为无关</w:t>
            </w:r>
            <w:r>
              <w:rPr>
                <w:rFonts w:hint="eastAsia" w:eastAsia="Times New Roman" w:cs="Times New Roman"/>
              </w:rPr>
              <w:t>)</w:t>
            </w:r>
          </w:p>
        </w:tc>
      </w:tr>
      <w:tr w14:paraId="7655996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5B3452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 20% (</w:t>
            </w:r>
            <w:r>
              <w:rPr>
                <w:rFonts w:hint="eastAsia" w:eastAsia="PMingLiU" w:cs="Times New Roman"/>
              </w:rPr>
              <w:t>有一点点补偿心态</w:t>
            </w:r>
            <w:r>
              <w:rPr>
                <w:rFonts w:hint="eastAsia" w:eastAsia="Times New Roman" w:cs="Times New Roman"/>
              </w:rPr>
              <w:t>)</w:t>
            </w:r>
          </w:p>
        </w:tc>
      </w:tr>
      <w:tr w14:paraId="228B9B7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BE589F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 50% (</w:t>
            </w:r>
            <w:r>
              <w:rPr>
                <w:rFonts w:hint="eastAsia" w:eastAsia="PMingLiU" w:cs="Times New Roman"/>
              </w:rPr>
              <w:t>一半是因为需求，一半是因为想奖励自己</w:t>
            </w:r>
            <w:r>
              <w:rPr>
                <w:rFonts w:hint="eastAsia" w:eastAsia="Times New Roman" w:cs="Times New Roman"/>
              </w:rPr>
              <w:t>)</w:t>
            </w:r>
          </w:p>
        </w:tc>
      </w:tr>
      <w:tr w14:paraId="0A4688B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F69B81A">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 80%</w:t>
            </w:r>
            <w:r>
              <w:rPr>
                <w:rFonts w:hint="eastAsia" w:eastAsia="PMingLiU" w:cs="Times New Roman"/>
              </w:rPr>
              <w:t>（大部分是因为想奖励</w:t>
            </w:r>
            <w:r>
              <w:rPr>
                <w:rFonts w:hint="eastAsia" w:eastAsia="Times New Roman" w:cs="Times New Roman"/>
              </w:rPr>
              <w:t>/</w:t>
            </w:r>
            <w:r>
              <w:rPr>
                <w:rFonts w:hint="eastAsia" w:eastAsia="PMingLiU" w:cs="Times New Roman"/>
              </w:rPr>
              <w:t>补偿自己）</w:t>
            </w:r>
          </w:p>
        </w:tc>
      </w:tr>
      <w:tr w14:paraId="791A7AD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CBCD969">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 100% (</w:t>
            </w:r>
            <w:r>
              <w:rPr>
                <w:rFonts w:hint="eastAsia" w:eastAsia="PMingLiU" w:cs="Times New Roman"/>
              </w:rPr>
              <w:t>完全是因为觉得之前做了环保的事情，才允许自己放纵的</w:t>
            </w:r>
            <w:r>
              <w:rPr>
                <w:rFonts w:hint="eastAsia" w:eastAsia="Times New Roman" w:cs="Times New Roman"/>
              </w:rPr>
              <w:t>)</w:t>
            </w:r>
          </w:p>
        </w:tc>
      </w:tr>
    </w:tbl>
    <w:p w14:paraId="69A13DA4">
      <w:pPr>
        <w:ind w:firstLine="480"/>
        <w:rPr>
          <w:rFonts w:cs="Times New Roman"/>
        </w:rPr>
      </w:pPr>
    </w:p>
    <w:p w14:paraId="409BAB1E">
      <w:pPr>
        <w:spacing w:line="360" w:lineRule="auto"/>
        <w:ind w:firstLine="480"/>
        <w:rPr>
          <w:rFonts w:cs="Times New Roman"/>
        </w:rPr>
      </w:pPr>
      <w:r>
        <w:rPr>
          <w:rFonts w:eastAsia="Times New Roman" w:cs="Times New Roman"/>
        </w:rPr>
        <w:t>10.</w:t>
      </w:r>
      <w:r>
        <w:rPr>
          <w:rFonts w:eastAsia="PMingLiU" w:cs="Times New Roman"/>
        </w:rPr>
        <w:t>假设您坚持在日常饮食中用豆腐代替一半的肉类。由于豆腐的价格远低于肉类，一年下来，您发现家里的买菜开销因此减少了约</w:t>
      </w:r>
      <w:r>
        <w:rPr>
          <w:rFonts w:eastAsia="Times New Roman" w:cs="Times New Roman"/>
        </w:rPr>
        <w:t xml:space="preserve"> 1500</w:t>
      </w:r>
      <w:r>
        <w:rPr>
          <w:rFonts w:eastAsia="PMingLiU" w:cs="Times New Roman"/>
        </w:rPr>
        <w:t>元。这笔额外的</w:t>
      </w:r>
      <w:r>
        <w:rPr>
          <w:rFonts w:eastAsia="Times New Roman" w:cs="Times New Roman"/>
        </w:rPr>
        <w:t>“</w:t>
      </w:r>
      <w:r>
        <w:rPr>
          <w:rFonts w:eastAsia="PMingLiU" w:cs="Times New Roman"/>
        </w:rPr>
        <w:t>省下来的钱</w:t>
      </w:r>
      <w:r>
        <w:rPr>
          <w:rFonts w:eastAsia="Times New Roman" w:cs="Times New Roman"/>
        </w:rPr>
        <w:t>”</w:t>
      </w:r>
      <w:r>
        <w:rPr>
          <w:rFonts w:eastAsia="PMingLiU" w:cs="Times New Roman"/>
        </w:rPr>
        <w:t>，您最可能怎么处理</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E71C95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23B273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全部存起来</w:t>
            </w:r>
            <w:r>
              <w:rPr>
                <w:rFonts w:hint="eastAsia" w:eastAsia="Times New Roman" w:cs="Times New Roman"/>
              </w:rPr>
              <w:t xml:space="preserve"> / </w:t>
            </w:r>
            <w:r>
              <w:rPr>
                <w:rFonts w:hint="eastAsia" w:eastAsia="PMingLiU" w:cs="Times New Roman"/>
              </w:rPr>
              <w:t>用于还房贷</w:t>
            </w:r>
            <w:r>
              <w:rPr>
                <w:rFonts w:hint="eastAsia" w:eastAsia="Times New Roman" w:cs="Times New Roman"/>
              </w:rPr>
              <w:t xml:space="preserve"> / </w:t>
            </w:r>
            <w:r>
              <w:rPr>
                <w:rFonts w:hint="eastAsia" w:eastAsia="PMingLiU" w:cs="Times New Roman"/>
              </w:rPr>
              <w:t>购买理财产品。</w:t>
            </w:r>
          </w:p>
        </w:tc>
      </w:tr>
      <w:tr w14:paraId="31126EE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B9C8C31">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存一半，花一半。</w:t>
            </w:r>
          </w:p>
        </w:tc>
      </w:tr>
      <w:tr w14:paraId="4E5CB41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0B5807C">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基本都花掉，用于改善生活（如买零食、添置衣物、外出就餐等）。</w:t>
            </w:r>
          </w:p>
        </w:tc>
      </w:tr>
    </w:tbl>
    <w:p w14:paraId="73387890">
      <w:pPr>
        <w:ind w:firstLine="480"/>
        <w:rPr>
          <w:rFonts w:cs="Times New Roman"/>
        </w:rPr>
      </w:pPr>
    </w:p>
    <w:p w14:paraId="67594A11">
      <w:pPr>
        <w:ind w:firstLine="480"/>
        <w:rPr>
          <w:rFonts w:cs="Times New Roman"/>
        </w:rPr>
      </w:pPr>
    </w:p>
    <w:p w14:paraId="1A776095">
      <w:pPr>
        <w:spacing w:line="360" w:lineRule="auto"/>
        <w:ind w:firstLine="480"/>
        <w:rPr>
          <w:rFonts w:cs="Times New Roman"/>
        </w:rPr>
      </w:pPr>
      <w:r>
        <w:rPr>
          <w:rFonts w:eastAsia="Times New Roman" w:cs="Times New Roman"/>
        </w:rPr>
        <w:t>11.</w:t>
      </w:r>
      <w:r>
        <w:rPr>
          <w:rFonts w:eastAsia="PMingLiU" w:cs="Times New Roman"/>
        </w:rPr>
        <w:t>（接上题）如果您决定花掉这笔钱，您主要会花在哪个领域</w:t>
      </w:r>
      <w:r>
        <w:rPr>
          <w:rFonts w:eastAsia="Times New Roman" w:cs="Times New Roman"/>
        </w:rPr>
        <w:t>?</w:t>
      </w:r>
      <w:r>
        <w:rPr>
          <w:rFonts w:eastAsia="PMingLiU" w:cs="Times New Roman"/>
        </w:rPr>
        <w:t>（请单选最主要的一项）</w:t>
      </w:r>
      <w:r>
        <w:rPr>
          <w:rFonts w:eastAsia="Times New Roman" w:cs="Times New Roman"/>
        </w:rPr>
        <w:t xml:space="preserve">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361FA9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9F38F2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吃喝餐饮（买好吃的、聚餐）</w:t>
            </w:r>
          </w:p>
        </w:tc>
      </w:tr>
      <w:tr w14:paraId="5D66C07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F517FFA">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○B. </w:t>
            </w:r>
            <w:r>
              <w:rPr>
                <w:rFonts w:hint="eastAsia" w:eastAsia="PMingLiU" w:cs="Times New Roman"/>
              </w:rPr>
              <w:t>电子</w:t>
            </w:r>
            <w:r>
              <w:rPr>
                <w:rFonts w:hint="eastAsia" w:eastAsia="Times New Roman" w:cs="Times New Roman"/>
              </w:rPr>
              <w:t>/</w:t>
            </w:r>
            <w:r>
              <w:rPr>
                <w:rFonts w:hint="eastAsia" w:eastAsia="PMingLiU" w:cs="Times New Roman"/>
              </w:rPr>
              <w:t>服装（买手机、衣服、包）</w:t>
            </w:r>
          </w:p>
        </w:tc>
      </w:tr>
      <w:tr w14:paraId="60988AC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C7F243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○C. </w:t>
            </w:r>
            <w:r>
              <w:rPr>
                <w:rFonts w:hint="eastAsia" w:eastAsia="PMingLiU" w:cs="Times New Roman"/>
              </w:rPr>
              <w:t>旅游出行（买机票、自驾游、住酒店）</w:t>
            </w:r>
          </w:p>
        </w:tc>
      </w:tr>
      <w:tr w14:paraId="1592E7B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8F9A3F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 xml:space="preserve">○D. </w:t>
            </w:r>
            <w:r>
              <w:rPr>
                <w:rFonts w:hint="eastAsia" w:eastAsia="PMingLiU" w:cs="Times New Roman"/>
              </w:rPr>
              <w:t>教育服务（网课、健身、美容、会员充值）</w:t>
            </w:r>
          </w:p>
        </w:tc>
      </w:tr>
    </w:tbl>
    <w:p w14:paraId="0B475DD8">
      <w:pPr>
        <w:ind w:firstLine="480"/>
        <w:rPr>
          <w:rFonts w:cs="Times New Roman"/>
        </w:rPr>
      </w:pPr>
    </w:p>
    <w:p w14:paraId="59784194">
      <w:pPr>
        <w:ind w:firstLine="480"/>
        <w:rPr>
          <w:rFonts w:cs="Times New Roman"/>
        </w:rPr>
      </w:pPr>
    </w:p>
    <w:p w14:paraId="09459F98">
      <w:pPr>
        <w:spacing w:line="360" w:lineRule="auto"/>
        <w:ind w:firstLine="480"/>
        <w:rPr>
          <w:rFonts w:cs="Times New Roman"/>
        </w:rPr>
      </w:pPr>
      <w:r>
        <w:rPr>
          <w:rFonts w:eastAsia="Times New Roman" w:cs="Times New Roman"/>
        </w:rPr>
        <w:t>12.(</w:t>
      </w:r>
      <w:r>
        <w:rPr>
          <w:rFonts w:eastAsia="PMingLiU" w:cs="Times New Roman"/>
        </w:rPr>
        <w:t>接上题</w:t>
      </w:r>
      <w:r>
        <w:rPr>
          <w:rFonts w:eastAsia="Times New Roman" w:cs="Times New Roman"/>
        </w:rPr>
        <w:t xml:space="preserve">) </w:t>
      </w:r>
      <w:r>
        <w:rPr>
          <w:rFonts w:eastAsia="PMingLiU" w:cs="Times New Roman"/>
        </w:rPr>
        <w:t>如果您选择了</w:t>
      </w:r>
      <w:r>
        <w:rPr>
          <w:rFonts w:eastAsia="Times New Roman" w:cs="Times New Roman"/>
        </w:rPr>
        <w:t>“</w:t>
      </w:r>
      <w:r>
        <w:rPr>
          <w:rFonts w:eastAsia="PMingLiU" w:cs="Times New Roman"/>
        </w:rPr>
        <w:t>可能会</w:t>
      </w:r>
      <w:r>
        <w:rPr>
          <w:rFonts w:eastAsia="Times New Roman" w:cs="Times New Roman"/>
        </w:rPr>
        <w:t>”</w:t>
      </w:r>
      <w:r>
        <w:rPr>
          <w:rFonts w:eastAsia="PMingLiU" w:cs="Times New Roman"/>
        </w:rPr>
        <w:t>或</w:t>
      </w:r>
      <w:r>
        <w:rPr>
          <w:rFonts w:eastAsia="Times New Roman" w:cs="Times New Roman"/>
        </w:rPr>
        <w:t>“</w:t>
      </w:r>
      <w:r>
        <w:rPr>
          <w:rFonts w:eastAsia="PMingLiU" w:cs="Times New Roman"/>
        </w:rPr>
        <w:t>肯定会</w:t>
      </w:r>
      <w:r>
        <w:rPr>
          <w:rFonts w:eastAsia="Times New Roman" w:cs="Times New Roman"/>
        </w:rPr>
        <w:t>”</w:t>
      </w:r>
      <w:r>
        <w:rPr>
          <w:rFonts w:eastAsia="PMingLiU" w:cs="Times New Roman"/>
        </w:rPr>
        <w:t>进行上述消费</w:t>
      </w:r>
      <w:r>
        <w:rPr>
          <w:rFonts w:eastAsia="Times New Roman" w:cs="Times New Roman"/>
        </w:rPr>
        <w:t>/</w:t>
      </w:r>
      <w:r>
        <w:rPr>
          <w:rFonts w:eastAsia="PMingLiU" w:cs="Times New Roman"/>
        </w:rPr>
        <w:t>享受，请问您做这些决定的原因中，有多少比例是因为</w:t>
      </w:r>
      <w:r>
        <w:rPr>
          <w:rFonts w:eastAsia="Times New Roman" w:cs="Times New Roman"/>
        </w:rPr>
        <w:t>“</w:t>
      </w:r>
      <w:r>
        <w:rPr>
          <w:rFonts w:eastAsia="PMingLiU" w:cs="Times New Roman"/>
        </w:rPr>
        <w:t>觉得自己之前做了环保好事，值得奖励</w:t>
      </w:r>
      <w:r>
        <w:rPr>
          <w:rFonts w:eastAsia="Times New Roman" w:cs="Times New Roman"/>
        </w:rPr>
        <w:t>/</w:t>
      </w:r>
      <w:r>
        <w:rPr>
          <w:rFonts w:eastAsia="PMingLiU" w:cs="Times New Roman"/>
        </w:rPr>
        <w:t>补偿一下自己</w:t>
      </w:r>
      <w:r>
        <w:rPr>
          <w:rFonts w:eastAsia="Times New Roman" w:cs="Times New Roman"/>
        </w:rPr>
        <w:t>”? [</w:t>
      </w:r>
      <w:r>
        <w:rPr>
          <w:rFonts w:eastAsia="PMingLiU" w:cs="Times New Roman"/>
        </w:rPr>
        <w:t>多选题</w:t>
      </w:r>
      <w:r>
        <w:rPr>
          <w:rFonts w:eastAsia="Times New Roman" w:cs="Times New Roman"/>
        </w:rPr>
        <w:t>]</w:t>
      </w:r>
      <w:r>
        <w:rPr>
          <w:rFonts w:eastAsia="Times New Roman" w:cs="Times New Roman"/>
          <w:color w:val="FF0000"/>
        </w:rPr>
        <w:t xml:space="preserve"> *</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2B24AE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400" w:type="dxa"/>
            <w:shd w:val="clear" w:color="auto" w:fill="FFFFFF"/>
            <w:vAlign w:val="center"/>
          </w:tcPr>
          <w:p w14:paraId="39C25EAB">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 0% (</w:t>
            </w:r>
            <w:r>
              <w:rPr>
                <w:rFonts w:hint="eastAsia" w:eastAsia="PMingLiU" w:cs="Times New Roman"/>
              </w:rPr>
              <w:t>完全是因为天气热</w:t>
            </w:r>
            <w:r>
              <w:rPr>
                <w:rFonts w:hint="eastAsia" w:eastAsia="Times New Roman" w:cs="Times New Roman"/>
              </w:rPr>
              <w:t>/</w:t>
            </w:r>
            <w:r>
              <w:rPr>
                <w:rFonts w:hint="eastAsia" w:eastAsia="PMingLiU" w:cs="Times New Roman"/>
              </w:rPr>
              <w:t>饿了</w:t>
            </w:r>
            <w:r>
              <w:rPr>
                <w:rFonts w:hint="eastAsia" w:eastAsia="Times New Roman" w:cs="Times New Roman"/>
              </w:rPr>
              <w:t>/</w:t>
            </w:r>
            <w:r>
              <w:rPr>
                <w:rFonts w:hint="eastAsia" w:eastAsia="PMingLiU" w:cs="Times New Roman"/>
              </w:rPr>
              <w:t>赶时间，与之前的环保行为无关</w:t>
            </w:r>
            <w:r>
              <w:rPr>
                <w:rFonts w:hint="eastAsia" w:eastAsia="Times New Roman" w:cs="Times New Roman"/>
              </w:rPr>
              <w:t>)</w:t>
            </w:r>
          </w:p>
        </w:tc>
      </w:tr>
      <w:tr w14:paraId="0043990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B0BEDF6">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 20% (</w:t>
            </w:r>
            <w:r>
              <w:rPr>
                <w:rFonts w:hint="eastAsia" w:eastAsia="PMingLiU" w:cs="Times New Roman"/>
              </w:rPr>
              <w:t>有一点点补偿心态</w:t>
            </w:r>
            <w:r>
              <w:rPr>
                <w:rFonts w:hint="eastAsia" w:eastAsia="Times New Roman" w:cs="Times New Roman"/>
              </w:rPr>
              <w:t>)</w:t>
            </w:r>
          </w:p>
        </w:tc>
      </w:tr>
      <w:tr w14:paraId="72FD08E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502706C">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 50% (</w:t>
            </w:r>
            <w:r>
              <w:rPr>
                <w:rFonts w:hint="eastAsia" w:eastAsia="PMingLiU" w:cs="Times New Roman"/>
              </w:rPr>
              <w:t>一半是因为需求，一半是因</w:t>
            </w:r>
            <w:r>
              <w:rPr>
                <w:rFonts w:hint="eastAsia" w:eastAsia="Times New Roman" w:cs="Times New Roman"/>
              </w:rPr>
              <w:t>·</w:t>
            </w:r>
            <w:r>
              <w:rPr>
                <w:rFonts w:hint="eastAsia" w:eastAsia="PMingLiU" w:cs="Times New Roman"/>
              </w:rPr>
              <w:t>为想奖励自己</w:t>
            </w:r>
            <w:r>
              <w:rPr>
                <w:rFonts w:hint="eastAsia" w:eastAsia="Times New Roman" w:cs="Times New Roman"/>
              </w:rPr>
              <w:t>)</w:t>
            </w:r>
          </w:p>
        </w:tc>
      </w:tr>
      <w:tr w14:paraId="18BE4D5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55A02D2">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 80%</w:t>
            </w:r>
            <w:r>
              <w:rPr>
                <w:rFonts w:hint="eastAsia" w:eastAsia="PMingLiU" w:cs="Times New Roman"/>
              </w:rPr>
              <w:t>（大部分是因为想奖励</w:t>
            </w:r>
            <w:r>
              <w:rPr>
                <w:rFonts w:hint="eastAsia" w:eastAsia="Times New Roman" w:cs="Times New Roman"/>
              </w:rPr>
              <w:t>/</w:t>
            </w:r>
            <w:r>
              <w:rPr>
                <w:rFonts w:hint="eastAsia" w:eastAsia="PMingLiU" w:cs="Times New Roman"/>
              </w:rPr>
              <w:t>补偿自己）</w:t>
            </w:r>
          </w:p>
        </w:tc>
      </w:tr>
      <w:tr w14:paraId="745CDAE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B71CC4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 100% (</w:t>
            </w:r>
            <w:r>
              <w:rPr>
                <w:rFonts w:hint="eastAsia" w:eastAsia="PMingLiU" w:cs="Times New Roman"/>
              </w:rPr>
              <w:t>完全是因为觉得做了环保的事情，才允许自己放纵的</w:t>
            </w:r>
            <w:r>
              <w:rPr>
                <w:rFonts w:hint="eastAsia" w:eastAsia="Times New Roman" w:cs="Times New Roman"/>
              </w:rPr>
              <w:t>)</w:t>
            </w:r>
          </w:p>
        </w:tc>
      </w:tr>
    </w:tbl>
    <w:p w14:paraId="272FFF73">
      <w:pPr>
        <w:ind w:firstLine="480"/>
        <w:rPr>
          <w:rFonts w:cs="Times New Roman"/>
        </w:rPr>
      </w:pPr>
    </w:p>
    <w:p w14:paraId="397A8B11">
      <w:pPr>
        <w:spacing w:line="360" w:lineRule="auto"/>
        <w:ind w:firstLine="480"/>
        <w:rPr>
          <w:rFonts w:cs="Times New Roman"/>
        </w:rPr>
      </w:pPr>
      <w:r>
        <w:rPr>
          <w:rFonts w:eastAsia="Times New Roman" w:cs="Times New Roman"/>
        </w:rPr>
        <w:t>13.</w:t>
      </w:r>
      <w:r>
        <w:rPr>
          <w:rFonts w:eastAsia="PMingLiU" w:cs="Times New Roman"/>
        </w:rPr>
        <w:t>您的性别（）</w:t>
      </w:r>
      <w:r>
        <w:rPr>
          <w:rFonts w:eastAsia="Times New Roman" w:cs="Times New Roman"/>
        </w:rPr>
        <w:t xml:space="preserve">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21DAF87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3680" w:type="dxa"/>
            <w:shd w:val="clear" w:color="auto" w:fill="FFFFFF"/>
            <w:vAlign w:val="center"/>
          </w:tcPr>
          <w:p w14:paraId="7379976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、男</w:t>
            </w:r>
          </w:p>
        </w:tc>
        <w:tc>
          <w:tcPr>
            <w:tcW w:w="3680" w:type="dxa"/>
            <w:shd w:val="clear" w:color="auto" w:fill="FFFFFF"/>
            <w:vAlign w:val="center"/>
          </w:tcPr>
          <w:p w14:paraId="200770B8">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、女</w:t>
            </w:r>
          </w:p>
        </w:tc>
      </w:tr>
    </w:tbl>
    <w:p w14:paraId="061A7AC0">
      <w:pPr>
        <w:ind w:firstLine="480"/>
        <w:rPr>
          <w:rFonts w:cs="Times New Roman"/>
        </w:rPr>
      </w:pPr>
    </w:p>
    <w:p w14:paraId="4194B3D4">
      <w:pPr>
        <w:ind w:firstLine="480"/>
        <w:rPr>
          <w:rFonts w:cs="Times New Roman"/>
        </w:rPr>
      </w:pPr>
    </w:p>
    <w:p w14:paraId="766AB8DC">
      <w:pPr>
        <w:spacing w:line="360" w:lineRule="auto"/>
        <w:ind w:firstLine="480"/>
        <w:rPr>
          <w:rFonts w:cs="Times New Roman"/>
        </w:rPr>
      </w:pPr>
      <w:r>
        <w:rPr>
          <w:rFonts w:eastAsia="Times New Roman" w:cs="Times New Roman"/>
        </w:rPr>
        <w:t>14.</w:t>
      </w:r>
      <w:r>
        <w:rPr>
          <w:rFonts w:eastAsia="PMingLiU" w:cs="Times New Roman"/>
        </w:rPr>
        <w:t>您的年龄（）岁</w:t>
      </w:r>
      <w:r>
        <w:rPr>
          <w:rFonts w:eastAsia="Times New Roman" w:cs="Times New Roman"/>
        </w:rPr>
        <w:t xml:space="preserve">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D03E4E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F4D578B">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w:t>
            </w:r>
            <w:r>
              <w:rPr>
                <w:rFonts w:hint="eastAsia" w:eastAsia="Times New Roman" w:cs="Times New Roman"/>
              </w:rPr>
              <w:t>18</w:t>
            </w:r>
            <w:r>
              <w:rPr>
                <w:rFonts w:hint="eastAsia" w:eastAsia="PMingLiU" w:cs="Times New Roman"/>
              </w:rPr>
              <w:t>岁以下</w:t>
            </w:r>
          </w:p>
        </w:tc>
      </w:tr>
      <w:tr w14:paraId="1A0C350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D029C02">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w:t>
            </w:r>
            <w:r>
              <w:rPr>
                <w:rFonts w:hint="eastAsia" w:eastAsia="Times New Roman" w:cs="Times New Roman"/>
              </w:rPr>
              <w:t>18-25</w:t>
            </w:r>
            <w:r>
              <w:rPr>
                <w:rFonts w:hint="eastAsia" w:eastAsia="PMingLiU" w:cs="Times New Roman"/>
              </w:rPr>
              <w:t>岁</w:t>
            </w:r>
          </w:p>
        </w:tc>
      </w:tr>
      <w:tr w14:paraId="1D86029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443F3D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w:t>
            </w:r>
            <w:r>
              <w:rPr>
                <w:rFonts w:hint="eastAsia" w:eastAsia="Times New Roman" w:cs="Times New Roman"/>
              </w:rPr>
              <w:t>26-30</w:t>
            </w:r>
            <w:r>
              <w:rPr>
                <w:rFonts w:hint="eastAsia" w:eastAsia="PMingLiU" w:cs="Times New Roman"/>
              </w:rPr>
              <w:t>岁</w:t>
            </w:r>
          </w:p>
        </w:tc>
      </w:tr>
      <w:tr w14:paraId="62B5803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12DA25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w:t>
            </w:r>
            <w:r>
              <w:rPr>
                <w:rFonts w:hint="eastAsia" w:eastAsia="Times New Roman" w:cs="Times New Roman"/>
              </w:rPr>
              <w:t>31-40</w:t>
            </w:r>
            <w:r>
              <w:rPr>
                <w:rFonts w:hint="eastAsia" w:eastAsia="PMingLiU" w:cs="Times New Roman"/>
              </w:rPr>
              <w:t>岁</w:t>
            </w:r>
          </w:p>
        </w:tc>
      </w:tr>
      <w:tr w14:paraId="5585D8A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731C7BF">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w:t>
            </w:r>
            <w:r>
              <w:rPr>
                <w:rFonts w:hint="eastAsia" w:eastAsia="PMingLiU" w:cs="Times New Roman"/>
              </w:rPr>
              <w:t>、</w:t>
            </w:r>
            <w:r>
              <w:rPr>
                <w:rFonts w:hint="eastAsia" w:eastAsia="Times New Roman" w:cs="Times New Roman"/>
              </w:rPr>
              <w:t>41-50</w:t>
            </w:r>
            <w:r>
              <w:rPr>
                <w:rFonts w:hint="eastAsia" w:eastAsia="PMingLiU" w:cs="Times New Roman"/>
              </w:rPr>
              <w:t>岁</w:t>
            </w:r>
          </w:p>
        </w:tc>
      </w:tr>
      <w:tr w14:paraId="03C0EE0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63CB3A8">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○F</w:t>
            </w:r>
            <w:r>
              <w:rPr>
                <w:rFonts w:hint="eastAsia" w:eastAsia="PMingLiU" w:cs="Times New Roman"/>
              </w:rPr>
              <w:t>、</w:t>
            </w:r>
            <w:r>
              <w:rPr>
                <w:rFonts w:hint="eastAsia" w:eastAsia="Times New Roman" w:cs="Times New Roman"/>
              </w:rPr>
              <w:t>51-60</w:t>
            </w:r>
            <w:r>
              <w:rPr>
                <w:rFonts w:hint="eastAsia" w:eastAsia="PMingLiU" w:cs="Times New Roman"/>
              </w:rPr>
              <w:t>岁</w:t>
            </w:r>
          </w:p>
        </w:tc>
      </w:tr>
      <w:tr w14:paraId="7C26B5E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6FDDA0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○G</w:t>
            </w:r>
            <w:r>
              <w:rPr>
                <w:rFonts w:hint="eastAsia" w:eastAsia="PMingLiU" w:cs="Times New Roman"/>
              </w:rPr>
              <w:t>、</w:t>
            </w:r>
            <w:r>
              <w:rPr>
                <w:rFonts w:hint="eastAsia" w:eastAsia="Times New Roman" w:cs="Times New Roman"/>
              </w:rPr>
              <w:t>60</w:t>
            </w:r>
            <w:r>
              <w:rPr>
                <w:rFonts w:hint="eastAsia" w:eastAsia="PMingLiU" w:cs="Times New Roman"/>
              </w:rPr>
              <w:t>岁以上</w:t>
            </w:r>
          </w:p>
        </w:tc>
      </w:tr>
    </w:tbl>
    <w:p w14:paraId="37801B41">
      <w:pPr>
        <w:ind w:firstLine="480"/>
        <w:rPr>
          <w:rFonts w:cs="Times New Roman"/>
        </w:rPr>
      </w:pPr>
    </w:p>
    <w:p w14:paraId="26754CCE">
      <w:pPr>
        <w:ind w:firstLine="480"/>
        <w:rPr>
          <w:rFonts w:cs="Times New Roman"/>
        </w:rPr>
      </w:pPr>
    </w:p>
    <w:p w14:paraId="2DC8FB5F">
      <w:pPr>
        <w:spacing w:line="360" w:lineRule="auto"/>
        <w:ind w:firstLine="480"/>
        <w:rPr>
          <w:rFonts w:cs="Times New Roman"/>
        </w:rPr>
      </w:pPr>
      <w:r>
        <w:rPr>
          <w:rFonts w:eastAsia="Times New Roman" w:cs="Times New Roman"/>
        </w:rPr>
        <w:t>15.</w:t>
      </w:r>
      <w:r>
        <w:rPr>
          <w:rFonts w:eastAsia="PMingLiU" w:cs="Times New Roman"/>
        </w:rPr>
        <w:t>您的职业（）</w:t>
      </w:r>
      <w:r>
        <w:rPr>
          <w:rFonts w:eastAsia="Times New Roman" w:cs="Times New Roman"/>
        </w:rPr>
        <w:t xml:space="preserve">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AC9BC4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A54AE6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、农民</w:t>
            </w:r>
          </w:p>
        </w:tc>
      </w:tr>
      <w:tr w14:paraId="1C396C2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751B63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、企业职工</w:t>
            </w:r>
          </w:p>
        </w:tc>
      </w:tr>
      <w:tr w14:paraId="57CF6CA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A4705EA">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、政府部门工作人员</w:t>
            </w:r>
          </w:p>
        </w:tc>
      </w:tr>
      <w:tr w14:paraId="38C1186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F6C3C7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、个体户</w:t>
            </w:r>
          </w:p>
        </w:tc>
      </w:tr>
      <w:tr w14:paraId="11CC5B6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EDCF617">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w:t>
            </w:r>
            <w:r>
              <w:rPr>
                <w:rFonts w:hint="eastAsia" w:eastAsia="PMingLiU" w:cs="Times New Roman"/>
              </w:rPr>
              <w:t>、教师</w:t>
            </w:r>
          </w:p>
        </w:tc>
      </w:tr>
      <w:tr w14:paraId="6459B19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D7381A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○F</w:t>
            </w:r>
            <w:r>
              <w:rPr>
                <w:rFonts w:hint="eastAsia" w:eastAsia="PMingLiU" w:cs="Times New Roman"/>
              </w:rPr>
              <w:t>、学生</w:t>
            </w:r>
          </w:p>
        </w:tc>
      </w:tr>
      <w:tr w14:paraId="6EE74AC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8A681F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○G</w:t>
            </w:r>
            <w:r>
              <w:rPr>
                <w:rFonts w:hint="eastAsia" w:eastAsia="PMingLiU" w:cs="Times New Roman"/>
              </w:rPr>
              <w:t>、科研人员</w:t>
            </w:r>
          </w:p>
        </w:tc>
      </w:tr>
      <w:tr w14:paraId="262659A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6B05E8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○H</w:t>
            </w:r>
            <w:r>
              <w:rPr>
                <w:rFonts w:hint="eastAsia" w:eastAsia="PMingLiU" w:cs="Times New Roman"/>
              </w:rPr>
              <w:t>、退休人员</w:t>
            </w:r>
          </w:p>
        </w:tc>
      </w:tr>
      <w:tr w14:paraId="73FBF6C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D59CFCF">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○I</w:t>
            </w:r>
            <w:r>
              <w:rPr>
                <w:rFonts w:hint="eastAsia" w:eastAsia="PMingLiU" w:cs="Times New Roman"/>
              </w:rPr>
              <w:t>、其他</w:t>
            </w:r>
          </w:p>
        </w:tc>
      </w:tr>
    </w:tbl>
    <w:p w14:paraId="56B6F284">
      <w:pPr>
        <w:ind w:firstLine="480"/>
        <w:rPr>
          <w:rFonts w:cs="Times New Roman"/>
        </w:rPr>
      </w:pPr>
    </w:p>
    <w:p w14:paraId="66D0DAA4">
      <w:pPr>
        <w:ind w:firstLine="480"/>
        <w:rPr>
          <w:rFonts w:cs="Times New Roman"/>
        </w:rPr>
      </w:pPr>
    </w:p>
    <w:p w14:paraId="6EC3B545">
      <w:pPr>
        <w:spacing w:line="360" w:lineRule="auto"/>
        <w:ind w:firstLine="480"/>
        <w:rPr>
          <w:rFonts w:cs="Times New Roman"/>
        </w:rPr>
      </w:pPr>
      <w:r>
        <w:rPr>
          <w:rFonts w:eastAsia="Times New Roman" w:cs="Times New Roman"/>
        </w:rPr>
        <w:t>16.</w:t>
      </w:r>
      <w:r>
        <w:rPr>
          <w:rFonts w:eastAsia="PMingLiU" w:cs="Times New Roman"/>
        </w:rPr>
        <w:t>请选择您所居住的城市为</w:t>
      </w:r>
      <w:r>
        <w:rPr>
          <w:rFonts w:eastAsia="Times New Roman" w:cs="Times New Roman"/>
        </w:rPr>
        <w:t>: [</w:t>
      </w:r>
      <w:r>
        <w:rPr>
          <w:rFonts w:eastAsia="PMingLiU" w:cs="Times New Roman"/>
        </w:rPr>
        <w:t>填空题</w:t>
      </w:r>
      <w:r>
        <w:rPr>
          <w:rFonts w:eastAsia="Times New Roman" w:cs="Times New Roman"/>
        </w:rPr>
        <w:t xml:space="preserve">] </w:t>
      </w:r>
      <w:r>
        <w:rPr>
          <w:rFonts w:eastAsia="Times New Roman" w:cs="Times New Roman"/>
          <w:color w:val="FF0000"/>
        </w:rPr>
        <w:t>*</w:t>
      </w:r>
    </w:p>
    <w:p w14:paraId="18D5933C">
      <w:pPr>
        <w:ind w:firstLine="480"/>
        <w:rPr>
          <w:rFonts w:cs="Times New Roman"/>
        </w:rPr>
      </w:pPr>
      <w:r>
        <w:rPr>
          <w:rFonts w:cs="Times New Roman"/>
        </w:rPr>
        <w:t>_________________________________</w:t>
      </w:r>
    </w:p>
    <w:p w14:paraId="64447306">
      <w:pPr>
        <w:ind w:firstLine="480"/>
        <w:rPr>
          <w:rFonts w:cs="Times New Roman"/>
        </w:rPr>
      </w:pPr>
    </w:p>
    <w:p w14:paraId="11E6100B">
      <w:pPr>
        <w:spacing w:line="360" w:lineRule="auto"/>
        <w:ind w:firstLine="480"/>
        <w:rPr>
          <w:rFonts w:cs="Times New Roman"/>
        </w:rPr>
      </w:pPr>
      <w:r>
        <w:rPr>
          <w:rFonts w:eastAsia="Times New Roman" w:cs="Times New Roman"/>
        </w:rPr>
        <w:t>17.</w:t>
      </w:r>
      <w:r>
        <w:rPr>
          <w:rFonts w:eastAsia="PMingLiU" w:cs="Times New Roman"/>
        </w:rPr>
        <w:t>您的婚姻状况（）</w:t>
      </w:r>
      <w:r>
        <w:rPr>
          <w:rFonts w:eastAsia="Times New Roman" w:cs="Times New Roman"/>
        </w:rPr>
        <w:t xml:space="preserve">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8C2EB0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D9E6A1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、未婚</w:t>
            </w:r>
          </w:p>
        </w:tc>
      </w:tr>
      <w:tr w14:paraId="6440C03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0FF1933">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、有配偶（在婚）</w:t>
            </w:r>
          </w:p>
        </w:tc>
      </w:tr>
      <w:tr w14:paraId="18E77BD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EEB3432">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、离异</w:t>
            </w:r>
          </w:p>
        </w:tc>
      </w:tr>
      <w:tr w14:paraId="7897CA8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F416C17">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、丧偶</w:t>
            </w:r>
          </w:p>
        </w:tc>
      </w:tr>
    </w:tbl>
    <w:p w14:paraId="1C4C2DD8">
      <w:pPr>
        <w:ind w:firstLine="480"/>
        <w:rPr>
          <w:rFonts w:cs="Times New Roman"/>
        </w:rPr>
      </w:pPr>
    </w:p>
    <w:p w14:paraId="1B6C0515">
      <w:pPr>
        <w:ind w:firstLine="480"/>
        <w:rPr>
          <w:rFonts w:cs="Times New Roman"/>
        </w:rPr>
      </w:pPr>
    </w:p>
    <w:p w14:paraId="3113359A">
      <w:pPr>
        <w:spacing w:line="360" w:lineRule="auto"/>
        <w:ind w:firstLine="480"/>
        <w:rPr>
          <w:rFonts w:cs="Times New Roman"/>
        </w:rPr>
      </w:pPr>
      <w:r>
        <w:rPr>
          <w:rFonts w:eastAsia="Times New Roman" w:cs="Times New Roman"/>
        </w:rPr>
        <w:t>18.</w:t>
      </w:r>
      <w:r>
        <w:rPr>
          <w:rFonts w:eastAsia="PMingLiU" w:cs="Times New Roman"/>
        </w:rPr>
        <w:t>家庭成员数量</w:t>
      </w:r>
      <w:r>
        <w:rPr>
          <w:rFonts w:eastAsia="Times New Roman" w:cs="Times New Roman"/>
        </w:rPr>
        <w:t>:[</w:t>
      </w:r>
      <w:r>
        <w:rPr>
          <w:rFonts w:eastAsia="PMingLiU" w:cs="Times New Roman"/>
        </w:rPr>
        <w:t>矩阵文本题</w:t>
      </w:r>
      <w:r>
        <w:rPr>
          <w:rFonts w:eastAsia="Times New Roman" w:cs="Times New Roman"/>
        </w:rPr>
        <w:t>] [</w:t>
      </w:r>
      <w:r>
        <w:rPr>
          <w:rFonts w:eastAsia="PMingLiU" w:cs="Times New Roman"/>
        </w:rPr>
        <w:t>输入</w:t>
      </w:r>
      <w:r>
        <w:rPr>
          <w:rFonts w:eastAsia="Times New Roman" w:cs="Times New Roman"/>
        </w:rPr>
        <w:t>0</w:t>
      </w:r>
      <w:r>
        <w:rPr>
          <w:rFonts w:eastAsia="PMingLiU" w:cs="Times New Roman"/>
        </w:rPr>
        <w:t>到</w:t>
      </w:r>
      <w:r>
        <w:rPr>
          <w:rFonts w:eastAsia="Times New Roman" w:cs="Times New Roman"/>
        </w:rPr>
        <w:t>10</w:t>
      </w:r>
      <w:r>
        <w:rPr>
          <w:rFonts w:eastAsia="PMingLiU" w:cs="Times New Roman"/>
        </w:rPr>
        <w:t>的数字</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36"/>
        <w:gridCol w:w="7620"/>
      </w:tblGrid>
      <w:tr w14:paraId="2F7045C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36" w:type="dxa"/>
            <w:tcBorders>
              <w:top w:val="single" w:color="000000" w:sz="4" w:space="0"/>
              <w:left w:val="nil"/>
              <w:bottom w:val="single" w:color="000000" w:sz="4" w:space="0"/>
              <w:right w:val="nil"/>
              <w:tl2br w:val="nil"/>
            </w:tcBorders>
            <w:shd w:val="clear" w:color="auto" w:fill="FFFFFF"/>
            <w:vAlign w:val="center"/>
          </w:tcPr>
          <w:p w14:paraId="344CEFC0">
            <w:pPr>
              <w:pStyle w:val="23"/>
              <w:keepNext w:val="0"/>
              <w:keepLines w:val="0"/>
              <w:suppressLineNumbers w:val="0"/>
              <w:spacing w:before="0" w:beforeAutospacing="0" w:after="0" w:afterAutospacing="0"/>
              <w:ind w:left="0" w:right="0"/>
              <w:rPr>
                <w:rFonts w:hint="default" w:cs="Times New Roman"/>
              </w:rPr>
            </w:pPr>
            <w:r>
              <w:rPr>
                <w:rFonts w:hint="eastAsia" w:cs="Times New Roman"/>
              </w:rPr>
              <w:t>您家庭成员总数为（常年居住人数）</w:t>
            </w:r>
          </w:p>
        </w:tc>
        <w:tc>
          <w:tcPr>
            <w:tcW w:w="7620" w:type="dxa"/>
            <w:tcBorders>
              <w:top w:val="single" w:color="000000" w:sz="4" w:space="0"/>
              <w:left w:val="nil"/>
              <w:bottom w:val="single" w:color="000000" w:sz="4" w:space="0"/>
              <w:right w:val="nil"/>
            </w:tcBorders>
            <w:shd w:val="clear" w:color="auto" w:fill="FFFFFF"/>
            <w:vAlign w:val="center"/>
          </w:tcPr>
          <w:p w14:paraId="080E8AD0">
            <w:pPr>
              <w:pStyle w:val="23"/>
              <w:keepNext w:val="0"/>
              <w:keepLines w:val="0"/>
              <w:suppressLineNumbers w:val="0"/>
              <w:spacing w:before="0" w:beforeAutospacing="0" w:after="0" w:afterAutospacing="0"/>
              <w:ind w:left="0" w:right="0"/>
              <w:rPr>
                <w:rFonts w:hint="default" w:cs="Times New Roman"/>
              </w:rPr>
            </w:pPr>
            <w:r>
              <w:rPr>
                <w:rFonts w:hint="eastAsia" w:cs="Times New Roman"/>
              </w:rPr>
              <w:t>________________________</w:t>
            </w:r>
          </w:p>
        </w:tc>
      </w:tr>
      <w:tr w14:paraId="36F718B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36" w:type="dxa"/>
            <w:tcBorders>
              <w:top w:val="single" w:color="000000" w:sz="4" w:space="0"/>
              <w:left w:val="nil"/>
              <w:bottom w:val="single" w:color="000000" w:sz="4" w:space="0"/>
              <w:right w:val="nil"/>
            </w:tcBorders>
            <w:shd w:val="clear" w:color="auto" w:fill="FFFFFF"/>
            <w:vAlign w:val="center"/>
          </w:tcPr>
          <w:p w14:paraId="11D07A4D">
            <w:pPr>
              <w:pStyle w:val="23"/>
              <w:keepNext w:val="0"/>
              <w:keepLines w:val="0"/>
              <w:suppressLineNumbers w:val="0"/>
              <w:spacing w:before="0" w:beforeAutospacing="0" w:after="0" w:afterAutospacing="0"/>
              <w:ind w:left="0" w:right="0"/>
              <w:rPr>
                <w:rFonts w:hint="default" w:cs="Times New Roman"/>
              </w:rPr>
            </w:pPr>
            <w:r>
              <w:rPr>
                <w:rFonts w:hint="eastAsia" w:cs="Times New Roman"/>
              </w:rPr>
              <w:t>您家16岁以下人数为</w:t>
            </w:r>
          </w:p>
        </w:tc>
        <w:tc>
          <w:tcPr>
            <w:tcW w:w="7620" w:type="dxa"/>
            <w:tcBorders>
              <w:top w:val="single" w:color="000000" w:sz="4" w:space="0"/>
              <w:left w:val="nil"/>
              <w:bottom w:val="single" w:color="000000" w:sz="4" w:space="0"/>
              <w:right w:val="nil"/>
            </w:tcBorders>
            <w:shd w:val="clear" w:color="auto" w:fill="FFFFFF"/>
            <w:vAlign w:val="center"/>
          </w:tcPr>
          <w:p w14:paraId="443794F9">
            <w:pPr>
              <w:pStyle w:val="23"/>
              <w:keepNext w:val="0"/>
              <w:keepLines w:val="0"/>
              <w:suppressLineNumbers w:val="0"/>
              <w:spacing w:before="0" w:beforeAutospacing="0" w:after="0" w:afterAutospacing="0"/>
              <w:ind w:left="0" w:right="0"/>
              <w:rPr>
                <w:rFonts w:hint="default" w:cs="Times New Roman"/>
              </w:rPr>
            </w:pPr>
            <w:r>
              <w:rPr>
                <w:rFonts w:hint="eastAsia" w:cs="Times New Roman"/>
              </w:rPr>
              <w:t>________________________</w:t>
            </w:r>
          </w:p>
        </w:tc>
      </w:tr>
      <w:tr w14:paraId="698EEFA0">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36" w:type="dxa"/>
            <w:tcBorders>
              <w:top w:val="single" w:color="000000" w:sz="4" w:space="0"/>
              <w:left w:val="nil"/>
              <w:bottom w:val="single" w:color="000000" w:sz="4" w:space="0"/>
              <w:right w:val="nil"/>
            </w:tcBorders>
            <w:shd w:val="clear" w:color="auto" w:fill="FFFFFF"/>
            <w:vAlign w:val="center"/>
          </w:tcPr>
          <w:p w14:paraId="3A767335">
            <w:pPr>
              <w:pStyle w:val="23"/>
              <w:keepNext w:val="0"/>
              <w:keepLines w:val="0"/>
              <w:suppressLineNumbers w:val="0"/>
              <w:spacing w:before="0" w:beforeAutospacing="0" w:after="0" w:afterAutospacing="0"/>
              <w:ind w:left="0" w:right="0"/>
              <w:rPr>
                <w:rFonts w:hint="default" w:cs="Times New Roman"/>
              </w:rPr>
            </w:pPr>
            <w:r>
              <w:rPr>
                <w:rFonts w:hint="eastAsia" w:cs="Times New Roman"/>
              </w:rPr>
              <w:t>您家60岁及以上人数为</w:t>
            </w:r>
          </w:p>
        </w:tc>
        <w:tc>
          <w:tcPr>
            <w:tcW w:w="7620" w:type="dxa"/>
            <w:tcBorders>
              <w:top w:val="single" w:color="000000" w:sz="4" w:space="0"/>
              <w:left w:val="nil"/>
              <w:bottom w:val="single" w:color="000000" w:sz="4" w:space="0"/>
              <w:right w:val="nil"/>
            </w:tcBorders>
            <w:shd w:val="clear" w:color="auto" w:fill="FFFFFF"/>
            <w:vAlign w:val="center"/>
          </w:tcPr>
          <w:p w14:paraId="1E990230">
            <w:pPr>
              <w:pStyle w:val="23"/>
              <w:keepNext w:val="0"/>
              <w:keepLines w:val="0"/>
              <w:suppressLineNumbers w:val="0"/>
              <w:spacing w:before="0" w:beforeAutospacing="0" w:after="0" w:afterAutospacing="0"/>
              <w:ind w:left="0" w:right="0"/>
              <w:rPr>
                <w:rFonts w:hint="default" w:cs="Times New Roman"/>
              </w:rPr>
            </w:pPr>
            <w:r>
              <w:rPr>
                <w:rFonts w:hint="eastAsia" w:cs="Times New Roman"/>
              </w:rPr>
              <w:t>________________________</w:t>
            </w:r>
          </w:p>
        </w:tc>
      </w:tr>
    </w:tbl>
    <w:p w14:paraId="526792E1">
      <w:pPr>
        <w:ind w:firstLine="480"/>
        <w:rPr>
          <w:rFonts w:cs="Times New Roman"/>
        </w:rPr>
      </w:pPr>
    </w:p>
    <w:p w14:paraId="3DB69199">
      <w:pPr>
        <w:spacing w:line="360" w:lineRule="auto"/>
        <w:ind w:firstLine="480"/>
        <w:rPr>
          <w:rFonts w:cs="Times New Roman"/>
        </w:rPr>
      </w:pPr>
      <w:r>
        <w:rPr>
          <w:rFonts w:eastAsia="Times New Roman" w:cs="Times New Roman"/>
        </w:rPr>
        <w:t>19.</w:t>
      </w:r>
      <w:r>
        <w:rPr>
          <w:rFonts w:eastAsia="PMingLiU" w:cs="Times New Roman"/>
        </w:rPr>
        <w:t>您的文化水平为（）</w:t>
      </w:r>
      <w:r>
        <w:rPr>
          <w:rFonts w:eastAsia="Times New Roman" w:cs="Times New Roman"/>
        </w:rPr>
        <w:t xml:space="preserve">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674AD0F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04169448">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、小学及以下</w:t>
            </w:r>
          </w:p>
        </w:tc>
        <w:tc>
          <w:tcPr>
            <w:tcW w:w="2440" w:type="dxa"/>
            <w:shd w:val="clear" w:color="auto" w:fill="FFFFFF"/>
            <w:vAlign w:val="center"/>
          </w:tcPr>
          <w:p w14:paraId="46CC314F">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、初中</w:t>
            </w:r>
          </w:p>
        </w:tc>
        <w:tc>
          <w:tcPr>
            <w:tcW w:w="2440" w:type="dxa"/>
            <w:shd w:val="clear" w:color="auto" w:fill="FFFFFF"/>
            <w:vAlign w:val="center"/>
          </w:tcPr>
          <w:p w14:paraId="43BB84C2">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、高中</w:t>
            </w:r>
            <w:r>
              <w:rPr>
                <w:rFonts w:hint="eastAsia" w:eastAsia="Times New Roman" w:cs="Times New Roman"/>
              </w:rPr>
              <w:t>/</w:t>
            </w:r>
            <w:r>
              <w:rPr>
                <w:rFonts w:hint="eastAsia" w:eastAsia="PMingLiU" w:cs="Times New Roman"/>
              </w:rPr>
              <w:t>中专</w:t>
            </w:r>
          </w:p>
        </w:tc>
      </w:tr>
      <w:tr w14:paraId="4AB9BF0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592419B1">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、大学专科</w:t>
            </w:r>
          </w:p>
        </w:tc>
        <w:tc>
          <w:tcPr>
            <w:tcW w:w="2440" w:type="dxa"/>
            <w:shd w:val="clear" w:color="auto" w:fill="FFFFFF"/>
            <w:vAlign w:val="center"/>
          </w:tcPr>
          <w:p w14:paraId="50FF1C4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w:t>
            </w:r>
            <w:r>
              <w:rPr>
                <w:rFonts w:hint="eastAsia" w:eastAsia="PMingLiU" w:cs="Times New Roman"/>
              </w:rPr>
              <w:t>、大学本科</w:t>
            </w:r>
          </w:p>
        </w:tc>
        <w:tc>
          <w:tcPr>
            <w:tcW w:w="2440" w:type="dxa"/>
            <w:shd w:val="clear" w:color="auto" w:fill="FFFFFF"/>
            <w:vAlign w:val="center"/>
          </w:tcPr>
          <w:p w14:paraId="5852488F">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○F</w:t>
            </w:r>
            <w:r>
              <w:rPr>
                <w:rFonts w:hint="eastAsia" w:eastAsia="PMingLiU" w:cs="Times New Roman"/>
              </w:rPr>
              <w:t>、研究生及以上</w:t>
            </w:r>
          </w:p>
        </w:tc>
      </w:tr>
    </w:tbl>
    <w:p w14:paraId="16CC1C2C">
      <w:pPr>
        <w:ind w:firstLine="480"/>
        <w:rPr>
          <w:rFonts w:cs="Times New Roman"/>
        </w:rPr>
      </w:pPr>
    </w:p>
    <w:p w14:paraId="168C1514">
      <w:pPr>
        <w:ind w:firstLine="480"/>
        <w:rPr>
          <w:rFonts w:cs="Times New Roman"/>
        </w:rPr>
      </w:pPr>
    </w:p>
    <w:p w14:paraId="37585A63">
      <w:pPr>
        <w:spacing w:line="360" w:lineRule="auto"/>
        <w:ind w:firstLine="480"/>
        <w:rPr>
          <w:rFonts w:cs="Times New Roman"/>
        </w:rPr>
      </w:pPr>
      <w:r>
        <w:rPr>
          <w:rFonts w:eastAsia="Times New Roman" w:cs="Times New Roman"/>
        </w:rPr>
        <w:t>20.</w:t>
      </w:r>
      <w:r>
        <w:rPr>
          <w:rFonts w:eastAsia="PMingLiU" w:cs="Times New Roman"/>
        </w:rPr>
        <w:t>您家庭过去</w:t>
      </w:r>
      <w:r>
        <w:rPr>
          <w:rFonts w:eastAsia="Times New Roman" w:cs="Times New Roman"/>
        </w:rPr>
        <w:t>12</w:t>
      </w:r>
      <w:r>
        <w:rPr>
          <w:rFonts w:eastAsia="PMingLiU" w:cs="Times New Roman"/>
        </w:rPr>
        <w:t>个月的税前总收入为（）（收入包括自己以及同住家人的工资收入，或已拥有的其他收入来源，比如租金、社会保障金、养老金，以及股票、债券或储蓄的利息等）</w:t>
      </w:r>
      <w:r>
        <w:rPr>
          <w:rFonts w:eastAsia="Times New Roman" w:cs="Times New Roman"/>
        </w:rPr>
        <w:t xml:space="preserve">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780F96A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1C55CDAD">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w:t>
            </w:r>
            <w:r>
              <w:rPr>
                <w:rFonts w:hint="eastAsia" w:eastAsia="Times New Roman" w:cs="Times New Roman"/>
              </w:rPr>
              <w:t>50000</w:t>
            </w:r>
            <w:r>
              <w:rPr>
                <w:rFonts w:hint="eastAsia" w:eastAsia="PMingLiU" w:cs="Times New Roman"/>
              </w:rPr>
              <w:t>元以下</w:t>
            </w:r>
          </w:p>
        </w:tc>
        <w:tc>
          <w:tcPr>
            <w:tcW w:w="2440" w:type="dxa"/>
            <w:shd w:val="clear" w:color="auto" w:fill="FFFFFF"/>
            <w:vAlign w:val="center"/>
          </w:tcPr>
          <w:p w14:paraId="3FDDC36D">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w:t>
            </w:r>
            <w:r>
              <w:rPr>
                <w:rFonts w:hint="eastAsia" w:eastAsia="Times New Roman" w:cs="Times New Roman"/>
              </w:rPr>
              <w:t>50001-100000</w:t>
            </w:r>
            <w:r>
              <w:rPr>
                <w:rFonts w:hint="eastAsia" w:eastAsia="PMingLiU" w:cs="Times New Roman"/>
              </w:rPr>
              <w:t>元</w:t>
            </w:r>
          </w:p>
        </w:tc>
        <w:tc>
          <w:tcPr>
            <w:tcW w:w="2440" w:type="dxa"/>
            <w:shd w:val="clear" w:color="auto" w:fill="FFFFFF"/>
            <w:vAlign w:val="center"/>
          </w:tcPr>
          <w:p w14:paraId="4CD8D3E6">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w:t>
            </w:r>
            <w:r>
              <w:rPr>
                <w:rFonts w:hint="eastAsia" w:eastAsia="Times New Roman" w:cs="Times New Roman"/>
              </w:rPr>
              <w:t>100001-150000</w:t>
            </w:r>
            <w:r>
              <w:rPr>
                <w:rFonts w:hint="eastAsia" w:eastAsia="PMingLiU" w:cs="Times New Roman"/>
              </w:rPr>
              <w:t>元</w:t>
            </w:r>
          </w:p>
        </w:tc>
      </w:tr>
      <w:tr w14:paraId="3B7D248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6220E45F">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w:t>
            </w:r>
            <w:r>
              <w:rPr>
                <w:rFonts w:hint="eastAsia" w:eastAsia="Times New Roman" w:cs="Times New Roman"/>
              </w:rPr>
              <w:t>150001-20000</w:t>
            </w:r>
            <w:r>
              <w:rPr>
                <w:rFonts w:hint="eastAsia" w:eastAsia="PMingLiU" w:cs="Times New Roman"/>
              </w:rPr>
              <w:t>元</w:t>
            </w:r>
          </w:p>
        </w:tc>
        <w:tc>
          <w:tcPr>
            <w:tcW w:w="2440" w:type="dxa"/>
            <w:shd w:val="clear" w:color="auto" w:fill="FFFFFF"/>
            <w:vAlign w:val="center"/>
          </w:tcPr>
          <w:p w14:paraId="236AD038">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w:t>
            </w:r>
            <w:r>
              <w:rPr>
                <w:rFonts w:hint="eastAsia" w:eastAsia="PMingLiU" w:cs="Times New Roman"/>
              </w:rPr>
              <w:t>、</w:t>
            </w:r>
            <w:r>
              <w:rPr>
                <w:rFonts w:hint="eastAsia" w:eastAsia="Times New Roman" w:cs="Times New Roman"/>
              </w:rPr>
              <w:t>200001-300000</w:t>
            </w:r>
            <w:r>
              <w:rPr>
                <w:rFonts w:hint="eastAsia" w:eastAsia="PMingLiU" w:cs="Times New Roman"/>
              </w:rPr>
              <w:t>元</w:t>
            </w:r>
          </w:p>
        </w:tc>
        <w:tc>
          <w:tcPr>
            <w:tcW w:w="2440" w:type="dxa"/>
            <w:shd w:val="clear" w:color="auto" w:fill="FFFFFF"/>
            <w:vAlign w:val="center"/>
          </w:tcPr>
          <w:p w14:paraId="0A9F7ABB">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○F</w:t>
            </w:r>
            <w:r>
              <w:rPr>
                <w:rFonts w:hint="eastAsia" w:eastAsia="PMingLiU" w:cs="Times New Roman"/>
              </w:rPr>
              <w:t>、</w:t>
            </w:r>
            <w:r>
              <w:rPr>
                <w:rFonts w:hint="eastAsia" w:eastAsia="Times New Roman" w:cs="Times New Roman"/>
              </w:rPr>
              <w:t>300001-500000</w:t>
            </w:r>
            <w:r>
              <w:rPr>
                <w:rFonts w:hint="eastAsia" w:eastAsia="PMingLiU" w:cs="Times New Roman"/>
              </w:rPr>
              <w:t>元</w:t>
            </w:r>
          </w:p>
        </w:tc>
      </w:tr>
      <w:tr w14:paraId="777BEF2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6B9707F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○G</w:t>
            </w:r>
            <w:r>
              <w:rPr>
                <w:rFonts w:hint="eastAsia" w:eastAsia="PMingLiU" w:cs="Times New Roman"/>
              </w:rPr>
              <w:t>、</w:t>
            </w:r>
            <w:r>
              <w:rPr>
                <w:rFonts w:hint="eastAsia" w:eastAsia="Times New Roman" w:cs="Times New Roman"/>
              </w:rPr>
              <w:t>500001-1000000</w:t>
            </w:r>
            <w:r>
              <w:rPr>
                <w:rFonts w:hint="eastAsia" w:eastAsia="PMingLiU" w:cs="Times New Roman"/>
              </w:rPr>
              <w:t>元</w:t>
            </w:r>
          </w:p>
        </w:tc>
        <w:tc>
          <w:tcPr>
            <w:tcW w:w="2440" w:type="dxa"/>
            <w:shd w:val="clear" w:color="auto" w:fill="FFFFFF"/>
            <w:vAlign w:val="center"/>
          </w:tcPr>
          <w:p w14:paraId="17F6281D">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○H</w:t>
            </w:r>
            <w:r>
              <w:rPr>
                <w:rFonts w:hint="eastAsia" w:eastAsia="PMingLiU" w:cs="Times New Roman"/>
              </w:rPr>
              <w:t>、</w:t>
            </w:r>
            <w:r>
              <w:rPr>
                <w:rFonts w:hint="eastAsia" w:eastAsia="Times New Roman" w:cs="Times New Roman"/>
              </w:rPr>
              <w:t>1000000</w:t>
            </w:r>
            <w:r>
              <w:rPr>
                <w:rFonts w:hint="eastAsia" w:eastAsia="PMingLiU" w:cs="Times New Roman"/>
              </w:rPr>
              <w:t>元以上</w:t>
            </w:r>
          </w:p>
        </w:tc>
        <w:tc>
          <w:tcPr>
            <w:tcW w:w="2440" w:type="dxa"/>
            <w:shd w:val="clear" w:color="auto" w:fill="FFFFFF"/>
            <w:vAlign w:val="center"/>
          </w:tcPr>
          <w:p w14:paraId="0AC84575">
            <w:pPr>
              <w:keepNext w:val="0"/>
              <w:keepLines w:val="0"/>
              <w:suppressLineNumbers w:val="0"/>
              <w:spacing w:before="0" w:beforeAutospacing="0" w:after="0" w:afterAutospacing="0"/>
              <w:ind w:left="0" w:right="0" w:firstLine="560"/>
              <w:jc w:val="left"/>
              <w:rPr>
                <w:rFonts w:hint="default" w:eastAsia="微软雅黑" w:cs="Times New Roman"/>
                <w:sz w:val="28"/>
              </w:rPr>
            </w:pPr>
          </w:p>
        </w:tc>
      </w:tr>
    </w:tbl>
    <w:p w14:paraId="51059436">
      <w:pPr>
        <w:ind w:firstLine="480"/>
        <w:rPr>
          <w:rFonts w:cs="Times New Roman"/>
        </w:rPr>
      </w:pPr>
    </w:p>
    <w:p w14:paraId="0F3B81C7">
      <w:pPr>
        <w:ind w:firstLine="480"/>
        <w:rPr>
          <w:rFonts w:cs="Times New Roman"/>
        </w:rPr>
      </w:pPr>
    </w:p>
    <w:p w14:paraId="049CC858">
      <w:pPr>
        <w:spacing w:line="360" w:lineRule="auto"/>
        <w:ind w:firstLine="480"/>
        <w:rPr>
          <w:rFonts w:cs="Times New Roman"/>
        </w:rPr>
      </w:pPr>
      <w:r>
        <w:rPr>
          <w:rFonts w:eastAsia="Times New Roman" w:cs="Times New Roman"/>
        </w:rPr>
        <w:t>21</w:t>
      </w:r>
      <w:r>
        <w:rPr>
          <w:rFonts w:eastAsia="PMingLiU" w:cs="Times New Roman"/>
        </w:rPr>
        <w:t>、您是否有私家车</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25C1B78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3680" w:type="dxa"/>
            <w:shd w:val="clear" w:color="auto" w:fill="FFFFFF"/>
            <w:vAlign w:val="center"/>
          </w:tcPr>
          <w:p w14:paraId="28932D5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、是</w:t>
            </w:r>
          </w:p>
        </w:tc>
        <w:tc>
          <w:tcPr>
            <w:tcW w:w="3680" w:type="dxa"/>
            <w:shd w:val="clear" w:color="auto" w:fill="FFFFFF"/>
            <w:vAlign w:val="center"/>
          </w:tcPr>
          <w:p w14:paraId="5B0E7788">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、否</w:t>
            </w:r>
            <w:r>
              <w:rPr>
                <w:rFonts w:hint="eastAsia" w:eastAsia="Times New Roman" w:cs="Times New Roman"/>
                <w:color w:val="0066FF"/>
              </w:rPr>
              <w:t xml:space="preserve"> (</w:t>
            </w:r>
            <w:r>
              <w:rPr>
                <w:rFonts w:hint="eastAsia" w:eastAsia="PMingLiU" w:cs="Times New Roman"/>
                <w:color w:val="0066FF"/>
              </w:rPr>
              <w:t>请跳至第</w:t>
            </w:r>
            <w:r>
              <w:rPr>
                <w:rFonts w:hint="eastAsia" w:eastAsia="Times New Roman" w:cs="Times New Roman"/>
                <w:color w:val="0066FF"/>
              </w:rPr>
              <w:t>25</w:t>
            </w:r>
            <w:r>
              <w:rPr>
                <w:rFonts w:hint="eastAsia" w:eastAsia="PMingLiU" w:cs="Times New Roman"/>
                <w:color w:val="0066FF"/>
              </w:rPr>
              <w:t>题</w:t>
            </w:r>
            <w:r>
              <w:rPr>
                <w:rFonts w:hint="eastAsia" w:eastAsia="Times New Roman" w:cs="Times New Roman"/>
                <w:color w:val="0066FF"/>
              </w:rPr>
              <w:t>)</w:t>
            </w:r>
          </w:p>
        </w:tc>
      </w:tr>
    </w:tbl>
    <w:p w14:paraId="19E3D905">
      <w:pPr>
        <w:ind w:firstLine="480"/>
        <w:rPr>
          <w:rFonts w:cs="Times New Roman"/>
        </w:rPr>
      </w:pPr>
    </w:p>
    <w:p w14:paraId="400A7F82">
      <w:pPr>
        <w:ind w:firstLine="480"/>
        <w:rPr>
          <w:rFonts w:cs="Times New Roman"/>
        </w:rPr>
      </w:pPr>
    </w:p>
    <w:p w14:paraId="3F5EA34A">
      <w:pPr>
        <w:spacing w:line="360" w:lineRule="auto"/>
        <w:ind w:firstLine="480"/>
        <w:rPr>
          <w:rFonts w:cs="Times New Roman"/>
        </w:rPr>
      </w:pPr>
      <w:r>
        <w:rPr>
          <w:rFonts w:eastAsia="Times New Roman" w:cs="Times New Roman"/>
        </w:rPr>
        <w:t>22.</w:t>
      </w:r>
      <w:r>
        <w:rPr>
          <w:rFonts w:eastAsia="PMingLiU" w:cs="Times New Roman"/>
        </w:rPr>
        <w:t>家庭车辆数量</w:t>
      </w:r>
      <w:r>
        <w:rPr>
          <w:rFonts w:eastAsia="Times New Roman" w:cs="Times New Roman"/>
        </w:rPr>
        <w:t>[</w:t>
      </w:r>
      <w:r>
        <w:rPr>
          <w:rFonts w:eastAsia="PMingLiU" w:cs="Times New Roman"/>
        </w:rPr>
        <w:t>矩阵文本题</w:t>
      </w:r>
      <w:r>
        <w:rPr>
          <w:rFonts w:eastAsia="Times New Roman" w:cs="Times New Roman"/>
        </w:rPr>
        <w:t>] [</w:t>
      </w:r>
      <w:r>
        <w:rPr>
          <w:rFonts w:eastAsia="PMingLiU" w:cs="Times New Roman"/>
        </w:rPr>
        <w:t>输入</w:t>
      </w:r>
      <w:r>
        <w:rPr>
          <w:rFonts w:eastAsia="Times New Roman" w:cs="Times New Roman"/>
        </w:rPr>
        <w:t>0</w:t>
      </w:r>
      <w:r>
        <w:rPr>
          <w:rFonts w:eastAsia="PMingLiU" w:cs="Times New Roman"/>
        </w:rPr>
        <w:t>到</w:t>
      </w:r>
      <w:r>
        <w:rPr>
          <w:rFonts w:eastAsia="Times New Roman" w:cs="Times New Roman"/>
        </w:rPr>
        <w:t>5</w:t>
      </w:r>
      <w:r>
        <w:rPr>
          <w:rFonts w:eastAsia="PMingLiU" w:cs="Times New Roman"/>
        </w:rPr>
        <w:t>的数字</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426"/>
        <w:gridCol w:w="7430"/>
      </w:tblGrid>
      <w:tr w14:paraId="321B616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426" w:type="dxa"/>
            <w:tcBorders>
              <w:top w:val="single" w:color="000000" w:sz="4" w:space="0"/>
              <w:left w:val="nil"/>
              <w:bottom w:val="single" w:color="000000" w:sz="4" w:space="0"/>
              <w:right w:val="nil"/>
              <w:tl2br w:val="nil"/>
            </w:tcBorders>
            <w:shd w:val="clear" w:color="auto" w:fill="FFFFFF"/>
            <w:vAlign w:val="center"/>
          </w:tcPr>
          <w:p w14:paraId="7ABC22C6">
            <w:pPr>
              <w:pStyle w:val="23"/>
              <w:keepNext w:val="0"/>
              <w:keepLines w:val="0"/>
              <w:suppressLineNumbers w:val="0"/>
              <w:spacing w:before="0" w:beforeAutospacing="0" w:after="0" w:afterAutospacing="0"/>
              <w:ind w:left="0" w:right="0"/>
              <w:rPr>
                <w:rFonts w:hint="default" w:cs="Times New Roman"/>
              </w:rPr>
            </w:pPr>
            <w:r>
              <w:rPr>
                <w:rFonts w:hint="eastAsia" w:cs="Times New Roman"/>
              </w:rPr>
              <w:t>您家庭私家车数量为</w:t>
            </w:r>
          </w:p>
        </w:tc>
        <w:tc>
          <w:tcPr>
            <w:tcW w:w="7430" w:type="dxa"/>
            <w:tcBorders>
              <w:top w:val="single" w:color="000000" w:sz="4" w:space="0"/>
              <w:left w:val="nil"/>
              <w:bottom w:val="single" w:color="000000" w:sz="4" w:space="0"/>
              <w:right w:val="nil"/>
            </w:tcBorders>
            <w:shd w:val="clear" w:color="auto" w:fill="FFFFFF"/>
            <w:vAlign w:val="center"/>
          </w:tcPr>
          <w:p w14:paraId="46DEE3B0">
            <w:pPr>
              <w:pStyle w:val="23"/>
              <w:keepNext w:val="0"/>
              <w:keepLines w:val="0"/>
              <w:suppressLineNumbers w:val="0"/>
              <w:spacing w:before="0" w:beforeAutospacing="0" w:after="0" w:afterAutospacing="0"/>
              <w:ind w:left="0" w:right="0"/>
              <w:rPr>
                <w:rFonts w:hint="default" w:cs="Times New Roman"/>
              </w:rPr>
            </w:pPr>
            <w:r>
              <w:rPr>
                <w:rFonts w:hint="eastAsia" w:cs="Times New Roman"/>
              </w:rPr>
              <w:t>________________________</w:t>
            </w:r>
          </w:p>
        </w:tc>
      </w:tr>
      <w:tr w14:paraId="500D5B5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426" w:type="dxa"/>
            <w:tcBorders>
              <w:top w:val="single" w:color="000000" w:sz="4" w:space="0"/>
              <w:left w:val="nil"/>
              <w:bottom w:val="single" w:color="000000" w:sz="4" w:space="0"/>
              <w:right w:val="nil"/>
            </w:tcBorders>
            <w:shd w:val="clear" w:color="auto" w:fill="FFFFFF"/>
            <w:vAlign w:val="center"/>
          </w:tcPr>
          <w:p w14:paraId="3D001BD1">
            <w:pPr>
              <w:pStyle w:val="23"/>
              <w:keepNext w:val="0"/>
              <w:keepLines w:val="0"/>
              <w:suppressLineNumbers w:val="0"/>
              <w:spacing w:before="0" w:beforeAutospacing="0" w:after="0" w:afterAutospacing="0"/>
              <w:ind w:left="0" w:right="0"/>
              <w:rPr>
                <w:rFonts w:hint="default" w:cs="Times New Roman"/>
              </w:rPr>
            </w:pPr>
            <w:r>
              <w:rPr>
                <w:rFonts w:hint="eastAsia" w:cs="Times New Roman"/>
              </w:rPr>
              <w:t>您家庭新能源汽车数量为</w:t>
            </w:r>
          </w:p>
        </w:tc>
        <w:tc>
          <w:tcPr>
            <w:tcW w:w="7430" w:type="dxa"/>
            <w:tcBorders>
              <w:top w:val="single" w:color="000000" w:sz="4" w:space="0"/>
              <w:left w:val="nil"/>
              <w:bottom w:val="single" w:color="000000" w:sz="4" w:space="0"/>
              <w:right w:val="nil"/>
            </w:tcBorders>
            <w:shd w:val="clear" w:color="auto" w:fill="FFFFFF"/>
            <w:vAlign w:val="center"/>
          </w:tcPr>
          <w:p w14:paraId="213E75C2">
            <w:pPr>
              <w:pStyle w:val="23"/>
              <w:keepNext w:val="0"/>
              <w:keepLines w:val="0"/>
              <w:suppressLineNumbers w:val="0"/>
              <w:spacing w:before="0" w:beforeAutospacing="0" w:after="0" w:afterAutospacing="0"/>
              <w:ind w:left="0" w:right="0"/>
              <w:rPr>
                <w:rFonts w:hint="default" w:cs="Times New Roman"/>
              </w:rPr>
            </w:pPr>
            <w:r>
              <w:rPr>
                <w:rFonts w:hint="eastAsia" w:cs="Times New Roman"/>
              </w:rPr>
              <w:t>________________________</w:t>
            </w:r>
          </w:p>
        </w:tc>
      </w:tr>
    </w:tbl>
    <w:p w14:paraId="77081C1F">
      <w:pPr>
        <w:ind w:firstLine="480"/>
        <w:rPr>
          <w:rFonts w:cs="Times New Roman"/>
        </w:rPr>
      </w:pPr>
    </w:p>
    <w:p w14:paraId="00AC56C2">
      <w:pPr>
        <w:spacing w:line="360" w:lineRule="auto"/>
        <w:ind w:firstLine="480"/>
        <w:rPr>
          <w:rFonts w:cs="Times New Roman"/>
        </w:rPr>
      </w:pPr>
      <w:r>
        <w:rPr>
          <w:rFonts w:eastAsia="Times New Roman" w:cs="Times New Roman"/>
        </w:rPr>
        <w:t>23.</w:t>
      </w:r>
      <w:r>
        <w:rPr>
          <w:rFonts w:eastAsia="PMingLiU" w:cs="Times New Roman"/>
        </w:rPr>
        <w:t>您上下班主要的通勤方式是什么</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B526D2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400" w:type="dxa"/>
            <w:shd w:val="clear" w:color="auto" w:fill="FFFFFF"/>
            <w:vAlign w:val="center"/>
          </w:tcPr>
          <w:p w14:paraId="2653160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、步行</w:t>
            </w:r>
          </w:p>
        </w:tc>
      </w:tr>
      <w:tr w14:paraId="1041C62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5AD582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、自行车</w:t>
            </w:r>
            <w:r>
              <w:rPr>
                <w:rFonts w:hint="eastAsia" w:eastAsia="Times New Roman" w:cs="Times New Roman"/>
              </w:rPr>
              <w:t>/</w:t>
            </w:r>
            <w:r>
              <w:rPr>
                <w:rFonts w:hint="eastAsia" w:eastAsia="PMingLiU" w:cs="Times New Roman"/>
              </w:rPr>
              <w:t>电动自行车</w:t>
            </w:r>
          </w:p>
        </w:tc>
      </w:tr>
      <w:tr w14:paraId="1593D4A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C53FB1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、公共交通（地铁和公交）</w:t>
            </w:r>
          </w:p>
        </w:tc>
      </w:tr>
      <w:tr w14:paraId="1E9F511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26BDF6F">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、私家车（燃油车）</w:t>
            </w:r>
          </w:p>
        </w:tc>
      </w:tr>
      <w:tr w14:paraId="7533B2F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13AA813">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w:t>
            </w:r>
            <w:r>
              <w:rPr>
                <w:rFonts w:hint="eastAsia" w:eastAsia="PMingLiU" w:cs="Times New Roman"/>
              </w:rPr>
              <w:t>、私家车（新能源汽车）</w:t>
            </w:r>
          </w:p>
        </w:tc>
      </w:tr>
      <w:tr w14:paraId="66970D8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727B4F6">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○F</w:t>
            </w:r>
            <w:r>
              <w:rPr>
                <w:rFonts w:hint="eastAsia" w:eastAsia="PMingLiU" w:cs="Times New Roman"/>
              </w:rPr>
              <w:t>、出租车</w:t>
            </w:r>
            <w:r>
              <w:rPr>
                <w:rFonts w:hint="eastAsia" w:eastAsia="Times New Roman" w:cs="Times New Roman"/>
              </w:rPr>
              <w:t>/</w:t>
            </w:r>
            <w:r>
              <w:rPr>
                <w:rFonts w:hint="eastAsia" w:eastAsia="PMingLiU" w:cs="Times New Roman"/>
              </w:rPr>
              <w:t>网约车</w:t>
            </w:r>
          </w:p>
        </w:tc>
      </w:tr>
      <w:tr w14:paraId="6A0F624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18298AC">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○G</w:t>
            </w:r>
            <w:r>
              <w:rPr>
                <w:rFonts w:hint="eastAsia" w:eastAsia="PMingLiU" w:cs="Times New Roman"/>
              </w:rPr>
              <w:t>、其他（请注明）</w:t>
            </w:r>
            <w:r>
              <w:rPr>
                <w:rFonts w:hint="eastAsia" w:eastAsia="Times New Roman" w:cs="Times New Roman"/>
              </w:rPr>
              <w:t xml:space="preserve"> _________________ * </w:t>
            </w:r>
          </w:p>
        </w:tc>
      </w:tr>
    </w:tbl>
    <w:p w14:paraId="2B7A7FDA">
      <w:pPr>
        <w:ind w:firstLine="480"/>
        <w:rPr>
          <w:rFonts w:cs="Times New Roman"/>
        </w:rPr>
      </w:pPr>
    </w:p>
    <w:p w14:paraId="73487B9E">
      <w:pPr>
        <w:ind w:firstLine="480"/>
        <w:rPr>
          <w:rFonts w:cs="Times New Roman"/>
        </w:rPr>
      </w:pPr>
    </w:p>
    <w:p w14:paraId="504EC823">
      <w:pPr>
        <w:spacing w:line="360" w:lineRule="auto"/>
        <w:ind w:firstLine="480"/>
        <w:rPr>
          <w:rFonts w:cs="Times New Roman"/>
        </w:rPr>
      </w:pPr>
      <w:r>
        <w:rPr>
          <w:rFonts w:eastAsia="Times New Roman" w:cs="Times New Roman"/>
        </w:rPr>
        <w:t>24.</w:t>
      </w:r>
      <w:r>
        <w:rPr>
          <w:rFonts w:eastAsia="PMingLiU" w:cs="Times New Roman"/>
        </w:rPr>
        <w:t>您一周的工作时长为</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autofit"/>
        <w:tblCellMar>
          <w:top w:w="0" w:type="dxa"/>
          <w:left w:w="108" w:type="dxa"/>
          <w:bottom w:w="0" w:type="dxa"/>
          <w:right w:w="108" w:type="dxa"/>
        </w:tblCellMar>
      </w:tblPr>
      <w:tblGrid>
        <w:gridCol w:w="1818"/>
        <w:gridCol w:w="1725"/>
        <w:gridCol w:w="1771"/>
        <w:gridCol w:w="1771"/>
        <w:gridCol w:w="1771"/>
      </w:tblGrid>
      <w:tr w14:paraId="231E865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026" w:type="pct"/>
            <w:shd w:val="clear" w:color="auto" w:fill="FFFFFF"/>
            <w:vAlign w:val="center"/>
          </w:tcPr>
          <w:p w14:paraId="5A94C2EC">
            <w:pPr>
              <w:keepNext w:val="0"/>
              <w:keepLines w:val="0"/>
              <w:suppressLineNumbers w:val="0"/>
              <w:spacing w:before="0" w:beforeAutospacing="0" w:after="0" w:afterAutospacing="0"/>
              <w:ind w:left="0" w:leftChars="0" w:right="0" w:firstLine="0" w:firstLineChars="0"/>
              <w:jc w:val="left"/>
              <w:rPr>
                <w:rFonts w:hint="default" w:eastAsia="微软雅黑" w:cs="Times New Roman"/>
                <w:sz w:val="21"/>
                <w:szCs w:val="18"/>
              </w:rPr>
            </w:pPr>
            <w:r>
              <w:rPr>
                <w:rFonts w:hint="eastAsia" w:eastAsia="Times New Roman" w:cs="Times New Roman"/>
                <w:sz w:val="20"/>
                <w:szCs w:val="18"/>
              </w:rPr>
              <w:t>○A</w:t>
            </w:r>
            <w:r>
              <w:rPr>
                <w:rFonts w:hint="eastAsia" w:eastAsia="PMingLiU" w:cs="Times New Roman"/>
                <w:sz w:val="20"/>
                <w:szCs w:val="18"/>
              </w:rPr>
              <w:t>、低于</w:t>
            </w:r>
            <w:r>
              <w:rPr>
                <w:rFonts w:hint="eastAsia" w:eastAsia="Times New Roman" w:cs="Times New Roman"/>
                <w:sz w:val="20"/>
                <w:szCs w:val="18"/>
              </w:rPr>
              <w:t>40</w:t>
            </w:r>
            <w:r>
              <w:rPr>
                <w:rFonts w:hint="eastAsia" w:eastAsia="PMingLiU" w:cs="Times New Roman"/>
                <w:sz w:val="20"/>
                <w:szCs w:val="18"/>
              </w:rPr>
              <w:t>小时</w:t>
            </w:r>
          </w:p>
        </w:tc>
        <w:tc>
          <w:tcPr>
            <w:tcW w:w="973" w:type="pct"/>
            <w:shd w:val="clear" w:color="auto" w:fill="FFFFFF"/>
            <w:vAlign w:val="center"/>
          </w:tcPr>
          <w:p w14:paraId="59830CF4">
            <w:pPr>
              <w:keepNext w:val="0"/>
              <w:keepLines w:val="0"/>
              <w:suppressLineNumbers w:val="0"/>
              <w:spacing w:before="0" w:beforeAutospacing="0" w:after="0" w:afterAutospacing="0"/>
              <w:ind w:left="0" w:leftChars="0" w:right="0" w:firstLine="0" w:firstLineChars="0"/>
              <w:jc w:val="left"/>
              <w:rPr>
                <w:rFonts w:hint="default" w:eastAsia="微软雅黑" w:cs="Times New Roman"/>
                <w:sz w:val="21"/>
                <w:szCs w:val="18"/>
              </w:rPr>
            </w:pPr>
            <w:r>
              <w:rPr>
                <w:rFonts w:hint="eastAsia" w:eastAsia="Times New Roman" w:cs="Times New Roman"/>
                <w:sz w:val="20"/>
                <w:szCs w:val="18"/>
              </w:rPr>
              <w:t>○B</w:t>
            </w:r>
            <w:r>
              <w:rPr>
                <w:rFonts w:hint="eastAsia" w:eastAsia="PMingLiU" w:cs="Times New Roman"/>
                <w:sz w:val="20"/>
                <w:szCs w:val="18"/>
              </w:rPr>
              <w:t>、</w:t>
            </w:r>
            <w:r>
              <w:rPr>
                <w:rFonts w:hint="eastAsia" w:eastAsia="Times New Roman" w:cs="Times New Roman"/>
                <w:sz w:val="20"/>
                <w:szCs w:val="18"/>
              </w:rPr>
              <w:t>40-45</w:t>
            </w:r>
            <w:r>
              <w:rPr>
                <w:rFonts w:hint="eastAsia" w:eastAsia="PMingLiU" w:cs="Times New Roman"/>
                <w:sz w:val="20"/>
                <w:szCs w:val="18"/>
              </w:rPr>
              <w:t>小时</w:t>
            </w:r>
          </w:p>
        </w:tc>
        <w:tc>
          <w:tcPr>
            <w:tcW w:w="999" w:type="pct"/>
            <w:shd w:val="clear" w:color="auto" w:fill="FFFFFF"/>
            <w:vAlign w:val="center"/>
          </w:tcPr>
          <w:p w14:paraId="2DE9D7D6">
            <w:pPr>
              <w:keepNext w:val="0"/>
              <w:keepLines w:val="0"/>
              <w:suppressLineNumbers w:val="0"/>
              <w:spacing w:before="0" w:beforeAutospacing="0" w:after="0" w:afterAutospacing="0"/>
              <w:ind w:left="0" w:leftChars="0" w:right="0" w:firstLine="0" w:firstLineChars="0"/>
              <w:jc w:val="left"/>
              <w:rPr>
                <w:rFonts w:hint="default" w:eastAsia="微软雅黑" w:cs="Times New Roman"/>
                <w:sz w:val="21"/>
                <w:szCs w:val="18"/>
              </w:rPr>
            </w:pPr>
            <w:r>
              <w:rPr>
                <w:rFonts w:hint="eastAsia" w:eastAsia="Times New Roman" w:cs="Times New Roman"/>
                <w:sz w:val="20"/>
                <w:szCs w:val="18"/>
              </w:rPr>
              <w:t>○C</w:t>
            </w:r>
            <w:r>
              <w:rPr>
                <w:rFonts w:hint="eastAsia" w:eastAsia="PMingLiU" w:cs="Times New Roman"/>
                <w:sz w:val="20"/>
                <w:szCs w:val="18"/>
              </w:rPr>
              <w:t>、</w:t>
            </w:r>
            <w:r>
              <w:rPr>
                <w:rFonts w:hint="eastAsia" w:eastAsia="Times New Roman" w:cs="Times New Roman"/>
                <w:sz w:val="20"/>
                <w:szCs w:val="18"/>
              </w:rPr>
              <w:t>46-50</w:t>
            </w:r>
            <w:r>
              <w:rPr>
                <w:rFonts w:hint="eastAsia" w:eastAsia="PMingLiU" w:cs="Times New Roman"/>
                <w:sz w:val="20"/>
                <w:szCs w:val="18"/>
              </w:rPr>
              <w:t>小时</w:t>
            </w:r>
          </w:p>
        </w:tc>
        <w:tc>
          <w:tcPr>
            <w:tcW w:w="999" w:type="pct"/>
            <w:shd w:val="clear" w:color="auto" w:fill="FFFFFF"/>
            <w:vAlign w:val="center"/>
          </w:tcPr>
          <w:p w14:paraId="250FB8A5">
            <w:pPr>
              <w:keepNext w:val="0"/>
              <w:keepLines w:val="0"/>
              <w:suppressLineNumbers w:val="0"/>
              <w:spacing w:before="0" w:beforeAutospacing="0" w:after="0" w:afterAutospacing="0"/>
              <w:ind w:left="0" w:leftChars="0" w:right="0" w:firstLine="0" w:firstLineChars="0"/>
              <w:jc w:val="left"/>
              <w:rPr>
                <w:rFonts w:hint="default" w:eastAsia="微软雅黑" w:cs="Times New Roman"/>
                <w:sz w:val="21"/>
                <w:szCs w:val="18"/>
              </w:rPr>
            </w:pPr>
            <w:r>
              <w:rPr>
                <w:rFonts w:hint="eastAsia" w:eastAsia="Times New Roman" w:cs="Times New Roman"/>
                <w:sz w:val="20"/>
                <w:szCs w:val="18"/>
              </w:rPr>
              <w:t>○D</w:t>
            </w:r>
            <w:r>
              <w:rPr>
                <w:rFonts w:hint="eastAsia" w:eastAsia="PMingLiU" w:cs="Times New Roman"/>
                <w:sz w:val="20"/>
                <w:szCs w:val="18"/>
              </w:rPr>
              <w:t>、</w:t>
            </w:r>
            <w:r>
              <w:rPr>
                <w:rFonts w:hint="eastAsia" w:eastAsia="Times New Roman" w:cs="Times New Roman"/>
                <w:sz w:val="20"/>
                <w:szCs w:val="18"/>
              </w:rPr>
              <w:t>51-55</w:t>
            </w:r>
            <w:r>
              <w:rPr>
                <w:rFonts w:hint="eastAsia" w:eastAsia="PMingLiU" w:cs="Times New Roman"/>
                <w:sz w:val="20"/>
                <w:szCs w:val="18"/>
              </w:rPr>
              <w:t>小时</w:t>
            </w:r>
          </w:p>
        </w:tc>
        <w:tc>
          <w:tcPr>
            <w:tcW w:w="999" w:type="pct"/>
            <w:shd w:val="clear" w:color="auto" w:fill="FFFFFF"/>
            <w:vAlign w:val="center"/>
          </w:tcPr>
          <w:p w14:paraId="793F6407">
            <w:pPr>
              <w:keepNext w:val="0"/>
              <w:keepLines w:val="0"/>
              <w:suppressLineNumbers w:val="0"/>
              <w:spacing w:before="0" w:beforeAutospacing="0" w:after="0" w:afterAutospacing="0"/>
              <w:ind w:left="0" w:leftChars="0" w:right="0" w:firstLine="0" w:firstLineChars="0"/>
              <w:jc w:val="left"/>
              <w:rPr>
                <w:rFonts w:hint="default" w:eastAsia="微软雅黑" w:cs="Times New Roman"/>
                <w:sz w:val="21"/>
                <w:szCs w:val="18"/>
              </w:rPr>
            </w:pPr>
            <w:r>
              <w:rPr>
                <w:rFonts w:hint="eastAsia" w:eastAsia="Times New Roman" w:cs="Times New Roman"/>
                <w:sz w:val="20"/>
                <w:szCs w:val="18"/>
              </w:rPr>
              <w:t>○E</w:t>
            </w:r>
            <w:r>
              <w:rPr>
                <w:rFonts w:hint="eastAsia" w:eastAsia="PMingLiU" w:cs="Times New Roman"/>
                <w:sz w:val="20"/>
                <w:szCs w:val="18"/>
              </w:rPr>
              <w:t>、多于</w:t>
            </w:r>
            <w:r>
              <w:rPr>
                <w:rFonts w:hint="eastAsia" w:eastAsia="Times New Roman" w:cs="Times New Roman"/>
                <w:sz w:val="20"/>
                <w:szCs w:val="18"/>
              </w:rPr>
              <w:t>55</w:t>
            </w:r>
            <w:r>
              <w:rPr>
                <w:rFonts w:hint="eastAsia" w:eastAsia="PMingLiU" w:cs="Times New Roman"/>
                <w:sz w:val="20"/>
                <w:szCs w:val="18"/>
              </w:rPr>
              <w:t>小时</w:t>
            </w:r>
          </w:p>
        </w:tc>
      </w:tr>
    </w:tbl>
    <w:p w14:paraId="3CB22DE8">
      <w:pPr>
        <w:ind w:firstLine="480"/>
        <w:rPr>
          <w:rFonts w:cs="Times New Roman"/>
        </w:rPr>
      </w:pPr>
    </w:p>
    <w:p w14:paraId="037E3C58">
      <w:pPr>
        <w:ind w:firstLine="480"/>
        <w:rPr>
          <w:rFonts w:cs="Times New Roman"/>
        </w:rPr>
      </w:pPr>
    </w:p>
    <w:p w14:paraId="670CDFCD">
      <w:pPr>
        <w:spacing w:line="360" w:lineRule="auto"/>
        <w:ind w:firstLine="480"/>
        <w:rPr>
          <w:rFonts w:cs="Times New Roman"/>
        </w:rPr>
      </w:pPr>
      <w:r>
        <w:rPr>
          <w:rFonts w:eastAsia="Times New Roman" w:cs="Times New Roman"/>
        </w:rPr>
        <w:t>25.</w:t>
      </w:r>
      <w:r>
        <w:rPr>
          <w:rFonts w:eastAsia="PMingLiU" w:cs="Times New Roman"/>
        </w:rPr>
        <w:t>您上班的通勤距离单程大约是多少</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214"/>
        <w:gridCol w:w="2214"/>
        <w:gridCol w:w="2214"/>
        <w:gridCol w:w="2214"/>
      </w:tblGrid>
      <w:tr w14:paraId="5737E9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820" w:type="dxa"/>
            <w:shd w:val="clear" w:color="auto" w:fill="FFFFFF"/>
            <w:vAlign w:val="center"/>
          </w:tcPr>
          <w:p w14:paraId="531AD008">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w:t>
            </w:r>
            <w:r>
              <w:rPr>
                <w:rFonts w:hint="eastAsia" w:eastAsia="Times New Roman" w:cs="Times New Roman"/>
              </w:rPr>
              <w:t>0-5</w:t>
            </w:r>
            <w:r>
              <w:rPr>
                <w:rFonts w:hint="eastAsia" w:eastAsia="PMingLiU" w:cs="Times New Roman"/>
              </w:rPr>
              <w:t>公里</w:t>
            </w:r>
          </w:p>
        </w:tc>
        <w:tc>
          <w:tcPr>
            <w:tcW w:w="1820" w:type="dxa"/>
            <w:shd w:val="clear" w:color="auto" w:fill="FFFFFF"/>
            <w:vAlign w:val="center"/>
          </w:tcPr>
          <w:p w14:paraId="038A780D">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w:t>
            </w:r>
            <w:r>
              <w:rPr>
                <w:rFonts w:hint="eastAsia" w:eastAsia="Times New Roman" w:cs="Times New Roman"/>
              </w:rPr>
              <w:t>5-10</w:t>
            </w:r>
            <w:r>
              <w:rPr>
                <w:rFonts w:hint="eastAsia" w:eastAsia="PMingLiU" w:cs="Times New Roman"/>
              </w:rPr>
              <w:t>公里</w:t>
            </w:r>
          </w:p>
        </w:tc>
        <w:tc>
          <w:tcPr>
            <w:tcW w:w="1820" w:type="dxa"/>
            <w:shd w:val="clear" w:color="auto" w:fill="FFFFFF"/>
            <w:vAlign w:val="center"/>
          </w:tcPr>
          <w:p w14:paraId="6CD17AC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w:t>
            </w:r>
            <w:r>
              <w:rPr>
                <w:rFonts w:hint="eastAsia" w:eastAsia="Times New Roman" w:cs="Times New Roman"/>
              </w:rPr>
              <w:t>10-20</w:t>
            </w:r>
            <w:r>
              <w:rPr>
                <w:rFonts w:hint="eastAsia" w:eastAsia="PMingLiU" w:cs="Times New Roman"/>
              </w:rPr>
              <w:t>公里</w:t>
            </w:r>
          </w:p>
        </w:tc>
        <w:tc>
          <w:tcPr>
            <w:tcW w:w="1820" w:type="dxa"/>
            <w:shd w:val="clear" w:color="auto" w:fill="FFFFFF"/>
            <w:vAlign w:val="center"/>
          </w:tcPr>
          <w:p w14:paraId="1B55B4C7">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w:t>
            </w:r>
            <w:r>
              <w:rPr>
                <w:rFonts w:hint="eastAsia" w:eastAsia="Times New Roman" w:cs="Times New Roman"/>
              </w:rPr>
              <w:t>20-50</w:t>
            </w:r>
            <w:r>
              <w:rPr>
                <w:rFonts w:hint="eastAsia" w:eastAsia="PMingLiU" w:cs="Times New Roman"/>
              </w:rPr>
              <w:t>公里</w:t>
            </w:r>
          </w:p>
        </w:tc>
      </w:tr>
      <w:tr w14:paraId="7F8C9E2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280" w:type="dxa"/>
            <w:gridSpan w:val="4"/>
            <w:shd w:val="clear" w:color="auto" w:fill="FFFFFF"/>
            <w:vAlign w:val="center"/>
          </w:tcPr>
          <w:p w14:paraId="3462769B">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○F</w:t>
            </w:r>
            <w:r>
              <w:rPr>
                <w:rFonts w:hint="eastAsia" w:eastAsia="PMingLiU" w:cs="Times New Roman"/>
              </w:rPr>
              <w:t>、</w:t>
            </w:r>
            <w:r>
              <w:rPr>
                <w:rFonts w:hint="eastAsia" w:eastAsia="Times New Roman" w:cs="Times New Roman"/>
              </w:rPr>
              <w:t>50</w:t>
            </w:r>
            <w:r>
              <w:rPr>
                <w:rFonts w:hint="eastAsia" w:eastAsia="PMingLiU" w:cs="Times New Roman"/>
              </w:rPr>
              <w:t>公里以上</w:t>
            </w:r>
          </w:p>
        </w:tc>
      </w:tr>
    </w:tbl>
    <w:p w14:paraId="53C4819A">
      <w:pPr>
        <w:ind w:firstLine="480"/>
        <w:rPr>
          <w:rFonts w:cs="Times New Roman"/>
        </w:rPr>
      </w:pPr>
    </w:p>
    <w:p w14:paraId="39211CE1">
      <w:pPr>
        <w:ind w:firstLine="480"/>
        <w:rPr>
          <w:rFonts w:cs="Times New Roman"/>
        </w:rPr>
      </w:pPr>
    </w:p>
    <w:p w14:paraId="26C0FE0C">
      <w:pPr>
        <w:spacing w:line="360" w:lineRule="auto"/>
        <w:ind w:firstLine="480"/>
        <w:rPr>
          <w:rFonts w:cs="Times New Roman"/>
        </w:rPr>
      </w:pPr>
      <w:r>
        <w:rPr>
          <w:rFonts w:eastAsia="Times New Roman" w:cs="Times New Roman"/>
        </w:rPr>
        <w:t>26.</w:t>
      </w:r>
      <w:r>
        <w:rPr>
          <w:rFonts w:eastAsia="PMingLiU" w:cs="Times New Roman"/>
        </w:rPr>
        <w:t>您上下班的单程通勤时间大约是多少分钟</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214"/>
        <w:gridCol w:w="2214"/>
        <w:gridCol w:w="2214"/>
        <w:gridCol w:w="2214"/>
      </w:tblGrid>
      <w:tr w14:paraId="187230D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820" w:type="dxa"/>
            <w:shd w:val="clear" w:color="auto" w:fill="FFFFFF"/>
            <w:vAlign w:val="center"/>
          </w:tcPr>
          <w:p w14:paraId="2023E52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w:t>
            </w:r>
            <w:r>
              <w:rPr>
                <w:rFonts w:hint="eastAsia" w:eastAsia="Times New Roman" w:cs="Times New Roman"/>
              </w:rPr>
              <w:t>10</w:t>
            </w:r>
            <w:r>
              <w:rPr>
                <w:rFonts w:hint="eastAsia" w:eastAsia="PMingLiU" w:cs="Times New Roman"/>
              </w:rPr>
              <w:t>分钟以下</w:t>
            </w:r>
          </w:p>
        </w:tc>
        <w:tc>
          <w:tcPr>
            <w:tcW w:w="1820" w:type="dxa"/>
            <w:shd w:val="clear" w:color="auto" w:fill="FFFFFF"/>
            <w:vAlign w:val="center"/>
          </w:tcPr>
          <w:p w14:paraId="5B8DC4A2">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w:t>
            </w:r>
            <w:r>
              <w:rPr>
                <w:rFonts w:hint="eastAsia" w:eastAsia="Times New Roman" w:cs="Times New Roman"/>
              </w:rPr>
              <w:t>10-30</w:t>
            </w:r>
            <w:r>
              <w:rPr>
                <w:rFonts w:hint="eastAsia" w:eastAsia="PMingLiU" w:cs="Times New Roman"/>
              </w:rPr>
              <w:t>分钟</w:t>
            </w:r>
          </w:p>
        </w:tc>
        <w:tc>
          <w:tcPr>
            <w:tcW w:w="1820" w:type="dxa"/>
            <w:shd w:val="clear" w:color="auto" w:fill="FFFFFF"/>
            <w:vAlign w:val="center"/>
          </w:tcPr>
          <w:p w14:paraId="1DB72F90">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w:t>
            </w:r>
            <w:r>
              <w:rPr>
                <w:rFonts w:hint="eastAsia" w:eastAsia="Times New Roman" w:cs="Times New Roman"/>
              </w:rPr>
              <w:t>30-60</w:t>
            </w:r>
            <w:r>
              <w:rPr>
                <w:rFonts w:hint="eastAsia" w:eastAsia="PMingLiU" w:cs="Times New Roman"/>
              </w:rPr>
              <w:t>分钟</w:t>
            </w:r>
          </w:p>
        </w:tc>
        <w:tc>
          <w:tcPr>
            <w:tcW w:w="1820" w:type="dxa"/>
            <w:shd w:val="clear" w:color="auto" w:fill="FFFFFF"/>
            <w:vAlign w:val="center"/>
          </w:tcPr>
          <w:p w14:paraId="5C88C8A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w:t>
            </w:r>
            <w:r>
              <w:rPr>
                <w:rFonts w:hint="eastAsia" w:eastAsia="Times New Roman" w:cs="Times New Roman"/>
              </w:rPr>
              <w:t>60</w:t>
            </w:r>
            <w:r>
              <w:rPr>
                <w:rFonts w:hint="eastAsia" w:eastAsia="PMingLiU" w:cs="Times New Roman"/>
              </w:rPr>
              <w:t>分钟以上</w:t>
            </w:r>
          </w:p>
        </w:tc>
      </w:tr>
    </w:tbl>
    <w:p w14:paraId="54D3B48F">
      <w:pPr>
        <w:ind w:firstLine="480"/>
        <w:rPr>
          <w:rFonts w:cs="Times New Roman"/>
        </w:rPr>
      </w:pPr>
    </w:p>
    <w:p w14:paraId="6764CCF5">
      <w:pPr>
        <w:ind w:firstLine="480"/>
        <w:rPr>
          <w:rFonts w:cs="Times New Roman"/>
        </w:rPr>
      </w:pPr>
    </w:p>
    <w:p w14:paraId="43656472">
      <w:pPr>
        <w:spacing w:line="360" w:lineRule="auto"/>
        <w:ind w:firstLine="480"/>
        <w:rPr>
          <w:rFonts w:cs="Times New Roman"/>
        </w:rPr>
      </w:pPr>
      <w:r>
        <w:rPr>
          <w:rFonts w:eastAsia="Times New Roman" w:cs="Times New Roman"/>
        </w:rPr>
        <w:t>27.</w:t>
      </w:r>
      <w:r>
        <w:rPr>
          <w:rFonts w:eastAsia="PMingLiU" w:cs="Times New Roman"/>
        </w:rPr>
        <w:t>您平均每年乘坐短途航班（距离小于</w:t>
      </w:r>
      <w:r>
        <w:rPr>
          <w:rFonts w:eastAsia="Times New Roman" w:cs="Times New Roman"/>
        </w:rPr>
        <w:t>1500km/</w:t>
      </w:r>
      <w:r>
        <w:rPr>
          <w:rFonts w:eastAsia="PMingLiU" w:cs="Times New Roman"/>
        </w:rPr>
        <w:t>时长小于</w:t>
      </w:r>
      <w:r>
        <w:rPr>
          <w:rFonts w:eastAsia="Times New Roman" w:cs="Times New Roman"/>
        </w:rPr>
        <w:t>3</w:t>
      </w:r>
      <w:r>
        <w:rPr>
          <w:rFonts w:eastAsia="PMingLiU" w:cs="Times New Roman"/>
        </w:rPr>
        <w:t>小时）的次数是多少</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36214FB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2070F52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、少于</w:t>
            </w:r>
            <w:r>
              <w:rPr>
                <w:rFonts w:hint="eastAsia" w:eastAsia="Times New Roman" w:cs="Times New Roman"/>
              </w:rPr>
              <w:t>2</w:t>
            </w:r>
            <w:r>
              <w:rPr>
                <w:rFonts w:hint="eastAsia" w:eastAsia="PMingLiU" w:cs="Times New Roman"/>
              </w:rPr>
              <w:t>次</w:t>
            </w:r>
          </w:p>
        </w:tc>
        <w:tc>
          <w:tcPr>
            <w:tcW w:w="2440" w:type="dxa"/>
            <w:shd w:val="clear" w:color="auto" w:fill="FFFFFF"/>
            <w:vAlign w:val="center"/>
          </w:tcPr>
          <w:p w14:paraId="6C6C7BA3">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w:t>
            </w:r>
            <w:r>
              <w:rPr>
                <w:rFonts w:hint="eastAsia" w:eastAsia="Times New Roman" w:cs="Times New Roman"/>
              </w:rPr>
              <w:t>2-6</w:t>
            </w:r>
            <w:r>
              <w:rPr>
                <w:rFonts w:hint="eastAsia" w:eastAsia="PMingLiU" w:cs="Times New Roman"/>
              </w:rPr>
              <w:t>次</w:t>
            </w:r>
          </w:p>
        </w:tc>
        <w:tc>
          <w:tcPr>
            <w:tcW w:w="2440" w:type="dxa"/>
            <w:shd w:val="clear" w:color="auto" w:fill="FFFFFF"/>
            <w:vAlign w:val="center"/>
          </w:tcPr>
          <w:p w14:paraId="08E46AD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w:t>
            </w:r>
            <w:r>
              <w:rPr>
                <w:rFonts w:hint="eastAsia" w:eastAsia="Times New Roman" w:cs="Times New Roman"/>
              </w:rPr>
              <w:t>6-10</w:t>
            </w:r>
            <w:r>
              <w:rPr>
                <w:rFonts w:hint="eastAsia" w:eastAsia="PMingLiU" w:cs="Times New Roman"/>
              </w:rPr>
              <w:t>次</w:t>
            </w:r>
          </w:p>
        </w:tc>
      </w:tr>
      <w:tr w14:paraId="093112B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387F3B77">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w:t>
            </w:r>
            <w:r>
              <w:rPr>
                <w:rFonts w:hint="eastAsia" w:eastAsia="Times New Roman" w:cs="Times New Roman"/>
              </w:rPr>
              <w:t>10-20</w:t>
            </w:r>
            <w:r>
              <w:rPr>
                <w:rFonts w:hint="eastAsia" w:eastAsia="PMingLiU" w:cs="Times New Roman"/>
              </w:rPr>
              <w:t>次</w:t>
            </w:r>
          </w:p>
        </w:tc>
        <w:tc>
          <w:tcPr>
            <w:tcW w:w="2440" w:type="dxa"/>
            <w:shd w:val="clear" w:color="auto" w:fill="FFFFFF"/>
            <w:vAlign w:val="center"/>
          </w:tcPr>
          <w:p w14:paraId="468507A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w:t>
            </w:r>
            <w:r>
              <w:rPr>
                <w:rFonts w:hint="eastAsia" w:eastAsia="PMingLiU" w:cs="Times New Roman"/>
              </w:rPr>
              <w:t>、</w:t>
            </w:r>
            <w:r>
              <w:rPr>
                <w:rFonts w:hint="eastAsia" w:eastAsia="Times New Roman" w:cs="Times New Roman"/>
              </w:rPr>
              <w:t>20</w:t>
            </w:r>
            <w:r>
              <w:rPr>
                <w:rFonts w:hint="eastAsia" w:eastAsia="PMingLiU" w:cs="Times New Roman"/>
              </w:rPr>
              <w:t>次以上</w:t>
            </w:r>
          </w:p>
        </w:tc>
        <w:tc>
          <w:tcPr>
            <w:tcW w:w="2440" w:type="dxa"/>
            <w:shd w:val="clear" w:color="auto" w:fill="FFFFFF"/>
            <w:vAlign w:val="center"/>
          </w:tcPr>
          <w:p w14:paraId="3B7EB93E">
            <w:pPr>
              <w:keepNext w:val="0"/>
              <w:keepLines w:val="0"/>
              <w:suppressLineNumbers w:val="0"/>
              <w:spacing w:before="0" w:beforeAutospacing="0" w:after="0" w:afterAutospacing="0"/>
              <w:ind w:left="0" w:right="0" w:firstLine="560"/>
              <w:jc w:val="left"/>
              <w:rPr>
                <w:rFonts w:hint="default" w:eastAsia="微软雅黑" w:cs="Times New Roman"/>
                <w:sz w:val="28"/>
              </w:rPr>
            </w:pPr>
          </w:p>
        </w:tc>
      </w:tr>
    </w:tbl>
    <w:p w14:paraId="41E724DB">
      <w:pPr>
        <w:ind w:firstLine="480"/>
        <w:rPr>
          <w:rFonts w:cs="Times New Roman"/>
        </w:rPr>
      </w:pPr>
    </w:p>
    <w:p w14:paraId="0DF99D8B">
      <w:pPr>
        <w:ind w:firstLine="480"/>
        <w:rPr>
          <w:rFonts w:cs="Times New Roman"/>
        </w:rPr>
      </w:pPr>
    </w:p>
    <w:p w14:paraId="2ECD8858">
      <w:pPr>
        <w:spacing w:line="360" w:lineRule="auto"/>
        <w:ind w:firstLine="480"/>
        <w:rPr>
          <w:rFonts w:cs="Times New Roman"/>
        </w:rPr>
      </w:pPr>
      <w:r>
        <w:rPr>
          <w:rFonts w:eastAsia="Times New Roman" w:cs="Times New Roman"/>
        </w:rPr>
        <w:t>28.</w:t>
      </w:r>
      <w:r>
        <w:rPr>
          <w:rFonts w:eastAsia="PMingLiU" w:cs="Times New Roman"/>
        </w:rPr>
        <w:t>您日常饮食中吃肉的比例为</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672A06C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3C79F101">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、中餐、晚餐都有</w:t>
            </w:r>
          </w:p>
        </w:tc>
        <w:tc>
          <w:tcPr>
            <w:tcW w:w="2440" w:type="dxa"/>
            <w:shd w:val="clear" w:color="auto" w:fill="FFFFFF"/>
            <w:vAlign w:val="center"/>
          </w:tcPr>
          <w:p w14:paraId="15D5B71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、每天一次</w:t>
            </w:r>
          </w:p>
        </w:tc>
        <w:tc>
          <w:tcPr>
            <w:tcW w:w="2440" w:type="dxa"/>
            <w:shd w:val="clear" w:color="auto" w:fill="FFFFFF"/>
            <w:vAlign w:val="center"/>
          </w:tcPr>
          <w:p w14:paraId="663F9326">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、每周</w:t>
            </w:r>
            <w:r>
              <w:rPr>
                <w:rFonts w:hint="eastAsia" w:eastAsia="Times New Roman" w:cs="Times New Roman"/>
              </w:rPr>
              <w:t>3-4</w:t>
            </w:r>
            <w:r>
              <w:rPr>
                <w:rFonts w:hint="eastAsia" w:eastAsia="PMingLiU" w:cs="Times New Roman"/>
              </w:rPr>
              <w:t>次</w:t>
            </w:r>
          </w:p>
        </w:tc>
      </w:tr>
      <w:tr w14:paraId="2F04972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606A264D">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、每周</w:t>
            </w:r>
            <w:r>
              <w:rPr>
                <w:rFonts w:hint="eastAsia" w:eastAsia="Times New Roman" w:cs="Times New Roman"/>
              </w:rPr>
              <w:t>1-2</w:t>
            </w:r>
            <w:r>
              <w:rPr>
                <w:rFonts w:hint="eastAsia" w:eastAsia="PMingLiU" w:cs="Times New Roman"/>
              </w:rPr>
              <w:t>次</w:t>
            </w:r>
          </w:p>
        </w:tc>
        <w:tc>
          <w:tcPr>
            <w:tcW w:w="2440" w:type="dxa"/>
            <w:shd w:val="clear" w:color="auto" w:fill="FFFFFF"/>
            <w:vAlign w:val="center"/>
          </w:tcPr>
          <w:p w14:paraId="057597A6">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w:t>
            </w:r>
            <w:r>
              <w:rPr>
                <w:rFonts w:hint="eastAsia" w:eastAsia="PMingLiU" w:cs="Times New Roman"/>
              </w:rPr>
              <w:t>、很少或从不</w:t>
            </w:r>
          </w:p>
        </w:tc>
        <w:tc>
          <w:tcPr>
            <w:tcW w:w="2440" w:type="dxa"/>
            <w:shd w:val="clear" w:color="auto" w:fill="FFFFFF"/>
            <w:vAlign w:val="center"/>
          </w:tcPr>
          <w:p w14:paraId="7A49E43E">
            <w:pPr>
              <w:keepNext w:val="0"/>
              <w:keepLines w:val="0"/>
              <w:suppressLineNumbers w:val="0"/>
              <w:spacing w:before="0" w:beforeAutospacing="0" w:after="0" w:afterAutospacing="0"/>
              <w:ind w:left="0" w:right="0" w:firstLine="560"/>
              <w:jc w:val="left"/>
              <w:rPr>
                <w:rFonts w:hint="default" w:eastAsia="微软雅黑" w:cs="Times New Roman"/>
                <w:sz w:val="28"/>
              </w:rPr>
            </w:pPr>
          </w:p>
        </w:tc>
      </w:tr>
    </w:tbl>
    <w:p w14:paraId="1DE6AD73">
      <w:pPr>
        <w:ind w:firstLine="480"/>
        <w:rPr>
          <w:rFonts w:cs="Times New Roman"/>
        </w:rPr>
      </w:pPr>
    </w:p>
    <w:p w14:paraId="06EA837A">
      <w:pPr>
        <w:ind w:firstLine="480"/>
        <w:rPr>
          <w:rFonts w:cs="Times New Roman"/>
        </w:rPr>
      </w:pPr>
    </w:p>
    <w:p w14:paraId="640114C9">
      <w:pPr>
        <w:spacing w:line="360" w:lineRule="auto"/>
        <w:ind w:firstLine="480"/>
        <w:rPr>
          <w:rFonts w:cs="Times New Roman"/>
        </w:rPr>
      </w:pPr>
      <w:r>
        <w:rPr>
          <w:rFonts w:eastAsia="Times New Roman" w:cs="Times New Roman"/>
        </w:rPr>
        <w:t>29.</w:t>
      </w:r>
      <w:r>
        <w:rPr>
          <w:rFonts w:eastAsia="PMingLiU" w:cs="Times New Roman"/>
        </w:rPr>
        <w:t>您家中总共有多少台空调</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214"/>
        <w:gridCol w:w="2214"/>
        <w:gridCol w:w="2214"/>
        <w:gridCol w:w="2214"/>
      </w:tblGrid>
      <w:tr w14:paraId="0AFBDAE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820" w:type="dxa"/>
            <w:shd w:val="clear" w:color="auto" w:fill="FFFFFF"/>
            <w:vAlign w:val="center"/>
          </w:tcPr>
          <w:p w14:paraId="3ECE0327">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w:t>
            </w:r>
            <w:r>
              <w:rPr>
                <w:rFonts w:hint="eastAsia" w:eastAsia="Times New Roman" w:cs="Times New Roman"/>
              </w:rPr>
              <w:t>1</w:t>
            </w:r>
            <w:r>
              <w:rPr>
                <w:rFonts w:hint="eastAsia" w:eastAsia="PMingLiU" w:cs="Times New Roman"/>
              </w:rPr>
              <w:t>台</w:t>
            </w:r>
          </w:p>
        </w:tc>
        <w:tc>
          <w:tcPr>
            <w:tcW w:w="1820" w:type="dxa"/>
            <w:shd w:val="clear" w:color="auto" w:fill="FFFFFF"/>
            <w:vAlign w:val="center"/>
          </w:tcPr>
          <w:p w14:paraId="6C94C0E6">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w:t>
            </w:r>
            <w:r>
              <w:rPr>
                <w:rFonts w:hint="eastAsia" w:eastAsia="Times New Roman" w:cs="Times New Roman"/>
              </w:rPr>
              <w:t>2</w:t>
            </w:r>
            <w:r>
              <w:rPr>
                <w:rFonts w:hint="eastAsia" w:eastAsia="PMingLiU" w:cs="Times New Roman"/>
              </w:rPr>
              <w:t>台</w:t>
            </w:r>
          </w:p>
        </w:tc>
        <w:tc>
          <w:tcPr>
            <w:tcW w:w="1820" w:type="dxa"/>
            <w:shd w:val="clear" w:color="auto" w:fill="FFFFFF"/>
            <w:vAlign w:val="center"/>
          </w:tcPr>
          <w:p w14:paraId="73B6E95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w:t>
            </w:r>
            <w:r>
              <w:rPr>
                <w:rFonts w:hint="eastAsia" w:eastAsia="Times New Roman" w:cs="Times New Roman"/>
              </w:rPr>
              <w:t>3</w:t>
            </w:r>
            <w:r>
              <w:rPr>
                <w:rFonts w:hint="eastAsia" w:eastAsia="PMingLiU" w:cs="Times New Roman"/>
              </w:rPr>
              <w:t>台</w:t>
            </w:r>
          </w:p>
        </w:tc>
        <w:tc>
          <w:tcPr>
            <w:tcW w:w="1820" w:type="dxa"/>
            <w:shd w:val="clear" w:color="auto" w:fill="FFFFFF"/>
            <w:vAlign w:val="center"/>
          </w:tcPr>
          <w:p w14:paraId="462AB3A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w:t>
            </w:r>
            <w:r>
              <w:rPr>
                <w:rFonts w:hint="eastAsia" w:eastAsia="Times New Roman" w:cs="Times New Roman"/>
              </w:rPr>
              <w:t>4</w:t>
            </w:r>
            <w:r>
              <w:rPr>
                <w:rFonts w:hint="eastAsia" w:eastAsia="PMingLiU" w:cs="Times New Roman"/>
              </w:rPr>
              <w:t>台及以上</w:t>
            </w:r>
          </w:p>
        </w:tc>
      </w:tr>
    </w:tbl>
    <w:p w14:paraId="265D8A05">
      <w:pPr>
        <w:ind w:firstLine="480"/>
        <w:rPr>
          <w:rFonts w:cs="Times New Roman"/>
        </w:rPr>
      </w:pPr>
    </w:p>
    <w:p w14:paraId="3628B1B2">
      <w:pPr>
        <w:ind w:firstLine="480"/>
        <w:rPr>
          <w:rFonts w:cs="Times New Roman"/>
        </w:rPr>
      </w:pPr>
    </w:p>
    <w:p w14:paraId="3E5F974D">
      <w:pPr>
        <w:spacing w:line="360" w:lineRule="auto"/>
        <w:ind w:firstLine="480"/>
        <w:rPr>
          <w:rFonts w:cs="Times New Roman"/>
        </w:rPr>
      </w:pPr>
      <w:r>
        <w:rPr>
          <w:rFonts w:eastAsia="Times New Roman" w:cs="Times New Roman"/>
        </w:rPr>
        <w:t>30.</w:t>
      </w:r>
      <w:r>
        <w:rPr>
          <w:rFonts w:eastAsia="PMingLiU" w:cs="Times New Roman"/>
        </w:rPr>
        <w:t>您家中一年大约开几个月空调</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2D07CD8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5B34288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w:t>
            </w:r>
            <w:r>
              <w:rPr>
                <w:rFonts w:hint="eastAsia" w:eastAsia="Times New Roman" w:cs="Times New Roman"/>
              </w:rPr>
              <w:t>2</w:t>
            </w:r>
            <w:r>
              <w:rPr>
                <w:rFonts w:hint="eastAsia" w:eastAsia="PMingLiU" w:cs="Times New Roman"/>
              </w:rPr>
              <w:t>个月</w:t>
            </w:r>
          </w:p>
        </w:tc>
        <w:tc>
          <w:tcPr>
            <w:tcW w:w="2440" w:type="dxa"/>
            <w:shd w:val="clear" w:color="auto" w:fill="FFFFFF"/>
            <w:vAlign w:val="center"/>
          </w:tcPr>
          <w:p w14:paraId="3A0ADEE6">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w:t>
            </w:r>
            <w:r>
              <w:rPr>
                <w:rFonts w:hint="eastAsia" w:eastAsia="Times New Roman" w:cs="Times New Roman"/>
              </w:rPr>
              <w:t>3</w:t>
            </w:r>
            <w:r>
              <w:rPr>
                <w:rFonts w:hint="eastAsia" w:eastAsia="PMingLiU" w:cs="Times New Roman"/>
              </w:rPr>
              <w:t>个月</w:t>
            </w:r>
          </w:p>
        </w:tc>
        <w:tc>
          <w:tcPr>
            <w:tcW w:w="2440" w:type="dxa"/>
            <w:shd w:val="clear" w:color="auto" w:fill="FFFFFF"/>
            <w:vAlign w:val="center"/>
          </w:tcPr>
          <w:p w14:paraId="1B9B194B">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w:t>
            </w:r>
            <w:r>
              <w:rPr>
                <w:rFonts w:hint="eastAsia" w:eastAsia="Times New Roman" w:cs="Times New Roman"/>
              </w:rPr>
              <w:t>4</w:t>
            </w:r>
            <w:r>
              <w:rPr>
                <w:rFonts w:hint="eastAsia" w:eastAsia="PMingLiU" w:cs="Times New Roman"/>
              </w:rPr>
              <w:t>个月</w:t>
            </w:r>
          </w:p>
        </w:tc>
      </w:tr>
      <w:tr w14:paraId="307218D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345EA98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w:t>
            </w:r>
            <w:r>
              <w:rPr>
                <w:rFonts w:hint="eastAsia" w:eastAsia="Times New Roman" w:cs="Times New Roman"/>
              </w:rPr>
              <w:t>5</w:t>
            </w:r>
            <w:r>
              <w:rPr>
                <w:rFonts w:hint="eastAsia" w:eastAsia="PMingLiU" w:cs="Times New Roman"/>
              </w:rPr>
              <w:t>个月</w:t>
            </w:r>
          </w:p>
        </w:tc>
        <w:tc>
          <w:tcPr>
            <w:tcW w:w="2440" w:type="dxa"/>
            <w:shd w:val="clear" w:color="auto" w:fill="FFFFFF"/>
            <w:vAlign w:val="center"/>
          </w:tcPr>
          <w:p w14:paraId="2E0D912B">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w:t>
            </w:r>
            <w:r>
              <w:rPr>
                <w:rFonts w:hint="eastAsia" w:eastAsia="PMingLiU" w:cs="Times New Roman"/>
              </w:rPr>
              <w:t>、</w:t>
            </w:r>
            <w:r>
              <w:rPr>
                <w:rFonts w:hint="eastAsia" w:eastAsia="Times New Roman" w:cs="Times New Roman"/>
              </w:rPr>
              <w:t>6</w:t>
            </w:r>
            <w:r>
              <w:rPr>
                <w:rFonts w:hint="eastAsia" w:eastAsia="PMingLiU" w:cs="Times New Roman"/>
              </w:rPr>
              <w:t>个月及以上</w:t>
            </w:r>
          </w:p>
        </w:tc>
        <w:tc>
          <w:tcPr>
            <w:tcW w:w="2440" w:type="dxa"/>
            <w:shd w:val="clear" w:color="auto" w:fill="FFFFFF"/>
            <w:vAlign w:val="center"/>
          </w:tcPr>
          <w:p w14:paraId="5E3043E1">
            <w:pPr>
              <w:keepNext w:val="0"/>
              <w:keepLines w:val="0"/>
              <w:suppressLineNumbers w:val="0"/>
              <w:spacing w:before="0" w:beforeAutospacing="0" w:after="0" w:afterAutospacing="0"/>
              <w:ind w:left="0" w:right="0" w:firstLine="560"/>
              <w:jc w:val="left"/>
              <w:rPr>
                <w:rFonts w:hint="default" w:eastAsia="微软雅黑" w:cs="Times New Roman"/>
                <w:sz w:val="28"/>
              </w:rPr>
            </w:pPr>
          </w:p>
        </w:tc>
      </w:tr>
    </w:tbl>
    <w:p w14:paraId="18E21885">
      <w:pPr>
        <w:ind w:firstLine="480"/>
        <w:rPr>
          <w:rFonts w:cs="Times New Roman"/>
        </w:rPr>
      </w:pPr>
    </w:p>
    <w:p w14:paraId="131E7BD5">
      <w:pPr>
        <w:ind w:firstLine="480"/>
        <w:rPr>
          <w:rFonts w:cs="Times New Roman"/>
        </w:rPr>
      </w:pPr>
    </w:p>
    <w:p w14:paraId="2500F6BD">
      <w:pPr>
        <w:spacing w:line="360" w:lineRule="auto"/>
        <w:ind w:firstLine="480"/>
        <w:rPr>
          <w:rFonts w:cs="Times New Roman"/>
        </w:rPr>
      </w:pPr>
      <w:r>
        <w:rPr>
          <w:rFonts w:eastAsia="Times New Roman" w:cs="Times New Roman"/>
        </w:rPr>
        <w:t>31.</w:t>
      </w:r>
      <w:r>
        <w:rPr>
          <w:rFonts w:eastAsia="PMingLiU" w:cs="Times New Roman"/>
        </w:rPr>
        <w:t>您家夏季日常的空调温度为</w:t>
      </w:r>
      <w:r>
        <w:rPr>
          <w:rFonts w:eastAsia="Times New Roman" w:cs="Times New Roman"/>
        </w:rPr>
        <w:t xml:space="preserve">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214"/>
        <w:gridCol w:w="2214"/>
        <w:gridCol w:w="2214"/>
        <w:gridCol w:w="2214"/>
      </w:tblGrid>
      <w:tr w14:paraId="0FA0AE7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820" w:type="dxa"/>
            <w:shd w:val="clear" w:color="auto" w:fill="FFFFFF"/>
            <w:vAlign w:val="center"/>
          </w:tcPr>
          <w:p w14:paraId="42287AD7">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w:t>
            </w:r>
            <w:r>
              <w:rPr>
                <w:rFonts w:hint="eastAsia" w:eastAsia="Times New Roman" w:cs="Times New Roman"/>
              </w:rPr>
              <w:t>18-20</w:t>
            </w:r>
            <w:r>
              <w:rPr>
                <w:rFonts w:hint="eastAsia" w:eastAsia="PMingLiU" w:cs="Times New Roman"/>
              </w:rPr>
              <w:t>度</w:t>
            </w:r>
          </w:p>
        </w:tc>
        <w:tc>
          <w:tcPr>
            <w:tcW w:w="1820" w:type="dxa"/>
            <w:shd w:val="clear" w:color="auto" w:fill="FFFFFF"/>
            <w:vAlign w:val="center"/>
          </w:tcPr>
          <w:p w14:paraId="054E4963">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w:t>
            </w:r>
            <w:r>
              <w:rPr>
                <w:rFonts w:hint="eastAsia" w:eastAsia="Times New Roman" w:cs="Times New Roman"/>
              </w:rPr>
              <w:t>20-24</w:t>
            </w:r>
            <w:r>
              <w:rPr>
                <w:rFonts w:hint="eastAsia" w:eastAsia="PMingLiU" w:cs="Times New Roman"/>
              </w:rPr>
              <w:t>度</w:t>
            </w:r>
          </w:p>
        </w:tc>
        <w:tc>
          <w:tcPr>
            <w:tcW w:w="1820" w:type="dxa"/>
            <w:shd w:val="clear" w:color="auto" w:fill="FFFFFF"/>
            <w:vAlign w:val="center"/>
          </w:tcPr>
          <w:p w14:paraId="238D38A7">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w:t>
            </w:r>
            <w:r>
              <w:rPr>
                <w:rFonts w:hint="eastAsia" w:eastAsia="Times New Roman" w:cs="Times New Roman"/>
              </w:rPr>
              <w:t>24-26</w:t>
            </w:r>
            <w:r>
              <w:rPr>
                <w:rFonts w:hint="eastAsia" w:eastAsia="PMingLiU" w:cs="Times New Roman"/>
              </w:rPr>
              <w:t>度</w:t>
            </w:r>
          </w:p>
        </w:tc>
        <w:tc>
          <w:tcPr>
            <w:tcW w:w="1820" w:type="dxa"/>
            <w:shd w:val="clear" w:color="auto" w:fill="FFFFFF"/>
            <w:vAlign w:val="center"/>
          </w:tcPr>
          <w:p w14:paraId="2B53EF72">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w:t>
            </w:r>
            <w:r>
              <w:rPr>
                <w:rFonts w:hint="eastAsia" w:eastAsia="Times New Roman" w:cs="Times New Roman"/>
              </w:rPr>
              <w:t>26</w:t>
            </w:r>
            <w:r>
              <w:rPr>
                <w:rFonts w:hint="eastAsia" w:eastAsia="PMingLiU" w:cs="Times New Roman"/>
              </w:rPr>
              <w:t>度以上</w:t>
            </w:r>
          </w:p>
        </w:tc>
      </w:tr>
    </w:tbl>
    <w:p w14:paraId="580BAB2E">
      <w:pPr>
        <w:ind w:firstLine="480"/>
        <w:rPr>
          <w:rFonts w:cs="Times New Roman"/>
        </w:rPr>
      </w:pPr>
    </w:p>
    <w:p w14:paraId="133ED737">
      <w:pPr>
        <w:ind w:firstLine="480"/>
        <w:rPr>
          <w:rFonts w:cs="Times New Roman"/>
        </w:rPr>
      </w:pPr>
    </w:p>
    <w:p w14:paraId="36848845">
      <w:pPr>
        <w:spacing w:line="360" w:lineRule="auto"/>
        <w:ind w:firstLine="480"/>
        <w:rPr>
          <w:rFonts w:cs="Times New Roman"/>
        </w:rPr>
      </w:pPr>
      <w:r>
        <w:rPr>
          <w:rFonts w:eastAsia="Times New Roman" w:cs="Times New Roman"/>
        </w:rPr>
        <w:t>32.</w:t>
      </w:r>
      <w:r>
        <w:rPr>
          <w:rFonts w:eastAsia="PMingLiU" w:cs="Times New Roman"/>
        </w:rPr>
        <w:t>您家平均每天使用空调的时长是多少小时</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7519C7B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4EEFDA69">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、少于</w:t>
            </w:r>
            <w:r>
              <w:rPr>
                <w:rFonts w:hint="eastAsia" w:eastAsia="Times New Roman" w:cs="Times New Roman"/>
              </w:rPr>
              <w:t>2</w:t>
            </w:r>
            <w:r>
              <w:rPr>
                <w:rFonts w:hint="eastAsia" w:eastAsia="PMingLiU" w:cs="Times New Roman"/>
              </w:rPr>
              <w:t>小时</w:t>
            </w:r>
          </w:p>
        </w:tc>
        <w:tc>
          <w:tcPr>
            <w:tcW w:w="2440" w:type="dxa"/>
            <w:shd w:val="clear" w:color="auto" w:fill="FFFFFF"/>
            <w:vAlign w:val="center"/>
          </w:tcPr>
          <w:p w14:paraId="34209CC1">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w:t>
            </w:r>
            <w:r>
              <w:rPr>
                <w:rFonts w:hint="eastAsia" w:eastAsia="Times New Roman" w:cs="Times New Roman"/>
              </w:rPr>
              <w:t>2-4</w:t>
            </w:r>
            <w:r>
              <w:rPr>
                <w:rFonts w:hint="eastAsia" w:eastAsia="PMingLiU" w:cs="Times New Roman"/>
              </w:rPr>
              <w:t>小时</w:t>
            </w:r>
          </w:p>
        </w:tc>
        <w:tc>
          <w:tcPr>
            <w:tcW w:w="2440" w:type="dxa"/>
            <w:shd w:val="clear" w:color="auto" w:fill="FFFFFF"/>
            <w:vAlign w:val="center"/>
          </w:tcPr>
          <w:p w14:paraId="4BFF7EB2">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w:t>
            </w:r>
            <w:r>
              <w:rPr>
                <w:rFonts w:hint="eastAsia" w:eastAsia="Times New Roman" w:cs="Times New Roman"/>
              </w:rPr>
              <w:t>4-6</w:t>
            </w:r>
            <w:r>
              <w:rPr>
                <w:rFonts w:hint="eastAsia" w:eastAsia="PMingLiU" w:cs="Times New Roman"/>
              </w:rPr>
              <w:t>小时</w:t>
            </w:r>
          </w:p>
        </w:tc>
      </w:tr>
      <w:tr w14:paraId="7EFCA06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5D074026">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w:t>
            </w:r>
            <w:r>
              <w:rPr>
                <w:rFonts w:hint="eastAsia" w:eastAsia="Times New Roman" w:cs="Times New Roman"/>
              </w:rPr>
              <w:t>6-8</w:t>
            </w:r>
            <w:r>
              <w:rPr>
                <w:rFonts w:hint="eastAsia" w:eastAsia="PMingLiU" w:cs="Times New Roman"/>
              </w:rPr>
              <w:t>小时</w:t>
            </w:r>
          </w:p>
        </w:tc>
        <w:tc>
          <w:tcPr>
            <w:tcW w:w="2440" w:type="dxa"/>
            <w:shd w:val="clear" w:color="auto" w:fill="FFFFFF"/>
            <w:vAlign w:val="center"/>
          </w:tcPr>
          <w:p w14:paraId="3737714A">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w:t>
            </w:r>
            <w:r>
              <w:rPr>
                <w:rFonts w:hint="eastAsia" w:eastAsia="PMingLiU" w:cs="Times New Roman"/>
              </w:rPr>
              <w:t>、</w:t>
            </w:r>
            <w:r>
              <w:rPr>
                <w:rFonts w:hint="eastAsia" w:eastAsia="Times New Roman" w:cs="Times New Roman"/>
              </w:rPr>
              <w:t>8</w:t>
            </w:r>
            <w:r>
              <w:rPr>
                <w:rFonts w:hint="eastAsia" w:eastAsia="PMingLiU" w:cs="Times New Roman"/>
              </w:rPr>
              <w:t>小时以上</w:t>
            </w:r>
          </w:p>
        </w:tc>
        <w:tc>
          <w:tcPr>
            <w:tcW w:w="2440" w:type="dxa"/>
            <w:shd w:val="clear" w:color="auto" w:fill="FFFFFF"/>
            <w:vAlign w:val="center"/>
          </w:tcPr>
          <w:p w14:paraId="027821FB">
            <w:pPr>
              <w:keepNext w:val="0"/>
              <w:keepLines w:val="0"/>
              <w:suppressLineNumbers w:val="0"/>
              <w:spacing w:before="0" w:beforeAutospacing="0" w:after="0" w:afterAutospacing="0"/>
              <w:ind w:left="0" w:right="0" w:firstLine="560"/>
              <w:jc w:val="left"/>
              <w:rPr>
                <w:rFonts w:hint="default" w:eastAsia="微软雅黑" w:cs="Times New Roman"/>
                <w:sz w:val="28"/>
              </w:rPr>
            </w:pPr>
          </w:p>
        </w:tc>
      </w:tr>
    </w:tbl>
    <w:p w14:paraId="64B58B3E">
      <w:pPr>
        <w:ind w:firstLine="480"/>
        <w:rPr>
          <w:rFonts w:cs="Times New Roman"/>
        </w:rPr>
      </w:pPr>
    </w:p>
    <w:p w14:paraId="100E3E8E">
      <w:pPr>
        <w:ind w:firstLine="480"/>
        <w:rPr>
          <w:rFonts w:cs="Times New Roman"/>
        </w:rPr>
      </w:pPr>
    </w:p>
    <w:p w14:paraId="02AFE557">
      <w:pPr>
        <w:spacing w:line="360" w:lineRule="auto"/>
        <w:ind w:firstLine="480"/>
        <w:rPr>
          <w:rFonts w:cs="Times New Roman"/>
        </w:rPr>
      </w:pPr>
      <w:r>
        <w:rPr>
          <w:rFonts w:eastAsia="Times New Roman" w:cs="Times New Roman"/>
        </w:rPr>
        <w:t>33.</w:t>
      </w:r>
      <w:r>
        <w:rPr>
          <w:rFonts w:eastAsia="PMingLiU" w:cs="Times New Roman"/>
        </w:rPr>
        <w:t>您点外卖的频率为</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0FD45D1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43418622">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、平均每天</w:t>
            </w:r>
            <w:r>
              <w:rPr>
                <w:rFonts w:hint="eastAsia" w:eastAsia="Times New Roman" w:cs="Times New Roman"/>
              </w:rPr>
              <w:t>2</w:t>
            </w:r>
            <w:r>
              <w:rPr>
                <w:rFonts w:hint="eastAsia" w:eastAsia="PMingLiU" w:cs="Times New Roman"/>
              </w:rPr>
              <w:t>次以上</w:t>
            </w:r>
          </w:p>
        </w:tc>
        <w:tc>
          <w:tcPr>
            <w:tcW w:w="2440" w:type="dxa"/>
            <w:shd w:val="clear" w:color="auto" w:fill="FFFFFF"/>
            <w:vAlign w:val="center"/>
          </w:tcPr>
          <w:p w14:paraId="7C21150F">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、平均每天</w:t>
            </w:r>
            <w:r>
              <w:rPr>
                <w:rFonts w:hint="eastAsia" w:eastAsia="Times New Roman" w:cs="Times New Roman"/>
              </w:rPr>
              <w:t>1-2</w:t>
            </w:r>
            <w:r>
              <w:rPr>
                <w:rFonts w:hint="eastAsia" w:eastAsia="PMingLiU" w:cs="Times New Roman"/>
              </w:rPr>
              <w:t>次</w:t>
            </w:r>
          </w:p>
        </w:tc>
        <w:tc>
          <w:tcPr>
            <w:tcW w:w="2440" w:type="dxa"/>
            <w:shd w:val="clear" w:color="auto" w:fill="FFFFFF"/>
            <w:vAlign w:val="center"/>
          </w:tcPr>
          <w:p w14:paraId="515A054A">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、平均每周</w:t>
            </w:r>
            <w:r>
              <w:rPr>
                <w:rFonts w:hint="eastAsia" w:eastAsia="Times New Roman" w:cs="Times New Roman"/>
              </w:rPr>
              <w:t>3-4</w:t>
            </w:r>
            <w:r>
              <w:rPr>
                <w:rFonts w:hint="eastAsia" w:eastAsia="PMingLiU" w:cs="Times New Roman"/>
              </w:rPr>
              <w:t>次</w:t>
            </w:r>
          </w:p>
        </w:tc>
      </w:tr>
      <w:tr w14:paraId="215C458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6742044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○D</w:t>
            </w:r>
            <w:r>
              <w:rPr>
                <w:rFonts w:hint="eastAsia" w:eastAsia="PMingLiU" w:cs="Times New Roman"/>
              </w:rPr>
              <w:t>、平均每周</w:t>
            </w:r>
            <w:r>
              <w:rPr>
                <w:rFonts w:hint="eastAsia" w:eastAsia="Times New Roman" w:cs="Times New Roman"/>
              </w:rPr>
              <w:t>1-2</w:t>
            </w:r>
            <w:r>
              <w:rPr>
                <w:rFonts w:hint="eastAsia" w:eastAsia="PMingLiU" w:cs="Times New Roman"/>
              </w:rPr>
              <w:t>次</w:t>
            </w:r>
          </w:p>
        </w:tc>
        <w:tc>
          <w:tcPr>
            <w:tcW w:w="2440" w:type="dxa"/>
            <w:shd w:val="clear" w:color="auto" w:fill="FFFFFF"/>
            <w:vAlign w:val="center"/>
          </w:tcPr>
          <w:p w14:paraId="28510124">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○E</w:t>
            </w:r>
            <w:r>
              <w:rPr>
                <w:rFonts w:hint="eastAsia" w:eastAsia="PMingLiU" w:cs="Times New Roman"/>
              </w:rPr>
              <w:t>、几乎不点外卖</w:t>
            </w:r>
          </w:p>
        </w:tc>
        <w:tc>
          <w:tcPr>
            <w:tcW w:w="2440" w:type="dxa"/>
            <w:shd w:val="clear" w:color="auto" w:fill="FFFFFF"/>
            <w:vAlign w:val="center"/>
          </w:tcPr>
          <w:p w14:paraId="4C1BDC94">
            <w:pPr>
              <w:keepNext w:val="0"/>
              <w:keepLines w:val="0"/>
              <w:suppressLineNumbers w:val="0"/>
              <w:spacing w:before="0" w:beforeAutospacing="0" w:after="0" w:afterAutospacing="0"/>
              <w:ind w:left="0" w:right="0" w:firstLine="560"/>
              <w:jc w:val="left"/>
              <w:rPr>
                <w:rFonts w:hint="default" w:eastAsia="微软雅黑" w:cs="Times New Roman"/>
                <w:sz w:val="28"/>
              </w:rPr>
            </w:pPr>
          </w:p>
        </w:tc>
      </w:tr>
    </w:tbl>
    <w:p w14:paraId="4AADF315">
      <w:pPr>
        <w:ind w:firstLine="480"/>
        <w:rPr>
          <w:rFonts w:cs="Times New Roman"/>
        </w:rPr>
      </w:pPr>
    </w:p>
    <w:p w14:paraId="6DD91411">
      <w:pPr>
        <w:ind w:firstLine="480"/>
        <w:rPr>
          <w:rFonts w:cs="Times New Roman"/>
        </w:rPr>
      </w:pPr>
    </w:p>
    <w:p w14:paraId="245D8655">
      <w:pPr>
        <w:spacing w:line="360" w:lineRule="auto"/>
        <w:ind w:firstLine="480"/>
        <w:rPr>
          <w:rFonts w:cs="Times New Roman"/>
        </w:rPr>
      </w:pPr>
      <w:r>
        <w:rPr>
          <w:rFonts w:eastAsia="Times New Roman" w:cs="Times New Roman"/>
        </w:rPr>
        <w:t>34.</w:t>
      </w:r>
      <w:r>
        <w:rPr>
          <w:rFonts w:eastAsia="PMingLiU" w:cs="Times New Roman"/>
        </w:rPr>
        <w:t>您点外卖选择一次性餐具的频率</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1C4B7FA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2440" w:type="dxa"/>
            <w:shd w:val="clear" w:color="auto" w:fill="FFFFFF"/>
            <w:vAlign w:val="center"/>
          </w:tcPr>
          <w:p w14:paraId="5E37F6AD">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、使用一次性餐具居多</w:t>
            </w:r>
          </w:p>
        </w:tc>
        <w:tc>
          <w:tcPr>
            <w:tcW w:w="2440" w:type="dxa"/>
            <w:shd w:val="clear" w:color="auto" w:fill="FFFFFF"/>
            <w:vAlign w:val="center"/>
          </w:tcPr>
          <w:p w14:paraId="4EA7E2CC">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、一半的场景使用一次性餐具</w:t>
            </w:r>
          </w:p>
        </w:tc>
        <w:tc>
          <w:tcPr>
            <w:tcW w:w="2440" w:type="dxa"/>
            <w:shd w:val="clear" w:color="auto" w:fill="FFFFFF"/>
            <w:vAlign w:val="center"/>
          </w:tcPr>
          <w:p w14:paraId="479AEC9E">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○C</w:t>
            </w:r>
            <w:r>
              <w:rPr>
                <w:rFonts w:hint="eastAsia" w:eastAsia="PMingLiU" w:cs="Times New Roman"/>
              </w:rPr>
              <w:t>、不使用一次性餐具场景居多</w:t>
            </w:r>
          </w:p>
        </w:tc>
      </w:tr>
    </w:tbl>
    <w:p w14:paraId="2F8D063E">
      <w:pPr>
        <w:ind w:firstLine="480"/>
        <w:rPr>
          <w:rFonts w:cs="Times New Roman"/>
        </w:rPr>
      </w:pPr>
    </w:p>
    <w:p w14:paraId="1A3A5275">
      <w:pPr>
        <w:ind w:firstLine="480"/>
        <w:rPr>
          <w:rFonts w:cs="Times New Roman"/>
        </w:rPr>
      </w:pPr>
    </w:p>
    <w:p w14:paraId="1D37C599">
      <w:pPr>
        <w:spacing w:line="360" w:lineRule="auto"/>
        <w:ind w:firstLine="480"/>
        <w:rPr>
          <w:rFonts w:cs="Times New Roman"/>
        </w:rPr>
      </w:pPr>
      <w:r>
        <w:rPr>
          <w:rFonts w:eastAsia="Times New Roman" w:cs="Times New Roman"/>
        </w:rPr>
        <w:t>35.</w:t>
      </w:r>
      <w:r>
        <w:rPr>
          <w:rFonts w:eastAsia="PMingLiU" w:cs="Times New Roman"/>
        </w:rPr>
        <w:t>您是否有垃圾分类回收的习惯</w:t>
      </w:r>
      <w:r>
        <w:rPr>
          <w:rFonts w:eastAsia="Times New Roman" w:cs="Times New Roman"/>
        </w:rPr>
        <w:t>? [</w:t>
      </w:r>
      <w:r>
        <w:rPr>
          <w:rFonts w:eastAsia="PMingLiU" w:cs="Times New Roman"/>
        </w:rPr>
        <w:t>单选题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4CCBBD2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3680" w:type="dxa"/>
            <w:shd w:val="clear" w:color="auto" w:fill="FFFFFF"/>
            <w:vAlign w:val="center"/>
          </w:tcPr>
          <w:p w14:paraId="60976A85">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○A</w:t>
            </w:r>
            <w:r>
              <w:rPr>
                <w:rFonts w:hint="eastAsia" w:eastAsia="PMingLiU" w:cs="Times New Roman"/>
              </w:rPr>
              <w:t>、是</w:t>
            </w:r>
          </w:p>
        </w:tc>
        <w:tc>
          <w:tcPr>
            <w:tcW w:w="3680" w:type="dxa"/>
            <w:shd w:val="clear" w:color="auto" w:fill="FFFFFF"/>
            <w:vAlign w:val="center"/>
          </w:tcPr>
          <w:p w14:paraId="4831DBEC">
            <w:pPr>
              <w:keepNext w:val="0"/>
              <w:keepLines w:val="0"/>
              <w:suppressLineNumbers w:val="0"/>
              <w:spacing w:before="0" w:beforeAutospacing="0" w:after="0" w:afterAutospacing="0"/>
              <w:ind w:left="0" w:right="0" w:firstLine="480"/>
              <w:jc w:val="left"/>
              <w:rPr>
                <w:rFonts w:hint="default" w:eastAsia="微软雅黑" w:cs="Times New Roman"/>
                <w:sz w:val="28"/>
              </w:rPr>
            </w:pPr>
            <w:r>
              <w:rPr>
                <w:rFonts w:hint="eastAsia" w:eastAsia="Times New Roman" w:cs="Times New Roman"/>
              </w:rPr>
              <w:t>○B</w:t>
            </w:r>
            <w:r>
              <w:rPr>
                <w:rFonts w:hint="eastAsia" w:eastAsia="PMingLiU" w:cs="Times New Roman"/>
              </w:rPr>
              <w:t>、否</w:t>
            </w:r>
          </w:p>
        </w:tc>
      </w:tr>
    </w:tbl>
    <w:p w14:paraId="7BF1AC38">
      <w:pPr>
        <w:ind w:firstLine="480"/>
        <w:rPr>
          <w:rFonts w:cs="Times New Roman"/>
        </w:rPr>
      </w:pPr>
    </w:p>
    <w:p w14:paraId="0EBC19EB">
      <w:pPr>
        <w:ind w:firstLine="480"/>
        <w:rPr>
          <w:rFonts w:cs="Times New Roman"/>
        </w:rPr>
      </w:pPr>
    </w:p>
    <w:p w14:paraId="7EAA4852">
      <w:pPr>
        <w:spacing w:line="360" w:lineRule="auto"/>
        <w:ind w:firstLine="480"/>
        <w:rPr>
          <w:rFonts w:cs="Times New Roman"/>
        </w:rPr>
      </w:pPr>
      <w:r>
        <w:rPr>
          <w:rFonts w:eastAsia="Times New Roman" w:cs="Times New Roman"/>
          <w:shd w:val="clear" w:color="auto" w:fill="FAFAFA"/>
        </w:rPr>
        <w:t>36.</w:t>
      </w:r>
      <w:r>
        <w:rPr>
          <w:rFonts w:eastAsia="PMingLiU" w:cs="Times New Roman"/>
          <w:shd w:val="clear" w:color="auto" w:fill="FAFAFA"/>
        </w:rPr>
        <w:t>请认真阅读下面的每一条陈述，根据您的真实想法，评价以下描述的符合程度（</w:t>
      </w:r>
      <w:r>
        <w:rPr>
          <w:rFonts w:eastAsia="Times New Roman" w:cs="Times New Roman"/>
          <w:shd w:val="clear" w:color="auto" w:fill="FAFAFA"/>
        </w:rPr>
        <w:t>1=</w:t>
      </w:r>
      <w:r>
        <w:rPr>
          <w:rFonts w:eastAsia="PMingLiU" w:cs="Times New Roman"/>
          <w:shd w:val="clear" w:color="auto" w:fill="FAFAFA"/>
        </w:rPr>
        <w:t>完全不同意，</w:t>
      </w:r>
      <w:r>
        <w:rPr>
          <w:rFonts w:eastAsia="Times New Roman" w:cs="Times New Roman"/>
          <w:shd w:val="clear" w:color="auto" w:fill="FAFAFA"/>
        </w:rPr>
        <w:t>5=</w:t>
      </w:r>
      <w:r>
        <w:rPr>
          <w:rFonts w:eastAsia="PMingLiU" w:cs="Times New Roman"/>
          <w:shd w:val="clear" w:color="auto" w:fill="FAFAFA"/>
        </w:rPr>
        <w:t>完全同意）</w:t>
      </w:r>
      <w:r>
        <w:rPr>
          <w:rFonts w:eastAsia="Times New Roman" w:cs="Times New Roman"/>
        </w:rPr>
        <w:t>[</w:t>
      </w:r>
      <w:r>
        <w:rPr>
          <w:rFonts w:eastAsia="PMingLiU" w:cs="Times New Roman"/>
        </w:rPr>
        <w:t>矩阵量表题</w:t>
      </w:r>
      <w:r>
        <w:rPr>
          <w:rFonts w:eastAsia="Times New Roman" w:cs="Times New Roman"/>
        </w:rPr>
        <w:t xml:space="preserve">] </w:t>
      </w:r>
      <w:r>
        <w:rPr>
          <w:rFonts w:eastAsia="Times New Roman" w:cs="Times New Roman"/>
          <w:color w:val="FF0000"/>
        </w:rPr>
        <w:t>*</w:t>
      </w:r>
    </w:p>
    <w:tbl>
      <w:tblPr>
        <w:tblStyle w:val="13"/>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011"/>
        <w:gridCol w:w="1125"/>
        <w:gridCol w:w="967"/>
        <w:gridCol w:w="925"/>
        <w:gridCol w:w="858"/>
        <w:gridCol w:w="970"/>
      </w:tblGrid>
      <w:tr w14:paraId="1189004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4011" w:type="dxa"/>
            <w:tcBorders>
              <w:top w:val="single" w:color="000000" w:sz="12" w:space="0"/>
              <w:left w:val="nil"/>
              <w:bottom w:val="single" w:color="000000" w:sz="4" w:space="0"/>
              <w:right w:val="nil"/>
              <w:tl2br w:val="nil"/>
            </w:tcBorders>
            <w:shd w:val="clear" w:color="auto" w:fill="FFFFFF"/>
            <w:vAlign w:val="center"/>
          </w:tcPr>
          <w:p w14:paraId="37BD7BD7">
            <w:pPr>
              <w:pStyle w:val="23"/>
              <w:keepNext w:val="0"/>
              <w:keepLines w:val="0"/>
              <w:suppressLineNumbers w:val="0"/>
              <w:spacing w:before="0" w:beforeAutospacing="0" w:after="0" w:afterAutospacing="0"/>
              <w:ind w:left="0" w:right="0"/>
              <w:rPr>
                <w:rFonts w:hint="default" w:cs="Times New Roman"/>
              </w:rPr>
            </w:pPr>
          </w:p>
        </w:tc>
        <w:tc>
          <w:tcPr>
            <w:tcW w:w="1125" w:type="dxa"/>
            <w:tcBorders>
              <w:top w:val="single" w:color="000000" w:sz="12" w:space="0"/>
              <w:left w:val="nil"/>
              <w:bottom w:val="single" w:color="000000" w:sz="4" w:space="0"/>
              <w:right w:val="nil"/>
            </w:tcBorders>
            <w:shd w:val="clear" w:color="auto" w:fill="FFFFFF"/>
            <w:vAlign w:val="center"/>
          </w:tcPr>
          <w:p w14:paraId="5EFACD09">
            <w:pPr>
              <w:pStyle w:val="23"/>
              <w:keepNext w:val="0"/>
              <w:keepLines w:val="0"/>
              <w:suppressLineNumbers w:val="0"/>
              <w:spacing w:before="0" w:beforeAutospacing="0" w:after="0" w:afterAutospacing="0"/>
              <w:ind w:left="0" w:right="0"/>
              <w:rPr>
                <w:rFonts w:hint="default" w:cs="Times New Roman"/>
              </w:rPr>
            </w:pPr>
            <w:r>
              <w:rPr>
                <w:rFonts w:hint="eastAsia" w:cs="Times New Roman"/>
              </w:rPr>
              <w:t>很不符合</w:t>
            </w:r>
          </w:p>
        </w:tc>
        <w:tc>
          <w:tcPr>
            <w:tcW w:w="967" w:type="dxa"/>
            <w:tcBorders>
              <w:top w:val="single" w:color="000000" w:sz="12" w:space="0"/>
              <w:left w:val="nil"/>
              <w:bottom w:val="single" w:color="000000" w:sz="4" w:space="0"/>
              <w:right w:val="nil"/>
            </w:tcBorders>
            <w:shd w:val="clear" w:color="auto" w:fill="FFFFFF"/>
            <w:vAlign w:val="center"/>
          </w:tcPr>
          <w:p w14:paraId="0796DB3D">
            <w:pPr>
              <w:pStyle w:val="23"/>
              <w:keepNext w:val="0"/>
              <w:keepLines w:val="0"/>
              <w:suppressLineNumbers w:val="0"/>
              <w:spacing w:before="0" w:beforeAutospacing="0" w:after="0" w:afterAutospacing="0"/>
              <w:ind w:left="0" w:right="0"/>
              <w:rPr>
                <w:rFonts w:hint="default" w:cs="Times New Roman"/>
              </w:rPr>
            </w:pPr>
            <w:r>
              <w:rPr>
                <w:rFonts w:hint="eastAsia" w:cs="Times New Roman"/>
              </w:rPr>
              <w:t>不符合</w:t>
            </w:r>
          </w:p>
        </w:tc>
        <w:tc>
          <w:tcPr>
            <w:tcW w:w="925" w:type="dxa"/>
            <w:tcBorders>
              <w:top w:val="single" w:color="000000" w:sz="12" w:space="0"/>
              <w:left w:val="nil"/>
              <w:bottom w:val="single" w:color="000000" w:sz="4" w:space="0"/>
              <w:right w:val="nil"/>
            </w:tcBorders>
            <w:shd w:val="clear" w:color="auto" w:fill="FFFFFF"/>
            <w:vAlign w:val="center"/>
          </w:tcPr>
          <w:p w14:paraId="36B1AD2B">
            <w:pPr>
              <w:pStyle w:val="23"/>
              <w:keepNext w:val="0"/>
              <w:keepLines w:val="0"/>
              <w:suppressLineNumbers w:val="0"/>
              <w:spacing w:before="0" w:beforeAutospacing="0" w:after="0" w:afterAutospacing="0"/>
              <w:ind w:left="0" w:right="0"/>
              <w:rPr>
                <w:rFonts w:hint="default" w:cs="Times New Roman"/>
              </w:rPr>
            </w:pPr>
            <w:r>
              <w:rPr>
                <w:rFonts w:hint="eastAsia" w:cs="Times New Roman"/>
              </w:rPr>
              <w:t>一般</w:t>
            </w:r>
          </w:p>
        </w:tc>
        <w:tc>
          <w:tcPr>
            <w:tcW w:w="858" w:type="dxa"/>
            <w:tcBorders>
              <w:top w:val="single" w:color="000000" w:sz="12" w:space="0"/>
              <w:left w:val="nil"/>
              <w:bottom w:val="single" w:color="000000" w:sz="4" w:space="0"/>
              <w:right w:val="nil"/>
            </w:tcBorders>
            <w:shd w:val="clear" w:color="auto" w:fill="FFFFFF"/>
            <w:vAlign w:val="center"/>
          </w:tcPr>
          <w:p w14:paraId="3D5115C1">
            <w:pPr>
              <w:pStyle w:val="23"/>
              <w:keepNext w:val="0"/>
              <w:keepLines w:val="0"/>
              <w:suppressLineNumbers w:val="0"/>
              <w:spacing w:before="0" w:beforeAutospacing="0" w:after="0" w:afterAutospacing="0"/>
              <w:ind w:left="0" w:right="0"/>
              <w:rPr>
                <w:rFonts w:hint="default" w:cs="Times New Roman"/>
              </w:rPr>
            </w:pPr>
            <w:r>
              <w:rPr>
                <w:rFonts w:hint="eastAsia" w:cs="Times New Roman"/>
              </w:rPr>
              <w:t>符合</w:t>
            </w:r>
          </w:p>
        </w:tc>
        <w:tc>
          <w:tcPr>
            <w:tcW w:w="970" w:type="dxa"/>
            <w:tcBorders>
              <w:top w:val="single" w:color="000000" w:sz="12" w:space="0"/>
              <w:left w:val="nil"/>
              <w:bottom w:val="single" w:color="000000" w:sz="4" w:space="0"/>
              <w:right w:val="nil"/>
            </w:tcBorders>
            <w:shd w:val="clear" w:color="auto" w:fill="FFFFFF"/>
            <w:vAlign w:val="center"/>
          </w:tcPr>
          <w:p w14:paraId="76818EF8">
            <w:pPr>
              <w:pStyle w:val="23"/>
              <w:keepNext w:val="0"/>
              <w:keepLines w:val="0"/>
              <w:suppressLineNumbers w:val="0"/>
              <w:spacing w:before="0" w:beforeAutospacing="0" w:after="0" w:afterAutospacing="0"/>
              <w:ind w:left="0" w:right="0"/>
              <w:rPr>
                <w:rFonts w:hint="default" w:cs="Times New Roman"/>
              </w:rPr>
            </w:pPr>
            <w:r>
              <w:rPr>
                <w:rFonts w:hint="eastAsia" w:cs="Times New Roman"/>
              </w:rPr>
              <w:t>很符合</w:t>
            </w:r>
          </w:p>
        </w:tc>
      </w:tr>
      <w:tr w14:paraId="134D8A5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4011" w:type="dxa"/>
            <w:tcBorders>
              <w:top w:val="single" w:color="000000" w:sz="4" w:space="0"/>
              <w:left w:val="nil"/>
              <w:bottom w:val="nil"/>
              <w:right w:val="nil"/>
            </w:tcBorders>
            <w:shd w:val="clear" w:color="auto" w:fill="FFFFFF"/>
            <w:vAlign w:val="center"/>
          </w:tcPr>
          <w:p w14:paraId="531244A7">
            <w:pPr>
              <w:pStyle w:val="23"/>
              <w:keepNext w:val="0"/>
              <w:keepLines w:val="0"/>
              <w:suppressLineNumbers w:val="0"/>
              <w:spacing w:before="0" w:beforeAutospacing="0" w:after="0" w:afterAutospacing="0"/>
              <w:ind w:left="0" w:right="0"/>
              <w:rPr>
                <w:rFonts w:hint="default" w:cs="Times New Roman"/>
              </w:rPr>
            </w:pPr>
            <w:r>
              <w:rPr>
                <w:rFonts w:hint="eastAsia" w:cs="Times New Roman"/>
              </w:rPr>
              <w:t>哪怕需要牺牲一些生活便利，我也愿意优先选择低碳生活方式。</w:t>
            </w:r>
          </w:p>
        </w:tc>
        <w:tc>
          <w:tcPr>
            <w:tcW w:w="1125" w:type="dxa"/>
            <w:tcBorders>
              <w:top w:val="single" w:color="000000" w:sz="4" w:space="0"/>
              <w:left w:val="nil"/>
              <w:bottom w:val="nil"/>
              <w:right w:val="nil"/>
            </w:tcBorders>
            <w:shd w:val="clear" w:color="auto" w:fill="FFFFFF"/>
            <w:vAlign w:val="center"/>
          </w:tcPr>
          <w:p w14:paraId="63A02B42">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67" w:type="dxa"/>
            <w:tcBorders>
              <w:top w:val="single" w:color="000000" w:sz="4" w:space="0"/>
              <w:left w:val="nil"/>
              <w:bottom w:val="nil"/>
              <w:right w:val="nil"/>
            </w:tcBorders>
            <w:shd w:val="clear" w:color="auto" w:fill="FFFFFF"/>
            <w:vAlign w:val="center"/>
          </w:tcPr>
          <w:p w14:paraId="296520E7">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25" w:type="dxa"/>
            <w:tcBorders>
              <w:top w:val="single" w:color="000000" w:sz="4" w:space="0"/>
              <w:left w:val="nil"/>
              <w:bottom w:val="nil"/>
              <w:right w:val="nil"/>
            </w:tcBorders>
            <w:shd w:val="clear" w:color="auto" w:fill="FFFFFF"/>
            <w:vAlign w:val="center"/>
          </w:tcPr>
          <w:p w14:paraId="43C84E84">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858" w:type="dxa"/>
            <w:tcBorders>
              <w:top w:val="single" w:color="000000" w:sz="4" w:space="0"/>
              <w:left w:val="nil"/>
              <w:bottom w:val="nil"/>
              <w:right w:val="nil"/>
            </w:tcBorders>
            <w:shd w:val="clear" w:color="auto" w:fill="FFFFFF"/>
            <w:vAlign w:val="center"/>
          </w:tcPr>
          <w:p w14:paraId="6EE7ED95">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70" w:type="dxa"/>
            <w:tcBorders>
              <w:top w:val="single" w:color="000000" w:sz="4" w:space="0"/>
              <w:left w:val="nil"/>
              <w:bottom w:val="nil"/>
              <w:right w:val="nil"/>
            </w:tcBorders>
            <w:shd w:val="clear" w:color="auto" w:fill="FFFFFF"/>
            <w:vAlign w:val="center"/>
          </w:tcPr>
          <w:p w14:paraId="612F25BC">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r>
      <w:tr w14:paraId="75473F1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4011" w:type="dxa"/>
            <w:tcBorders>
              <w:top w:val="nil"/>
              <w:left w:val="nil"/>
              <w:bottom w:val="nil"/>
              <w:right w:val="nil"/>
            </w:tcBorders>
            <w:shd w:val="clear" w:color="auto" w:fill="FFFFFF"/>
            <w:vAlign w:val="center"/>
          </w:tcPr>
          <w:p w14:paraId="23559A31">
            <w:pPr>
              <w:pStyle w:val="23"/>
              <w:keepNext w:val="0"/>
              <w:keepLines w:val="0"/>
              <w:suppressLineNumbers w:val="0"/>
              <w:spacing w:before="0" w:beforeAutospacing="0" w:after="0" w:afterAutospacing="0"/>
              <w:ind w:left="0" w:right="0"/>
              <w:rPr>
                <w:rFonts w:hint="default" w:cs="Times New Roman"/>
              </w:rPr>
            </w:pPr>
            <w:r>
              <w:rPr>
                <w:rFonts w:hint="eastAsia" w:cs="Times New Roman"/>
              </w:rPr>
              <w:t>即使周围的人都不做，我也觉得我有责任为减少碳排放做出贡献。</w:t>
            </w:r>
          </w:p>
        </w:tc>
        <w:tc>
          <w:tcPr>
            <w:tcW w:w="1125" w:type="dxa"/>
            <w:tcBorders>
              <w:top w:val="nil"/>
              <w:left w:val="nil"/>
              <w:bottom w:val="nil"/>
              <w:right w:val="nil"/>
            </w:tcBorders>
            <w:shd w:val="clear" w:color="auto" w:fill="FFFFFF"/>
            <w:vAlign w:val="center"/>
          </w:tcPr>
          <w:p w14:paraId="1C16A2A8">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67" w:type="dxa"/>
            <w:tcBorders>
              <w:top w:val="nil"/>
              <w:left w:val="nil"/>
              <w:bottom w:val="nil"/>
              <w:right w:val="nil"/>
            </w:tcBorders>
            <w:shd w:val="clear" w:color="auto" w:fill="FFFFFF"/>
            <w:vAlign w:val="center"/>
          </w:tcPr>
          <w:p w14:paraId="122EED69">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25" w:type="dxa"/>
            <w:tcBorders>
              <w:top w:val="nil"/>
              <w:left w:val="nil"/>
              <w:bottom w:val="nil"/>
              <w:right w:val="nil"/>
            </w:tcBorders>
            <w:shd w:val="clear" w:color="auto" w:fill="FFFFFF"/>
            <w:vAlign w:val="center"/>
          </w:tcPr>
          <w:p w14:paraId="725A1796">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858" w:type="dxa"/>
            <w:tcBorders>
              <w:top w:val="nil"/>
              <w:left w:val="nil"/>
              <w:bottom w:val="nil"/>
              <w:right w:val="nil"/>
            </w:tcBorders>
            <w:shd w:val="clear" w:color="auto" w:fill="FFFFFF"/>
            <w:vAlign w:val="center"/>
          </w:tcPr>
          <w:p w14:paraId="10F89C56">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70" w:type="dxa"/>
            <w:tcBorders>
              <w:top w:val="nil"/>
              <w:left w:val="nil"/>
              <w:bottom w:val="nil"/>
              <w:right w:val="nil"/>
            </w:tcBorders>
            <w:shd w:val="clear" w:color="auto" w:fill="FFFFFF"/>
            <w:vAlign w:val="center"/>
          </w:tcPr>
          <w:p w14:paraId="4CD9E0FA">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r>
      <w:tr w14:paraId="20A4DCF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4011" w:type="dxa"/>
            <w:tcBorders>
              <w:top w:val="nil"/>
              <w:left w:val="nil"/>
              <w:bottom w:val="nil"/>
              <w:right w:val="nil"/>
            </w:tcBorders>
            <w:shd w:val="clear" w:color="auto" w:fill="FFFFFF"/>
            <w:vAlign w:val="center"/>
          </w:tcPr>
          <w:p w14:paraId="0388085D">
            <w:pPr>
              <w:pStyle w:val="23"/>
              <w:keepNext w:val="0"/>
              <w:keepLines w:val="0"/>
              <w:suppressLineNumbers w:val="0"/>
              <w:spacing w:before="0" w:beforeAutospacing="0" w:after="0" w:afterAutospacing="0"/>
              <w:ind w:left="0" w:right="0"/>
              <w:rPr>
                <w:rFonts w:hint="default" w:cs="Times New Roman"/>
              </w:rPr>
            </w:pPr>
            <w:r>
              <w:rPr>
                <w:rFonts w:hint="eastAsia" w:cs="Times New Roman"/>
              </w:rPr>
              <w:t>保护环境本身（动植物、生态系统）对我来说非常重要。</w:t>
            </w:r>
          </w:p>
        </w:tc>
        <w:tc>
          <w:tcPr>
            <w:tcW w:w="1125" w:type="dxa"/>
            <w:tcBorders>
              <w:top w:val="nil"/>
              <w:left w:val="nil"/>
              <w:bottom w:val="nil"/>
              <w:right w:val="nil"/>
            </w:tcBorders>
            <w:shd w:val="clear" w:color="auto" w:fill="FFFFFF"/>
            <w:vAlign w:val="center"/>
          </w:tcPr>
          <w:p w14:paraId="7CD78E1D">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67" w:type="dxa"/>
            <w:tcBorders>
              <w:top w:val="nil"/>
              <w:left w:val="nil"/>
              <w:bottom w:val="nil"/>
              <w:right w:val="nil"/>
            </w:tcBorders>
            <w:shd w:val="clear" w:color="auto" w:fill="FFFFFF"/>
            <w:vAlign w:val="center"/>
          </w:tcPr>
          <w:p w14:paraId="37F1C57F">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25" w:type="dxa"/>
            <w:tcBorders>
              <w:top w:val="nil"/>
              <w:left w:val="nil"/>
              <w:bottom w:val="nil"/>
              <w:right w:val="nil"/>
            </w:tcBorders>
            <w:shd w:val="clear" w:color="auto" w:fill="FFFFFF"/>
            <w:vAlign w:val="center"/>
          </w:tcPr>
          <w:p w14:paraId="24C870EB">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858" w:type="dxa"/>
            <w:tcBorders>
              <w:top w:val="nil"/>
              <w:left w:val="nil"/>
              <w:bottom w:val="nil"/>
              <w:right w:val="nil"/>
            </w:tcBorders>
            <w:shd w:val="clear" w:color="auto" w:fill="FFFFFF"/>
            <w:vAlign w:val="center"/>
          </w:tcPr>
          <w:p w14:paraId="3633CFEF">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70" w:type="dxa"/>
            <w:tcBorders>
              <w:top w:val="nil"/>
              <w:left w:val="nil"/>
              <w:bottom w:val="nil"/>
              <w:right w:val="nil"/>
            </w:tcBorders>
            <w:shd w:val="clear" w:color="auto" w:fill="FFFFFF"/>
            <w:vAlign w:val="center"/>
          </w:tcPr>
          <w:p w14:paraId="66D825D5">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r>
      <w:tr w14:paraId="6A40609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4011" w:type="dxa"/>
            <w:tcBorders>
              <w:top w:val="nil"/>
              <w:left w:val="nil"/>
              <w:bottom w:val="single" w:color="000000" w:sz="12" w:space="0"/>
              <w:right w:val="nil"/>
            </w:tcBorders>
            <w:shd w:val="clear" w:color="auto" w:fill="FFFFFF"/>
            <w:vAlign w:val="center"/>
          </w:tcPr>
          <w:p w14:paraId="38A5C162">
            <w:pPr>
              <w:pStyle w:val="23"/>
              <w:keepNext w:val="0"/>
              <w:keepLines w:val="0"/>
              <w:suppressLineNumbers w:val="0"/>
              <w:spacing w:before="0" w:beforeAutospacing="0" w:after="0" w:afterAutospacing="0"/>
              <w:ind w:left="0" w:right="0"/>
              <w:rPr>
                <w:rFonts w:hint="default" w:cs="Times New Roman"/>
              </w:rPr>
            </w:pPr>
            <w:r>
              <w:rPr>
                <w:rFonts w:hint="eastAsia" w:cs="Times New Roman"/>
              </w:rPr>
              <w:t>总体而言，我认为自己在环保方面做得比大多数人都要好。</w:t>
            </w:r>
          </w:p>
        </w:tc>
        <w:tc>
          <w:tcPr>
            <w:tcW w:w="1125" w:type="dxa"/>
            <w:tcBorders>
              <w:top w:val="nil"/>
              <w:left w:val="nil"/>
              <w:bottom w:val="single" w:color="000000" w:sz="12" w:space="0"/>
              <w:right w:val="nil"/>
            </w:tcBorders>
            <w:shd w:val="clear" w:color="auto" w:fill="FFFFFF"/>
            <w:vAlign w:val="center"/>
          </w:tcPr>
          <w:p w14:paraId="70E10BCE">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67" w:type="dxa"/>
            <w:tcBorders>
              <w:top w:val="nil"/>
              <w:left w:val="nil"/>
              <w:bottom w:val="single" w:color="000000" w:sz="12" w:space="0"/>
              <w:right w:val="nil"/>
            </w:tcBorders>
            <w:shd w:val="clear" w:color="auto" w:fill="FFFFFF"/>
            <w:vAlign w:val="center"/>
          </w:tcPr>
          <w:p w14:paraId="1DB371B1">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25" w:type="dxa"/>
            <w:tcBorders>
              <w:top w:val="nil"/>
              <w:left w:val="nil"/>
              <w:bottom w:val="single" w:color="000000" w:sz="12" w:space="0"/>
              <w:right w:val="nil"/>
            </w:tcBorders>
            <w:shd w:val="clear" w:color="auto" w:fill="FFFFFF"/>
            <w:vAlign w:val="center"/>
          </w:tcPr>
          <w:p w14:paraId="2B4052BC">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858" w:type="dxa"/>
            <w:tcBorders>
              <w:top w:val="nil"/>
              <w:left w:val="nil"/>
              <w:bottom w:val="single" w:color="000000" w:sz="12" w:space="0"/>
              <w:right w:val="nil"/>
            </w:tcBorders>
            <w:shd w:val="clear" w:color="auto" w:fill="FFFFFF"/>
            <w:vAlign w:val="center"/>
          </w:tcPr>
          <w:p w14:paraId="6EA61719">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c>
          <w:tcPr>
            <w:tcW w:w="970" w:type="dxa"/>
            <w:tcBorders>
              <w:top w:val="nil"/>
              <w:left w:val="nil"/>
              <w:bottom w:val="single" w:color="000000" w:sz="12" w:space="0"/>
              <w:right w:val="nil"/>
            </w:tcBorders>
            <w:shd w:val="clear" w:color="auto" w:fill="FFFFFF"/>
            <w:vAlign w:val="center"/>
          </w:tcPr>
          <w:p w14:paraId="02835A29">
            <w:pPr>
              <w:pStyle w:val="23"/>
              <w:keepNext w:val="0"/>
              <w:keepLines w:val="0"/>
              <w:suppressLineNumbers w:val="0"/>
              <w:spacing w:before="0" w:beforeAutospacing="0" w:after="0" w:afterAutospacing="0"/>
              <w:ind w:left="0" w:right="0"/>
              <w:rPr>
                <w:rFonts w:hint="default" w:cs="Times New Roman"/>
              </w:rPr>
            </w:pPr>
            <w:r>
              <w:rPr>
                <w:rFonts w:hint="eastAsia" w:cs="Times New Roman"/>
              </w:rPr>
              <w:t>○</w:t>
            </w:r>
          </w:p>
        </w:tc>
      </w:tr>
    </w:tbl>
    <w:p w14:paraId="74D7E727">
      <w:pPr>
        <w:ind w:firstLine="480"/>
        <w:rPr>
          <w:rFonts w:cs="Times New Roman"/>
        </w:rPr>
      </w:pPr>
    </w:p>
    <w:p w14:paraId="2114A0F9">
      <w:pPr>
        <w:spacing w:line="360" w:lineRule="auto"/>
        <w:ind w:firstLine="480"/>
        <w:rPr>
          <w:rFonts w:cs="Times New Roman"/>
        </w:rPr>
      </w:pPr>
      <w:r>
        <w:rPr>
          <w:rFonts w:eastAsia="PMingLiU" w:cs="Times New Roman"/>
        </w:rPr>
        <w:t>至此，我们的调研问卷全部结束，再次感谢您百忙之中填写此问卷。我们将持续对碳中和目标下居民生活方式改变做追踪调查，也会不定期将我们的调研成果向所有受访者分享。如果您愿意阅读此次调研报告并接受后续追踪调查，请留下您的联系方式。</w:t>
      </w:r>
      <w:r>
        <w:rPr>
          <w:rFonts w:eastAsia="Times New Roman" w:cs="Times New Roman"/>
        </w:rPr>
        <w:t xml:space="preserve"> [</w:t>
      </w:r>
      <w:r>
        <w:rPr>
          <w:rFonts w:eastAsia="PMingLiU" w:cs="Times New Roman"/>
        </w:rPr>
        <w:t>填空题</w:t>
      </w:r>
      <w:r>
        <w:rPr>
          <w:rFonts w:eastAsia="Times New Roman" w:cs="Times New Roman"/>
        </w:rPr>
        <w:t>]</w:t>
      </w:r>
    </w:p>
    <w:p w14:paraId="4F8CD688">
      <w:pPr>
        <w:ind w:firstLine="480"/>
        <w:rPr>
          <w:rFonts w:cs="Times New Roman"/>
        </w:rPr>
      </w:pPr>
      <w:r>
        <w:rPr>
          <w:rFonts w:cs="Times New Roman"/>
        </w:rPr>
        <w:t>_________________________________</w:t>
      </w:r>
    </w:p>
    <w:p w14:paraId="56832496">
      <w:pPr>
        <w:ind w:firstLine="480"/>
        <w:rPr>
          <w:rFonts w:cs="Times New Roman"/>
        </w:rPr>
      </w:pPr>
    </w:p>
    <w:p w14:paraId="22F93FD5">
      <w:pPr>
        <w:ind w:firstLine="480"/>
        <w:rPr>
          <w:rFonts w:cs="Times New Roman"/>
        </w:rPr>
      </w:pPr>
    </w:p>
    <w:p w14:paraId="38DCB63C">
      <w:pPr>
        <w:ind w:firstLine="0" w:firstLineChars="0"/>
        <w:rPr>
          <w:rFonts w:cs="Times New Roman"/>
        </w:rPr>
      </w:pPr>
    </w:p>
    <w:p w14:paraId="634E587A">
      <w:pPr>
        <w:ind w:firstLine="0" w:firstLineChars="0"/>
        <w:rPr>
          <w:rFonts w:cs="Times New Roman"/>
        </w:rPr>
      </w:pPr>
    </w:p>
    <w:p w14:paraId="330F13A6">
      <w:pPr>
        <w:ind w:firstLine="0" w:firstLineChars="0"/>
        <w:rPr>
          <w:rFonts w:cs="Times New Roman"/>
        </w:rPr>
      </w:pPr>
    </w:p>
    <w:p w14:paraId="0BE039C2">
      <w:pPr>
        <w:ind w:firstLine="480"/>
      </w:pPr>
      <w:r>
        <w:br w:type="page"/>
      </w:r>
    </w:p>
    <w:p w14:paraId="4BE21649">
      <w:pPr>
        <w:pStyle w:val="3"/>
        <w:bidi w:val="0"/>
        <w:rPr>
          <w:rFonts w:hint="default"/>
          <w:lang w:val="en-US" w:eastAsia="zh-CN"/>
        </w:rPr>
      </w:pPr>
      <w:bookmarkStart w:id="47" w:name="_Toc7394"/>
      <w:r>
        <w:rPr>
          <w:rFonts w:hint="eastAsia"/>
          <w:lang w:val="en-US" w:eastAsia="zh-CN"/>
        </w:rPr>
        <w:t xml:space="preserve">附录C </w:t>
      </w:r>
      <w:r>
        <w:rPr>
          <w:rFonts w:cs="Times New Roman"/>
        </w:rPr>
        <w:t>样本人口学特征</w:t>
      </w:r>
      <w:bookmarkEnd w:id="47"/>
    </w:p>
    <w:p w14:paraId="33B22DA1">
      <w:pPr>
        <w:tabs>
          <w:tab w:val="left" w:pos="377"/>
        </w:tabs>
        <w:ind w:firstLine="0" w:firstLineChars="0"/>
        <w:jc w:val="center"/>
        <w:rPr>
          <w:rFonts w:cs="Times New Roman"/>
        </w:rPr>
      </w:pPr>
      <w:r>
        <w:rPr>
          <w:rFonts w:cs="Times New Roman"/>
        </w:rPr>
        <w:t>表</w:t>
      </w:r>
      <w:r>
        <w:rPr>
          <w:rFonts w:hint="eastAsia" w:eastAsia="黑体"/>
          <w:lang w:eastAsia="zh-CN"/>
        </w:rPr>
        <w:t>4</w:t>
      </w:r>
      <w:r>
        <w:rPr>
          <w:rFonts w:hint="eastAsia" w:eastAsia="黑体"/>
        </w:rPr>
        <w:t>-</w:t>
      </w:r>
      <w:r>
        <w:rPr>
          <w:rFonts w:eastAsia="黑体"/>
        </w:rPr>
        <w:t>1</w:t>
      </w:r>
      <w:r>
        <w:rPr>
          <w:rFonts w:hint="eastAsia" w:cs="Times New Roman"/>
        </w:rPr>
        <w:t xml:space="preserve"> </w:t>
      </w:r>
      <w:r>
        <w:rPr>
          <w:rFonts w:cs="Times New Roman"/>
        </w:rPr>
        <w:t>双子样本人口学特征合并统计</w:t>
      </w:r>
      <w:r>
        <w:rPr>
          <w:rFonts w:hint="eastAsia" w:cs="Times New Roman"/>
        </w:rPr>
        <w:t>（N=538）</w:t>
      </w:r>
    </w:p>
    <w:p w14:paraId="42EE615C">
      <w:pPr>
        <w:tabs>
          <w:tab w:val="left" w:pos="377"/>
        </w:tabs>
        <w:ind w:firstLine="0" w:firstLineChars="0"/>
        <w:jc w:val="center"/>
        <w:rPr>
          <w:rFonts w:cs="Times New Roman"/>
          <w:b/>
          <w:bCs/>
        </w:rPr>
      </w:pPr>
      <w:r>
        <w:rPr>
          <w:rFonts w:hint="eastAsia" w:cs="Times New Roman"/>
          <w:b/>
          <w:bCs/>
        </w:rPr>
        <w:t xml:space="preserve">Table </w:t>
      </w:r>
      <w:r>
        <w:rPr>
          <w:rFonts w:hint="eastAsia" w:cs="Times New Roman"/>
          <w:b/>
          <w:bCs/>
          <w:lang w:eastAsia="zh-CN"/>
        </w:rPr>
        <w:t>4</w:t>
      </w:r>
      <w:r>
        <w:rPr>
          <w:rFonts w:hint="eastAsia" w:cs="Times New Roman"/>
          <w:b/>
          <w:bCs/>
        </w:rPr>
        <w:t xml:space="preserve">-1 </w:t>
      </w:r>
      <w:r>
        <w:rPr>
          <w:rFonts w:cs="Times New Roman"/>
          <w:b/>
          <w:bCs/>
        </w:rPr>
        <w:t>Pooled Statistics of Demographic Characteristics in Twin Samples</w:t>
      </w:r>
      <w:r>
        <w:rPr>
          <w:rFonts w:hint="eastAsia" w:cs="Times New Roman"/>
          <w:b/>
          <w:bCs/>
        </w:rPr>
        <w:t>（N=538）</w:t>
      </w:r>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8"/>
        <w:gridCol w:w="3628"/>
        <w:gridCol w:w="3282"/>
      </w:tblGrid>
      <w:tr w14:paraId="35C5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117" w:type="pct"/>
            <w:tcBorders>
              <w:top w:val="single" w:color="000000" w:sz="12" w:space="0"/>
              <w:left w:val="nil"/>
              <w:bottom w:val="single" w:color="000000" w:sz="4" w:space="0"/>
              <w:right w:val="nil"/>
              <w:tl2br w:val="nil"/>
            </w:tcBorders>
            <w:shd w:val="clear" w:color="auto" w:fill="FFFFFF"/>
            <w:tcMar>
              <w:top w:w="80" w:type="dxa"/>
              <w:left w:w="130" w:type="dxa"/>
              <w:bottom w:w="80" w:type="dxa"/>
              <w:right w:w="130" w:type="dxa"/>
            </w:tcMar>
            <w:vAlign w:val="center"/>
          </w:tcPr>
          <w:p w14:paraId="250005BA">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特征</w:t>
            </w:r>
          </w:p>
        </w:tc>
        <w:tc>
          <w:tcPr>
            <w:tcW w:w="2038" w:type="pct"/>
            <w:tcBorders>
              <w:top w:val="single" w:color="000000" w:sz="12" w:space="0"/>
              <w:left w:val="nil"/>
              <w:bottom w:val="single" w:color="000000" w:sz="4" w:space="0"/>
              <w:right w:val="nil"/>
            </w:tcBorders>
            <w:shd w:val="clear" w:color="auto" w:fill="FFFFFF"/>
            <w:tcMar>
              <w:top w:w="80" w:type="dxa"/>
              <w:left w:w="130" w:type="dxa"/>
              <w:bottom w:w="80" w:type="dxa"/>
              <w:right w:w="130" w:type="dxa"/>
            </w:tcMar>
            <w:vAlign w:val="center"/>
          </w:tcPr>
          <w:p w14:paraId="0150B219">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类别</w:t>
            </w:r>
          </w:p>
        </w:tc>
        <w:tc>
          <w:tcPr>
            <w:tcW w:w="1844" w:type="pct"/>
            <w:tcBorders>
              <w:top w:val="single" w:color="000000" w:sz="12" w:space="0"/>
              <w:left w:val="nil"/>
              <w:bottom w:val="single" w:color="000000" w:sz="4" w:space="0"/>
              <w:right w:val="nil"/>
            </w:tcBorders>
            <w:shd w:val="clear" w:color="auto" w:fill="FFFFFF"/>
            <w:tcMar>
              <w:top w:w="80" w:type="dxa"/>
              <w:left w:w="130" w:type="dxa"/>
              <w:bottom w:w="80" w:type="dxa"/>
              <w:right w:w="130" w:type="dxa"/>
            </w:tcMar>
            <w:vAlign w:val="center"/>
          </w:tcPr>
          <w:p w14:paraId="20ECC159">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合计样本 (N=538)</w:t>
            </w:r>
          </w:p>
        </w:tc>
      </w:tr>
      <w:tr w14:paraId="31766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restart"/>
            <w:tcBorders>
              <w:top w:val="single" w:color="000000" w:sz="4" w:space="0"/>
              <w:left w:val="nil"/>
              <w:right w:val="nil"/>
            </w:tcBorders>
            <w:shd w:val="clear" w:color="auto" w:fill="FFFFFF"/>
            <w:tcMar>
              <w:top w:w="80" w:type="dxa"/>
              <w:left w:w="130" w:type="dxa"/>
              <w:bottom w:w="80" w:type="dxa"/>
              <w:right w:w="130" w:type="dxa"/>
            </w:tcMar>
            <w:vAlign w:val="center"/>
          </w:tcPr>
          <w:p w14:paraId="28846EB5">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性别</w:t>
            </w:r>
          </w:p>
        </w:tc>
        <w:tc>
          <w:tcPr>
            <w:tcW w:w="2038" w:type="pct"/>
            <w:tcBorders>
              <w:top w:val="single" w:color="000000" w:sz="4" w:space="0"/>
              <w:left w:val="nil"/>
              <w:bottom w:val="nil"/>
              <w:right w:val="nil"/>
            </w:tcBorders>
            <w:shd w:val="clear" w:color="auto" w:fill="FFFFFF"/>
            <w:tcMar>
              <w:top w:w="80" w:type="dxa"/>
              <w:left w:w="130" w:type="dxa"/>
              <w:bottom w:w="80" w:type="dxa"/>
              <w:right w:w="130" w:type="dxa"/>
            </w:tcMar>
            <w:vAlign w:val="center"/>
          </w:tcPr>
          <w:p w14:paraId="2008ADBF">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男</w:t>
            </w:r>
          </w:p>
        </w:tc>
        <w:tc>
          <w:tcPr>
            <w:tcW w:w="1844" w:type="pct"/>
            <w:tcBorders>
              <w:top w:val="single" w:color="000000" w:sz="4" w:space="0"/>
              <w:left w:val="nil"/>
              <w:bottom w:val="nil"/>
              <w:right w:val="nil"/>
            </w:tcBorders>
            <w:shd w:val="clear" w:color="auto" w:fill="FFFFFF"/>
            <w:tcMar>
              <w:top w:w="80" w:type="dxa"/>
              <w:left w:w="130" w:type="dxa"/>
              <w:bottom w:w="80" w:type="dxa"/>
              <w:right w:w="130" w:type="dxa"/>
            </w:tcMar>
            <w:vAlign w:val="center"/>
          </w:tcPr>
          <w:p w14:paraId="55742319">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221 (41.1%)</w:t>
            </w:r>
          </w:p>
        </w:tc>
      </w:tr>
      <w:tr w14:paraId="59B5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left w:val="nil"/>
              <w:bottom w:val="nil"/>
              <w:right w:val="nil"/>
            </w:tcBorders>
            <w:shd w:val="clear" w:color="auto" w:fill="FFFFFF"/>
            <w:vAlign w:val="center"/>
          </w:tcPr>
          <w:p w14:paraId="64259646">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5FE1206E">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女</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0BB3A123">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317 (58.9%)</w:t>
            </w:r>
          </w:p>
        </w:tc>
      </w:tr>
      <w:tr w14:paraId="60DC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tcBorders>
              <w:top w:val="nil"/>
              <w:left w:val="nil"/>
              <w:bottom w:val="nil"/>
              <w:right w:val="nil"/>
            </w:tcBorders>
            <w:shd w:val="clear" w:color="auto" w:fill="FFFFFF"/>
            <w:tcMar>
              <w:top w:w="80" w:type="dxa"/>
              <w:left w:w="130" w:type="dxa"/>
              <w:bottom w:w="80" w:type="dxa"/>
              <w:right w:w="130" w:type="dxa"/>
            </w:tcMar>
            <w:vAlign w:val="center"/>
          </w:tcPr>
          <w:p w14:paraId="00F7A84C">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年龄</w:t>
            </w: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36A10771">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18—25岁</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5EB0475A">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251 (46.7%)</w:t>
            </w:r>
          </w:p>
        </w:tc>
      </w:tr>
      <w:tr w14:paraId="0752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tcBorders>
              <w:top w:val="nil"/>
              <w:left w:val="nil"/>
              <w:bottom w:val="nil"/>
              <w:right w:val="nil"/>
            </w:tcBorders>
            <w:shd w:val="clear" w:color="auto" w:fill="FFFFFF"/>
            <w:vAlign w:val="center"/>
          </w:tcPr>
          <w:p w14:paraId="29C50852">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7254A6EE">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26—30岁</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4B890617">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107 (19.9%)</w:t>
            </w:r>
          </w:p>
        </w:tc>
      </w:tr>
      <w:tr w14:paraId="17332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tcBorders>
              <w:top w:val="nil"/>
              <w:left w:val="nil"/>
              <w:bottom w:val="nil"/>
              <w:right w:val="nil"/>
            </w:tcBorders>
            <w:shd w:val="clear" w:color="auto" w:fill="FFFFFF"/>
            <w:vAlign w:val="center"/>
          </w:tcPr>
          <w:p w14:paraId="07FE3342">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3BE454B2">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31—35岁</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76970207">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111 (20.6%)</w:t>
            </w:r>
          </w:p>
        </w:tc>
      </w:tr>
      <w:tr w14:paraId="02AA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tcBorders>
              <w:top w:val="nil"/>
              <w:left w:val="nil"/>
              <w:bottom w:val="nil"/>
              <w:right w:val="nil"/>
            </w:tcBorders>
            <w:shd w:val="clear" w:color="auto" w:fill="FFFFFF"/>
            <w:vAlign w:val="center"/>
          </w:tcPr>
          <w:p w14:paraId="1453E7ED">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131A1834">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36—45岁</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5B2876BE">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46 (8.6%)</w:t>
            </w:r>
          </w:p>
        </w:tc>
      </w:tr>
      <w:tr w14:paraId="6455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tcBorders>
              <w:top w:val="nil"/>
              <w:left w:val="nil"/>
              <w:bottom w:val="nil"/>
              <w:right w:val="nil"/>
            </w:tcBorders>
            <w:shd w:val="clear" w:color="auto" w:fill="FFFFFF"/>
            <w:vAlign w:val="center"/>
          </w:tcPr>
          <w:p w14:paraId="5841081B">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29A32E5B">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46—55岁</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69CDE1C8">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13 (2.4%)</w:t>
            </w:r>
          </w:p>
        </w:tc>
      </w:tr>
      <w:tr w14:paraId="7F412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tcBorders>
              <w:top w:val="nil"/>
              <w:left w:val="nil"/>
              <w:bottom w:val="nil"/>
              <w:right w:val="nil"/>
            </w:tcBorders>
            <w:shd w:val="clear" w:color="auto" w:fill="FFFFFF"/>
            <w:vAlign w:val="center"/>
          </w:tcPr>
          <w:p w14:paraId="4A0446F0">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07387E83">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56岁及以上</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536D5C5D">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10 (1.9%)</w:t>
            </w:r>
          </w:p>
        </w:tc>
      </w:tr>
      <w:tr w14:paraId="23B2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restart"/>
            <w:tcBorders>
              <w:top w:val="nil"/>
              <w:left w:val="nil"/>
              <w:bottom w:val="nil"/>
              <w:right w:val="nil"/>
            </w:tcBorders>
            <w:shd w:val="clear" w:color="auto" w:fill="FFFFFF"/>
            <w:tcMar>
              <w:top w:w="80" w:type="dxa"/>
              <w:left w:w="130" w:type="dxa"/>
              <w:bottom w:w="80" w:type="dxa"/>
              <w:right w:w="130" w:type="dxa"/>
            </w:tcMar>
            <w:vAlign w:val="center"/>
          </w:tcPr>
          <w:p w14:paraId="208710CD">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学历</w:t>
            </w: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6CC4410B">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高中/中专</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14E0A70B">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22 (4.1%)</w:t>
            </w:r>
          </w:p>
        </w:tc>
      </w:tr>
      <w:tr w14:paraId="64F8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17765374">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18567C12">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大专</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5E7970FF">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50 (9.3%)</w:t>
            </w:r>
          </w:p>
        </w:tc>
      </w:tr>
      <w:tr w14:paraId="7D10D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3662DA1E">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336572C1">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本科</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364FB4C1">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108 (20.1%)</w:t>
            </w:r>
          </w:p>
        </w:tc>
      </w:tr>
      <w:tr w14:paraId="4986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7EF2F5BE">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0716CF21">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硕士</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68436375">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323 (60.0%)</w:t>
            </w:r>
          </w:p>
        </w:tc>
      </w:tr>
      <w:tr w14:paraId="7C47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44E4C0A9">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7F080A80">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博士及以上</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2024836A">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35 (6.5%)</w:t>
            </w:r>
          </w:p>
        </w:tc>
      </w:tr>
      <w:tr w14:paraId="1A75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restart"/>
            <w:tcBorders>
              <w:top w:val="nil"/>
              <w:left w:val="nil"/>
              <w:bottom w:val="nil"/>
              <w:right w:val="nil"/>
            </w:tcBorders>
            <w:shd w:val="clear" w:color="auto" w:fill="FFFFFF"/>
            <w:tcMar>
              <w:top w:w="80" w:type="dxa"/>
              <w:left w:w="130" w:type="dxa"/>
              <w:bottom w:w="80" w:type="dxa"/>
              <w:right w:w="130" w:type="dxa"/>
            </w:tcMar>
            <w:vAlign w:val="center"/>
          </w:tcPr>
          <w:p w14:paraId="6C8823F0">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家庭年收入</w:t>
            </w: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39B75742">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3万以下</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30D75985">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35 (6.5%)</w:t>
            </w:r>
          </w:p>
        </w:tc>
      </w:tr>
      <w:tr w14:paraId="0EA31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5CE6E152">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1B3EED7C">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3—6万</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7A991D83">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94 (17.5%)</w:t>
            </w:r>
          </w:p>
        </w:tc>
      </w:tr>
      <w:tr w14:paraId="0221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35C06615">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18D4E69F">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6—10万</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4BEBD474">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142 (26.4%)</w:t>
            </w:r>
          </w:p>
        </w:tc>
      </w:tr>
      <w:tr w14:paraId="2D5B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47864CA7">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055B83C7">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10—20万</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2E082AD2">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91 (16.9%)</w:t>
            </w:r>
          </w:p>
        </w:tc>
      </w:tr>
      <w:tr w14:paraId="7D15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5F944CFB">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4D5AB020">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20—30万</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46EA43AA">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79 (14.7%)</w:t>
            </w:r>
          </w:p>
        </w:tc>
      </w:tr>
      <w:tr w14:paraId="047E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2C38762B">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3DB98A3E">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30万以上</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07C2C183">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97 (18.0%)</w:t>
            </w:r>
          </w:p>
        </w:tc>
      </w:tr>
      <w:tr w14:paraId="3C7C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restart"/>
            <w:tcBorders>
              <w:top w:val="nil"/>
              <w:left w:val="nil"/>
              <w:bottom w:val="nil"/>
              <w:right w:val="nil"/>
            </w:tcBorders>
            <w:shd w:val="clear" w:color="auto" w:fill="FFFFFF"/>
            <w:tcMar>
              <w:top w:w="80" w:type="dxa"/>
              <w:left w:w="130" w:type="dxa"/>
              <w:bottom w:w="80" w:type="dxa"/>
              <w:right w:w="130" w:type="dxa"/>
            </w:tcMar>
            <w:vAlign w:val="center"/>
          </w:tcPr>
          <w:p w14:paraId="270D8A9A">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城市级别</w:t>
            </w: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05ADDF67">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一线城市</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6765A4DB">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118 (21.9%)</w:t>
            </w:r>
          </w:p>
        </w:tc>
      </w:tr>
      <w:tr w14:paraId="6F23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741D088A">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485E46F0">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新一线城市</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3DD055C5">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107 (19.9%)</w:t>
            </w:r>
          </w:p>
        </w:tc>
      </w:tr>
      <w:tr w14:paraId="7B3F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top w:val="nil"/>
              <w:left w:val="nil"/>
              <w:bottom w:val="nil"/>
              <w:right w:val="nil"/>
            </w:tcBorders>
            <w:shd w:val="clear" w:color="auto" w:fill="FFFFFF"/>
            <w:vAlign w:val="center"/>
          </w:tcPr>
          <w:p w14:paraId="5EE5B951">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629F039D">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二线及以下</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3447CDAD">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313 (58.2%)</w:t>
            </w:r>
          </w:p>
        </w:tc>
      </w:tr>
      <w:tr w14:paraId="7BBC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restart"/>
            <w:tcBorders>
              <w:top w:val="nil"/>
              <w:left w:val="nil"/>
              <w:right w:val="nil"/>
            </w:tcBorders>
            <w:shd w:val="clear" w:color="auto" w:fill="FFFFFF"/>
            <w:tcMar>
              <w:top w:w="80" w:type="dxa"/>
              <w:left w:w="130" w:type="dxa"/>
              <w:bottom w:w="80" w:type="dxa"/>
              <w:right w:w="130" w:type="dxa"/>
            </w:tcMar>
            <w:vAlign w:val="center"/>
          </w:tcPr>
          <w:p w14:paraId="318B4699">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私家车</w:t>
            </w:r>
          </w:p>
        </w:tc>
        <w:tc>
          <w:tcPr>
            <w:tcW w:w="2038" w:type="pct"/>
            <w:tcBorders>
              <w:top w:val="nil"/>
              <w:left w:val="nil"/>
              <w:bottom w:val="nil"/>
              <w:right w:val="nil"/>
            </w:tcBorders>
            <w:shd w:val="clear" w:color="auto" w:fill="FFFFFF"/>
            <w:tcMar>
              <w:top w:w="80" w:type="dxa"/>
              <w:left w:w="130" w:type="dxa"/>
              <w:bottom w:w="80" w:type="dxa"/>
              <w:right w:w="130" w:type="dxa"/>
            </w:tcMar>
            <w:vAlign w:val="center"/>
          </w:tcPr>
          <w:p w14:paraId="16CF5AAD">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有</w:t>
            </w:r>
          </w:p>
        </w:tc>
        <w:tc>
          <w:tcPr>
            <w:tcW w:w="1844" w:type="pct"/>
            <w:tcBorders>
              <w:top w:val="nil"/>
              <w:left w:val="nil"/>
              <w:bottom w:val="nil"/>
              <w:right w:val="nil"/>
            </w:tcBorders>
            <w:shd w:val="clear" w:color="auto" w:fill="FFFFFF"/>
            <w:tcMar>
              <w:top w:w="80" w:type="dxa"/>
              <w:left w:w="130" w:type="dxa"/>
              <w:bottom w:w="80" w:type="dxa"/>
              <w:right w:w="130" w:type="dxa"/>
            </w:tcMar>
            <w:vAlign w:val="center"/>
          </w:tcPr>
          <w:p w14:paraId="67B121CF">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412 (76.6%)</w:t>
            </w:r>
          </w:p>
        </w:tc>
      </w:tr>
      <w:tr w14:paraId="70883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17" w:type="pct"/>
            <w:vMerge w:val="continue"/>
            <w:tcBorders>
              <w:left w:val="nil"/>
              <w:bottom w:val="single" w:color="000000" w:sz="12" w:space="0"/>
              <w:right w:val="nil"/>
            </w:tcBorders>
            <w:shd w:val="clear" w:color="auto" w:fill="FFFFFF"/>
            <w:vAlign w:val="center"/>
          </w:tcPr>
          <w:p w14:paraId="25276950">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p>
        </w:tc>
        <w:tc>
          <w:tcPr>
            <w:tcW w:w="2038" w:type="pct"/>
            <w:tcBorders>
              <w:top w:val="nil"/>
              <w:left w:val="nil"/>
              <w:bottom w:val="single" w:color="000000" w:sz="12" w:space="0"/>
              <w:right w:val="nil"/>
            </w:tcBorders>
            <w:shd w:val="clear" w:color="auto" w:fill="FFFFFF"/>
            <w:tcMar>
              <w:top w:w="80" w:type="dxa"/>
              <w:left w:w="130" w:type="dxa"/>
              <w:bottom w:w="80" w:type="dxa"/>
              <w:right w:w="130" w:type="dxa"/>
            </w:tcMar>
            <w:vAlign w:val="center"/>
          </w:tcPr>
          <w:p w14:paraId="33AF3227">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无</w:t>
            </w:r>
          </w:p>
        </w:tc>
        <w:tc>
          <w:tcPr>
            <w:tcW w:w="1844" w:type="pct"/>
            <w:tcBorders>
              <w:top w:val="nil"/>
              <w:left w:val="nil"/>
              <w:bottom w:val="single" w:color="000000" w:sz="12" w:space="0"/>
              <w:right w:val="nil"/>
            </w:tcBorders>
            <w:shd w:val="clear" w:color="auto" w:fill="FFFFFF"/>
            <w:tcMar>
              <w:top w:w="80" w:type="dxa"/>
              <w:left w:w="130" w:type="dxa"/>
              <w:bottom w:w="80" w:type="dxa"/>
              <w:right w:w="130" w:type="dxa"/>
            </w:tcMar>
            <w:vAlign w:val="center"/>
          </w:tcPr>
          <w:p w14:paraId="0704ED9B">
            <w:pPr>
              <w:keepNext w:val="0"/>
              <w:keepLines w:val="0"/>
              <w:suppressLineNumbers w:val="0"/>
              <w:tabs>
                <w:tab w:val="left" w:pos="377"/>
              </w:tabs>
              <w:spacing w:before="0" w:beforeAutospacing="0" w:after="0" w:afterAutospacing="0"/>
              <w:ind w:left="0" w:right="0" w:firstLine="0" w:firstLineChars="0"/>
              <w:jc w:val="center"/>
              <w:rPr>
                <w:rFonts w:hint="eastAsia" w:ascii="宋体" w:hAnsi="宋体" w:cs="Times New Roman"/>
                <w:color w:val="000000"/>
              </w:rPr>
            </w:pPr>
            <w:r>
              <w:rPr>
                <w:rFonts w:hint="eastAsia" w:ascii="宋体" w:hAnsi="宋体" w:cs="Times New Roman"/>
                <w:color w:val="000000"/>
              </w:rPr>
              <w:t>126 (23.4%)</w:t>
            </w:r>
          </w:p>
        </w:tc>
      </w:tr>
    </w:tbl>
    <w:p w14:paraId="3C383901">
      <w:pPr>
        <w:ind w:firstLine="0" w:firstLineChars="0"/>
        <w:rPr>
          <w:rFonts w:hint="eastAsia" w:cs="Times New Roman"/>
        </w:rPr>
      </w:pPr>
    </w:p>
    <w:p w14:paraId="072E1C29">
      <w:pPr>
        <w:ind w:firstLine="480"/>
        <w:rPr>
          <w:rFonts w:hint="default" w:cs="Times New Roman"/>
          <w:lang w:val="en-US" w:eastAsia="zh-CN"/>
        </w:rPr>
      </w:pPr>
    </w:p>
    <w:p w14:paraId="774E609A">
      <w:pPr>
        <w:pStyle w:val="3"/>
        <w:bidi w:val="0"/>
      </w:pPr>
      <w:bookmarkStart w:id="48" w:name="_Toc13250"/>
      <w:r>
        <w:t>附录</w:t>
      </w:r>
      <w:r>
        <w:rPr>
          <w:rFonts w:hint="eastAsia"/>
        </w:rPr>
        <w:t xml:space="preserve">D </w:t>
      </w:r>
      <w:r>
        <w:t>CBA完整参数表</w:t>
      </w:r>
      <w:bookmarkEnd w:id="48"/>
    </w:p>
    <w:p w14:paraId="4E8F703C">
      <w:pPr>
        <w:ind w:firstLine="480"/>
        <w:rPr>
          <w:rFonts w:cs="Times New Roman"/>
        </w:rPr>
      </w:pPr>
      <w:r>
        <w:rPr>
          <w:rFonts w:cs="Times New Roman"/>
        </w:rPr>
        <w:t>本附录参考Tan-Soo et al.（2024）的框架，逐项列出本研究所采用的六种需求侧低碳行为的成本效益分析（CBA）完整参数表，所有参数均依据中国全国背景数据（约2020–2024年）进行本土化更新。</w:t>
      </w:r>
    </w:p>
    <w:p w14:paraId="68D5B535">
      <w:pPr>
        <w:ind w:firstLine="480"/>
        <w:rPr>
          <w:rFonts w:cs="Times New Roman"/>
        </w:rPr>
      </w:pPr>
      <w:r>
        <w:rPr>
          <w:rFonts w:cs="Times New Roman"/>
        </w:rPr>
        <w:t>参数设置表列出各参数的统计分布类型及关键统计量（第10百分位、均值、第90百分位）。对于部分中国情境下难以获取完整分布数据的参数（标注“—”），基准值基于现有文献的点估计确定。社会成本碳（SCC）采用Rennert et al.（2022）估值185美元/tCO₂e（约1,295元/tCO₂e，汇率取7元/美元）。</w:t>
      </w:r>
    </w:p>
    <w:p w14:paraId="06C0C165">
      <w:pPr>
        <w:ind w:firstLine="0" w:firstLineChars="0"/>
        <w:rPr>
          <w:rFonts w:cs="Times New Roman"/>
        </w:rPr>
      </w:pPr>
    </w:p>
    <w:p w14:paraId="7E5DCA12">
      <w:pPr>
        <w:tabs>
          <w:tab w:val="left" w:pos="377"/>
        </w:tabs>
        <w:ind w:firstLine="0" w:firstLineChars="0"/>
        <w:jc w:val="center"/>
        <w:rPr>
          <w:rFonts w:eastAsia="黑体" w:cs="Times New Roman"/>
        </w:rPr>
      </w:pPr>
      <w:r>
        <w:rPr>
          <w:rFonts w:hint="eastAsia" w:eastAsia="黑体" w:cs="Times New Roman"/>
        </w:rPr>
        <w:t>附表</w:t>
      </w:r>
      <w:r>
        <w:rPr>
          <w:rFonts w:eastAsia="黑体" w:cs="Times New Roman"/>
        </w:rPr>
        <w:t xml:space="preserve"> </w:t>
      </w:r>
      <w:r>
        <w:rPr>
          <w:rFonts w:hint="eastAsia" w:eastAsia="黑体"/>
        </w:rPr>
        <w:t>D</w:t>
      </w:r>
      <w:r>
        <w:rPr>
          <w:rFonts w:eastAsia="黑体"/>
        </w:rPr>
        <w:t>-</w:t>
      </w:r>
      <w:r>
        <w:rPr>
          <w:rFonts w:hint="eastAsia" w:eastAsia="黑体"/>
        </w:rPr>
        <w:t>1</w:t>
      </w:r>
      <w:r>
        <w:rPr>
          <w:rFonts w:eastAsia="黑体" w:cs="Times New Roman"/>
        </w:rPr>
        <w:t xml:space="preserve"> </w:t>
      </w:r>
      <w:r>
        <w:rPr>
          <w:rFonts w:hint="eastAsia" w:eastAsia="黑体" w:cs="Times New Roman"/>
        </w:rPr>
        <w:t>六种低碳行为成本效益汇总</w:t>
      </w:r>
    </w:p>
    <w:p w14:paraId="5D6CB472">
      <w:pPr>
        <w:tabs>
          <w:tab w:val="left" w:pos="377"/>
        </w:tabs>
        <w:ind w:firstLine="0" w:firstLineChars="0"/>
        <w:jc w:val="center"/>
        <w:rPr>
          <w:rFonts w:cs="Times New Roman"/>
          <w:kern w:val="0"/>
          <w:szCs w:val="21"/>
        </w:rPr>
      </w:pPr>
      <w:r>
        <w:rPr>
          <w:rFonts w:hint="eastAsia" w:cs="Times New Roman"/>
          <w:b/>
          <w:bCs/>
        </w:rPr>
        <w:t xml:space="preserve">Table D-1 </w:t>
      </w:r>
      <w:r>
        <w:rPr>
          <w:rFonts w:cs="Times New Roman"/>
          <w:b/>
          <w:bCs/>
        </w:rPr>
        <w:t>Cost-Benefit Summary for Six Low-Carbon Behavior</w:t>
      </w:r>
    </w:p>
    <w:tbl>
      <w:tblPr>
        <w:tblStyle w:val="13"/>
        <w:tblpPr w:leftFromText="180" w:rightFromText="180" w:vertAnchor="text" w:horzAnchor="page" w:tblpX="1775" w:tblpY="31"/>
        <w:tblOverlap w:val="never"/>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4"/>
        <w:gridCol w:w="1458"/>
        <w:gridCol w:w="1568"/>
        <w:gridCol w:w="1424"/>
        <w:gridCol w:w="1426"/>
        <w:gridCol w:w="1425"/>
      </w:tblGrid>
      <w:tr w14:paraId="51D8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0" w:hRule="atLeast"/>
        </w:trPr>
        <w:tc>
          <w:tcPr>
            <w:tcW w:w="839" w:type="pct"/>
            <w:tcBorders>
              <w:top w:val="single" w:color="000000" w:sz="12" w:space="0"/>
              <w:left w:val="nil"/>
              <w:bottom w:val="single" w:color="000000" w:sz="4" w:space="0"/>
              <w:right w:val="nil"/>
              <w:tl2br w:val="nil"/>
            </w:tcBorders>
            <w:shd w:val="clear" w:color="auto" w:fill="FFFFFF"/>
            <w:tcMar>
              <w:top w:w="60" w:type="dxa"/>
              <w:left w:w="80" w:type="dxa"/>
              <w:bottom w:w="60" w:type="dxa"/>
              <w:right w:w="60" w:type="dxa"/>
            </w:tcMar>
            <w:vAlign w:val="center"/>
          </w:tcPr>
          <w:p w14:paraId="24CD332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行为类型</w:t>
            </w:r>
          </w:p>
        </w:tc>
        <w:tc>
          <w:tcPr>
            <w:tcW w:w="830" w:type="pct"/>
            <w:tcBorders>
              <w:top w:val="single" w:color="000000" w:sz="12" w:space="0"/>
              <w:left w:val="nil"/>
              <w:bottom w:val="single" w:color="000000" w:sz="4" w:space="0"/>
              <w:right w:val="nil"/>
            </w:tcBorders>
            <w:shd w:val="clear" w:color="auto" w:fill="FFFFFF"/>
            <w:tcMar>
              <w:top w:w="60" w:type="dxa"/>
              <w:left w:w="80" w:type="dxa"/>
              <w:bottom w:w="60" w:type="dxa"/>
              <w:right w:w="60" w:type="dxa"/>
            </w:tcMar>
            <w:vAlign w:val="center"/>
          </w:tcPr>
          <w:p w14:paraId="7B498A0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个人福利净变化 (元/人·年)</w:t>
            </w:r>
          </w:p>
        </w:tc>
        <w:tc>
          <w:tcPr>
            <w:tcW w:w="893" w:type="pct"/>
            <w:tcBorders>
              <w:top w:val="single" w:color="000000" w:sz="12" w:space="0"/>
              <w:left w:val="nil"/>
              <w:bottom w:val="single" w:color="000000" w:sz="4" w:space="0"/>
              <w:right w:val="nil"/>
            </w:tcBorders>
            <w:shd w:val="clear" w:color="auto" w:fill="FFFFFF"/>
            <w:tcMar>
              <w:top w:w="60" w:type="dxa"/>
              <w:left w:w="80" w:type="dxa"/>
              <w:bottom w:w="60" w:type="dxa"/>
              <w:right w:w="60" w:type="dxa"/>
            </w:tcMar>
            <w:vAlign w:val="center"/>
          </w:tcPr>
          <w:p w14:paraId="44EF286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年减排量 (kgCO</w:t>
            </w:r>
            <w:r>
              <w:rPr>
                <w:rFonts w:hint="eastAsia" w:ascii="Cambria Math" w:hAnsi="Cambria Math" w:eastAsia="宋体" w:cs="Cambria Math"/>
                <w:color w:val="000000"/>
              </w:rPr>
              <w:t>₂</w:t>
            </w:r>
            <w:r>
              <w:rPr>
                <w:rFonts w:hint="eastAsia" w:ascii="宋体" w:hAnsi="宋体" w:eastAsia="宋体" w:cs="Times New Roman"/>
                <w:color w:val="000000"/>
              </w:rPr>
              <w:t>e/人·年)</w:t>
            </w:r>
          </w:p>
        </w:tc>
        <w:tc>
          <w:tcPr>
            <w:tcW w:w="811" w:type="pct"/>
            <w:tcBorders>
              <w:top w:val="single" w:color="000000" w:sz="12" w:space="0"/>
              <w:left w:val="nil"/>
              <w:bottom w:val="single" w:color="000000" w:sz="4" w:space="0"/>
              <w:right w:val="nil"/>
            </w:tcBorders>
            <w:shd w:val="clear" w:color="auto" w:fill="FFFFFF"/>
            <w:tcMar>
              <w:top w:w="60" w:type="dxa"/>
              <w:left w:w="80" w:type="dxa"/>
              <w:bottom w:w="60" w:type="dxa"/>
              <w:right w:w="60" w:type="dxa"/>
            </w:tcMar>
            <w:vAlign w:val="center"/>
          </w:tcPr>
          <w:p w14:paraId="587DE10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减排社会收益 (元/人·年)</w:t>
            </w:r>
          </w:p>
        </w:tc>
        <w:tc>
          <w:tcPr>
            <w:tcW w:w="812" w:type="pct"/>
            <w:tcBorders>
              <w:top w:val="single" w:color="000000" w:sz="12" w:space="0"/>
              <w:left w:val="nil"/>
              <w:bottom w:val="single" w:color="000000" w:sz="4" w:space="0"/>
              <w:right w:val="nil"/>
            </w:tcBorders>
            <w:shd w:val="clear" w:color="auto" w:fill="FFFFFF"/>
            <w:tcMar>
              <w:top w:w="60" w:type="dxa"/>
              <w:left w:w="80" w:type="dxa"/>
              <w:bottom w:w="60" w:type="dxa"/>
              <w:right w:w="60" w:type="dxa"/>
            </w:tcMar>
            <w:vAlign w:val="center"/>
          </w:tcPr>
          <w:p w14:paraId="02668D5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社会福利净变化 (元/人·年)</w:t>
            </w:r>
          </w:p>
        </w:tc>
        <w:tc>
          <w:tcPr>
            <w:tcW w:w="811" w:type="pct"/>
            <w:tcBorders>
              <w:top w:val="single" w:color="000000" w:sz="12" w:space="0"/>
              <w:left w:val="nil"/>
              <w:bottom w:val="single" w:color="000000" w:sz="4" w:space="0"/>
              <w:right w:val="nil"/>
            </w:tcBorders>
            <w:shd w:val="clear" w:color="auto" w:fill="FFFFFF"/>
            <w:tcMar>
              <w:top w:w="60" w:type="dxa"/>
              <w:left w:w="80" w:type="dxa"/>
              <w:bottom w:w="60" w:type="dxa"/>
              <w:right w:w="60" w:type="dxa"/>
            </w:tcMar>
            <w:vAlign w:val="center"/>
          </w:tcPr>
          <w:p w14:paraId="700F7A7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减排成本 (元/tCO</w:t>
            </w:r>
            <w:r>
              <w:rPr>
                <w:rFonts w:hint="eastAsia" w:ascii="Cambria Math" w:hAnsi="Cambria Math" w:eastAsia="宋体" w:cs="Cambria Math"/>
                <w:color w:val="000000"/>
              </w:rPr>
              <w:t>₂</w:t>
            </w:r>
            <w:r>
              <w:rPr>
                <w:rFonts w:hint="eastAsia" w:ascii="宋体" w:hAnsi="宋体" w:eastAsia="宋体" w:cs="Times New Roman"/>
                <w:color w:val="000000"/>
              </w:rPr>
              <w:t>e)</w:t>
            </w:r>
          </w:p>
        </w:tc>
      </w:tr>
      <w:tr w14:paraId="658D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0" w:hRule="atLeast"/>
        </w:trPr>
        <w:tc>
          <w:tcPr>
            <w:tcW w:w="839" w:type="pct"/>
            <w:tcBorders>
              <w:top w:val="single" w:color="000000" w:sz="4" w:space="0"/>
              <w:left w:val="nil"/>
              <w:bottom w:val="nil"/>
              <w:right w:val="nil"/>
            </w:tcBorders>
            <w:shd w:val="clear" w:color="auto" w:fill="FFFFFF"/>
            <w:tcMar>
              <w:top w:w="60" w:type="dxa"/>
              <w:left w:w="80" w:type="dxa"/>
              <w:bottom w:w="60" w:type="dxa"/>
              <w:right w:w="60" w:type="dxa"/>
            </w:tcMar>
            <w:vAlign w:val="center"/>
          </w:tcPr>
          <w:p w14:paraId="39AFEE2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Cambria Math"/>
                <w:color w:val="000000"/>
              </w:rPr>
              <w:t>①</w:t>
            </w:r>
            <w:r>
              <w:rPr>
                <w:rFonts w:hint="eastAsia" w:ascii="宋体" w:hAnsi="宋体" w:eastAsia="宋体" w:cs="Times New Roman"/>
                <w:color w:val="000000"/>
              </w:rPr>
              <w:t xml:space="preserve"> 减半使用一次性餐具</w:t>
            </w:r>
          </w:p>
        </w:tc>
        <w:tc>
          <w:tcPr>
            <w:tcW w:w="830" w:type="pct"/>
            <w:tcBorders>
              <w:top w:val="single" w:color="000000" w:sz="4" w:space="0"/>
              <w:left w:val="nil"/>
              <w:bottom w:val="nil"/>
              <w:right w:val="nil"/>
            </w:tcBorders>
            <w:shd w:val="clear" w:color="auto" w:fill="FFFFFF"/>
            <w:tcMar>
              <w:top w:w="60" w:type="dxa"/>
              <w:left w:w="80" w:type="dxa"/>
              <w:bottom w:w="60" w:type="dxa"/>
              <w:right w:w="60" w:type="dxa"/>
            </w:tcMar>
            <w:vAlign w:val="center"/>
          </w:tcPr>
          <w:p w14:paraId="20FC82A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Cambria Math" w:hAnsi="Cambria Math" w:eastAsia="宋体" w:cs="Cambria Math"/>
                <w:color w:val="000000"/>
              </w:rPr>
              <w:t>−</w:t>
            </w:r>
            <w:r>
              <w:rPr>
                <w:rFonts w:hint="eastAsia" w:ascii="宋体" w:hAnsi="宋体" w:eastAsia="宋体" w:cs="Times New Roman"/>
                <w:color w:val="000000"/>
              </w:rPr>
              <w:t>3.20</w:t>
            </w:r>
          </w:p>
        </w:tc>
        <w:tc>
          <w:tcPr>
            <w:tcW w:w="893" w:type="pct"/>
            <w:tcBorders>
              <w:top w:val="single" w:color="000000" w:sz="4" w:space="0"/>
              <w:left w:val="nil"/>
              <w:bottom w:val="nil"/>
              <w:right w:val="nil"/>
            </w:tcBorders>
            <w:shd w:val="clear" w:color="auto" w:fill="FFFFFF"/>
            <w:tcMar>
              <w:top w:w="60" w:type="dxa"/>
              <w:left w:w="80" w:type="dxa"/>
              <w:bottom w:w="60" w:type="dxa"/>
              <w:right w:w="60" w:type="dxa"/>
            </w:tcMar>
            <w:vAlign w:val="center"/>
          </w:tcPr>
          <w:p w14:paraId="02C156C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0.41</w:t>
            </w:r>
          </w:p>
        </w:tc>
        <w:tc>
          <w:tcPr>
            <w:tcW w:w="811" w:type="pct"/>
            <w:tcBorders>
              <w:top w:val="single" w:color="000000" w:sz="4" w:space="0"/>
              <w:left w:val="nil"/>
              <w:bottom w:val="nil"/>
              <w:right w:val="nil"/>
            </w:tcBorders>
            <w:shd w:val="clear" w:color="auto" w:fill="FFFFFF"/>
            <w:tcMar>
              <w:top w:w="60" w:type="dxa"/>
              <w:left w:w="80" w:type="dxa"/>
              <w:bottom w:w="60" w:type="dxa"/>
              <w:right w:w="60" w:type="dxa"/>
            </w:tcMar>
            <w:vAlign w:val="center"/>
          </w:tcPr>
          <w:p w14:paraId="7C5D604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+0.53</w:t>
            </w:r>
          </w:p>
        </w:tc>
        <w:tc>
          <w:tcPr>
            <w:tcW w:w="812" w:type="pct"/>
            <w:tcBorders>
              <w:top w:val="single" w:color="000000" w:sz="4" w:space="0"/>
              <w:left w:val="nil"/>
              <w:bottom w:val="nil"/>
              <w:right w:val="nil"/>
            </w:tcBorders>
            <w:shd w:val="clear" w:color="auto" w:fill="FFFFFF"/>
            <w:tcMar>
              <w:top w:w="60" w:type="dxa"/>
              <w:left w:w="80" w:type="dxa"/>
              <w:bottom w:w="60" w:type="dxa"/>
              <w:right w:w="60" w:type="dxa"/>
            </w:tcMar>
            <w:vAlign w:val="center"/>
          </w:tcPr>
          <w:p w14:paraId="5555D42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Cambria Math" w:hAnsi="Cambria Math" w:eastAsia="宋体" w:cs="Cambria Math"/>
                <w:color w:val="000000"/>
              </w:rPr>
              <w:t>−</w:t>
            </w:r>
            <w:r>
              <w:rPr>
                <w:rFonts w:hint="eastAsia" w:ascii="宋体" w:hAnsi="宋体" w:eastAsia="宋体" w:cs="Times New Roman"/>
                <w:color w:val="000000"/>
              </w:rPr>
              <w:t>2.66</w:t>
            </w:r>
          </w:p>
        </w:tc>
        <w:tc>
          <w:tcPr>
            <w:tcW w:w="811" w:type="pct"/>
            <w:tcBorders>
              <w:top w:val="single" w:color="000000" w:sz="4" w:space="0"/>
              <w:left w:val="nil"/>
              <w:bottom w:val="nil"/>
              <w:right w:val="nil"/>
            </w:tcBorders>
            <w:shd w:val="clear" w:color="auto" w:fill="FFFFFF"/>
            <w:tcMar>
              <w:top w:w="60" w:type="dxa"/>
              <w:left w:w="80" w:type="dxa"/>
              <w:bottom w:w="60" w:type="dxa"/>
              <w:right w:w="60" w:type="dxa"/>
            </w:tcMar>
            <w:vAlign w:val="center"/>
          </w:tcPr>
          <w:p w14:paraId="67D0FC7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7,780</w:t>
            </w:r>
          </w:p>
        </w:tc>
      </w:tr>
      <w:tr w14:paraId="054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0" w:hRule="atLeast"/>
        </w:trPr>
        <w:tc>
          <w:tcPr>
            <w:tcW w:w="839" w:type="pct"/>
            <w:tcBorders>
              <w:top w:val="nil"/>
              <w:left w:val="nil"/>
              <w:bottom w:val="nil"/>
              <w:right w:val="nil"/>
            </w:tcBorders>
            <w:shd w:val="clear" w:color="auto" w:fill="FFFFFF"/>
            <w:tcMar>
              <w:top w:w="60" w:type="dxa"/>
              <w:left w:w="80" w:type="dxa"/>
              <w:bottom w:w="60" w:type="dxa"/>
              <w:right w:w="60" w:type="dxa"/>
            </w:tcMar>
            <w:vAlign w:val="center"/>
          </w:tcPr>
          <w:p w14:paraId="04AAF08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Cambria Math"/>
                <w:color w:val="000000"/>
              </w:rPr>
              <w:t>②</w:t>
            </w:r>
            <w:r>
              <w:rPr>
                <w:rFonts w:hint="eastAsia" w:ascii="宋体" w:hAnsi="宋体" w:eastAsia="宋体" w:cs="Times New Roman"/>
                <w:color w:val="000000"/>
              </w:rPr>
              <w:t xml:space="preserve"> 更换最节能空调</w:t>
            </w:r>
          </w:p>
        </w:tc>
        <w:tc>
          <w:tcPr>
            <w:tcW w:w="830" w:type="pct"/>
            <w:tcBorders>
              <w:top w:val="nil"/>
              <w:left w:val="nil"/>
              <w:bottom w:val="nil"/>
              <w:right w:val="nil"/>
            </w:tcBorders>
            <w:shd w:val="clear" w:color="auto" w:fill="FFFFFF"/>
            <w:tcMar>
              <w:top w:w="60" w:type="dxa"/>
              <w:left w:w="80" w:type="dxa"/>
              <w:bottom w:w="60" w:type="dxa"/>
              <w:right w:w="60" w:type="dxa"/>
            </w:tcMar>
            <w:vAlign w:val="center"/>
          </w:tcPr>
          <w:p w14:paraId="12EBC4B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Cambria Math" w:hAnsi="Cambria Math" w:eastAsia="宋体" w:cs="Cambria Math"/>
                <w:color w:val="000000"/>
              </w:rPr>
              <w:t>−</w:t>
            </w:r>
            <w:r>
              <w:rPr>
                <w:rFonts w:hint="eastAsia" w:ascii="宋体" w:hAnsi="宋体" w:eastAsia="宋体" w:cs="Times New Roman"/>
                <w:color w:val="000000"/>
              </w:rPr>
              <w:t>16.43</w:t>
            </w:r>
          </w:p>
        </w:tc>
        <w:tc>
          <w:tcPr>
            <w:tcW w:w="893" w:type="pct"/>
            <w:tcBorders>
              <w:top w:val="nil"/>
              <w:left w:val="nil"/>
              <w:bottom w:val="nil"/>
              <w:right w:val="nil"/>
            </w:tcBorders>
            <w:shd w:val="clear" w:color="auto" w:fill="FFFFFF"/>
            <w:tcMar>
              <w:top w:w="60" w:type="dxa"/>
              <w:left w:w="80" w:type="dxa"/>
              <w:bottom w:w="60" w:type="dxa"/>
              <w:right w:w="60" w:type="dxa"/>
            </w:tcMar>
            <w:vAlign w:val="center"/>
          </w:tcPr>
          <w:p w14:paraId="60D3077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9.83</w:t>
            </w:r>
          </w:p>
        </w:tc>
        <w:tc>
          <w:tcPr>
            <w:tcW w:w="811" w:type="pct"/>
            <w:tcBorders>
              <w:top w:val="nil"/>
              <w:left w:val="nil"/>
              <w:bottom w:val="nil"/>
              <w:right w:val="nil"/>
            </w:tcBorders>
            <w:shd w:val="clear" w:color="auto" w:fill="FFFFFF"/>
            <w:tcMar>
              <w:top w:w="60" w:type="dxa"/>
              <w:left w:w="80" w:type="dxa"/>
              <w:bottom w:w="60" w:type="dxa"/>
              <w:right w:w="60" w:type="dxa"/>
            </w:tcMar>
            <w:vAlign w:val="center"/>
          </w:tcPr>
          <w:p w14:paraId="2F7F11C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+12.73</w:t>
            </w:r>
          </w:p>
        </w:tc>
        <w:tc>
          <w:tcPr>
            <w:tcW w:w="812" w:type="pct"/>
            <w:tcBorders>
              <w:top w:val="nil"/>
              <w:left w:val="nil"/>
              <w:bottom w:val="nil"/>
              <w:right w:val="nil"/>
            </w:tcBorders>
            <w:shd w:val="clear" w:color="auto" w:fill="FFFFFF"/>
            <w:tcMar>
              <w:top w:w="60" w:type="dxa"/>
              <w:left w:w="80" w:type="dxa"/>
              <w:bottom w:w="60" w:type="dxa"/>
              <w:right w:w="60" w:type="dxa"/>
            </w:tcMar>
            <w:vAlign w:val="center"/>
          </w:tcPr>
          <w:p w14:paraId="27FDF80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Cambria Math" w:hAnsi="Cambria Math" w:eastAsia="宋体" w:cs="Cambria Math"/>
                <w:color w:val="000000"/>
              </w:rPr>
              <w:t>−</w:t>
            </w:r>
            <w:r>
              <w:rPr>
                <w:rFonts w:hint="eastAsia" w:ascii="宋体" w:hAnsi="宋体" w:eastAsia="宋体" w:cs="Times New Roman"/>
                <w:color w:val="000000"/>
              </w:rPr>
              <w:t>3.70</w:t>
            </w:r>
          </w:p>
        </w:tc>
        <w:tc>
          <w:tcPr>
            <w:tcW w:w="811" w:type="pct"/>
            <w:tcBorders>
              <w:top w:val="nil"/>
              <w:left w:val="nil"/>
              <w:bottom w:val="nil"/>
              <w:right w:val="nil"/>
            </w:tcBorders>
            <w:shd w:val="clear" w:color="auto" w:fill="FFFFFF"/>
            <w:tcMar>
              <w:top w:w="60" w:type="dxa"/>
              <w:left w:w="80" w:type="dxa"/>
              <w:bottom w:w="60" w:type="dxa"/>
              <w:right w:w="60" w:type="dxa"/>
            </w:tcMar>
            <w:vAlign w:val="center"/>
          </w:tcPr>
          <w:p w14:paraId="440817E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1,671</w:t>
            </w:r>
          </w:p>
        </w:tc>
      </w:tr>
      <w:tr w14:paraId="45153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0" w:hRule="atLeast"/>
        </w:trPr>
        <w:tc>
          <w:tcPr>
            <w:tcW w:w="839" w:type="pct"/>
            <w:tcBorders>
              <w:top w:val="nil"/>
              <w:left w:val="nil"/>
              <w:bottom w:val="nil"/>
              <w:right w:val="nil"/>
            </w:tcBorders>
            <w:shd w:val="clear" w:color="auto" w:fill="FFFFFF"/>
            <w:tcMar>
              <w:top w:w="60" w:type="dxa"/>
              <w:left w:w="80" w:type="dxa"/>
              <w:bottom w:w="60" w:type="dxa"/>
              <w:right w:w="60" w:type="dxa"/>
            </w:tcMar>
            <w:vAlign w:val="center"/>
          </w:tcPr>
          <w:p w14:paraId="2184B4E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Cambria Math"/>
                <w:color w:val="000000"/>
              </w:rPr>
              <w:t>③</w:t>
            </w:r>
            <w:r>
              <w:rPr>
                <w:rFonts w:hint="eastAsia" w:ascii="宋体" w:hAnsi="宋体" w:eastAsia="宋体" w:cs="Times New Roman"/>
                <w:color w:val="000000"/>
              </w:rPr>
              <w:t xml:space="preserve"> 最大化垃圾分类回收</w:t>
            </w:r>
          </w:p>
        </w:tc>
        <w:tc>
          <w:tcPr>
            <w:tcW w:w="830" w:type="pct"/>
            <w:tcBorders>
              <w:top w:val="nil"/>
              <w:left w:val="nil"/>
              <w:bottom w:val="nil"/>
              <w:right w:val="nil"/>
            </w:tcBorders>
            <w:shd w:val="clear" w:color="auto" w:fill="FFFFFF"/>
            <w:tcMar>
              <w:top w:w="60" w:type="dxa"/>
              <w:left w:w="80" w:type="dxa"/>
              <w:bottom w:w="60" w:type="dxa"/>
              <w:right w:w="60" w:type="dxa"/>
            </w:tcMar>
            <w:vAlign w:val="center"/>
          </w:tcPr>
          <w:p w14:paraId="032E882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Cambria Math" w:hAnsi="Cambria Math" w:eastAsia="宋体" w:cs="Cambria Math"/>
                <w:color w:val="000000"/>
              </w:rPr>
              <w:t>−</w:t>
            </w:r>
            <w:r>
              <w:rPr>
                <w:rFonts w:hint="eastAsia" w:ascii="宋体" w:hAnsi="宋体" w:eastAsia="宋体" w:cs="Times New Roman"/>
                <w:color w:val="000000"/>
              </w:rPr>
              <w:t>143.96</w:t>
            </w:r>
          </w:p>
        </w:tc>
        <w:tc>
          <w:tcPr>
            <w:tcW w:w="893" w:type="pct"/>
            <w:tcBorders>
              <w:top w:val="nil"/>
              <w:left w:val="nil"/>
              <w:bottom w:val="nil"/>
              <w:right w:val="nil"/>
            </w:tcBorders>
            <w:shd w:val="clear" w:color="auto" w:fill="FFFFFF"/>
            <w:tcMar>
              <w:top w:w="60" w:type="dxa"/>
              <w:left w:w="80" w:type="dxa"/>
              <w:bottom w:w="60" w:type="dxa"/>
              <w:right w:w="60" w:type="dxa"/>
            </w:tcMar>
            <w:vAlign w:val="center"/>
          </w:tcPr>
          <w:p w14:paraId="2C8310F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74.60</w:t>
            </w:r>
          </w:p>
        </w:tc>
        <w:tc>
          <w:tcPr>
            <w:tcW w:w="811" w:type="pct"/>
            <w:tcBorders>
              <w:top w:val="nil"/>
              <w:left w:val="nil"/>
              <w:bottom w:val="nil"/>
              <w:right w:val="nil"/>
            </w:tcBorders>
            <w:shd w:val="clear" w:color="auto" w:fill="FFFFFF"/>
            <w:tcMar>
              <w:top w:w="60" w:type="dxa"/>
              <w:left w:w="80" w:type="dxa"/>
              <w:bottom w:w="60" w:type="dxa"/>
              <w:right w:w="60" w:type="dxa"/>
            </w:tcMar>
            <w:vAlign w:val="center"/>
          </w:tcPr>
          <w:p w14:paraId="6CEEE12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+96.61</w:t>
            </w:r>
          </w:p>
        </w:tc>
        <w:tc>
          <w:tcPr>
            <w:tcW w:w="812" w:type="pct"/>
            <w:tcBorders>
              <w:top w:val="nil"/>
              <w:left w:val="nil"/>
              <w:bottom w:val="nil"/>
              <w:right w:val="nil"/>
            </w:tcBorders>
            <w:shd w:val="clear" w:color="auto" w:fill="FFFFFF"/>
            <w:tcMar>
              <w:top w:w="60" w:type="dxa"/>
              <w:left w:w="80" w:type="dxa"/>
              <w:bottom w:w="60" w:type="dxa"/>
              <w:right w:w="60" w:type="dxa"/>
            </w:tcMar>
            <w:vAlign w:val="center"/>
          </w:tcPr>
          <w:p w14:paraId="72604EA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Cambria Math" w:hAnsi="Cambria Math" w:eastAsia="宋体" w:cs="Cambria Math"/>
                <w:color w:val="000000"/>
              </w:rPr>
              <w:t>−</w:t>
            </w:r>
            <w:r>
              <w:rPr>
                <w:rFonts w:hint="eastAsia" w:ascii="宋体" w:hAnsi="宋体" w:eastAsia="宋体" w:cs="Times New Roman"/>
                <w:color w:val="000000"/>
              </w:rPr>
              <w:t>47.35</w:t>
            </w:r>
          </w:p>
        </w:tc>
        <w:tc>
          <w:tcPr>
            <w:tcW w:w="811" w:type="pct"/>
            <w:tcBorders>
              <w:top w:val="nil"/>
              <w:left w:val="nil"/>
              <w:bottom w:val="nil"/>
              <w:right w:val="nil"/>
            </w:tcBorders>
            <w:shd w:val="clear" w:color="auto" w:fill="FFFFFF"/>
            <w:tcMar>
              <w:top w:w="60" w:type="dxa"/>
              <w:left w:w="80" w:type="dxa"/>
              <w:bottom w:w="60" w:type="dxa"/>
              <w:right w:w="60" w:type="dxa"/>
            </w:tcMar>
            <w:vAlign w:val="center"/>
          </w:tcPr>
          <w:p w14:paraId="12047AD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1,930</w:t>
            </w:r>
          </w:p>
        </w:tc>
      </w:tr>
      <w:tr w14:paraId="2FB3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0" w:hRule="atLeast"/>
        </w:trPr>
        <w:tc>
          <w:tcPr>
            <w:tcW w:w="839" w:type="pct"/>
            <w:tcBorders>
              <w:top w:val="nil"/>
              <w:left w:val="nil"/>
              <w:bottom w:val="nil"/>
              <w:right w:val="nil"/>
            </w:tcBorders>
            <w:shd w:val="clear" w:color="auto" w:fill="FFFFFF"/>
            <w:tcMar>
              <w:top w:w="60" w:type="dxa"/>
              <w:left w:w="80" w:type="dxa"/>
              <w:bottom w:w="60" w:type="dxa"/>
              <w:right w:w="60" w:type="dxa"/>
            </w:tcMar>
            <w:vAlign w:val="center"/>
          </w:tcPr>
          <w:p w14:paraId="5B8DAA8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Cambria Math"/>
                <w:color w:val="000000"/>
              </w:rPr>
              <w:t>④</w:t>
            </w:r>
            <w:r>
              <w:rPr>
                <w:rFonts w:hint="eastAsia" w:ascii="宋体" w:hAnsi="宋体" w:eastAsia="宋体" w:cs="Times New Roman"/>
                <w:color w:val="000000"/>
              </w:rPr>
              <w:t xml:space="preserve"> 短途航班改乘高铁</w:t>
            </w:r>
          </w:p>
        </w:tc>
        <w:tc>
          <w:tcPr>
            <w:tcW w:w="830" w:type="pct"/>
            <w:tcBorders>
              <w:top w:val="nil"/>
              <w:left w:val="nil"/>
              <w:bottom w:val="nil"/>
              <w:right w:val="nil"/>
            </w:tcBorders>
            <w:shd w:val="clear" w:color="auto" w:fill="FFFFFF"/>
            <w:tcMar>
              <w:top w:w="60" w:type="dxa"/>
              <w:left w:w="80" w:type="dxa"/>
              <w:bottom w:w="60" w:type="dxa"/>
              <w:right w:w="60" w:type="dxa"/>
            </w:tcMar>
            <w:vAlign w:val="center"/>
          </w:tcPr>
          <w:p w14:paraId="61D032C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Cambria Math" w:hAnsi="Cambria Math" w:eastAsia="宋体" w:cs="Cambria Math"/>
                <w:color w:val="000000"/>
              </w:rPr>
              <w:t>−</w:t>
            </w:r>
            <w:r>
              <w:rPr>
                <w:rFonts w:hint="eastAsia" w:ascii="宋体" w:hAnsi="宋体" w:eastAsia="宋体" w:cs="Times New Roman"/>
                <w:color w:val="000000"/>
              </w:rPr>
              <w:t>281.64</w:t>
            </w:r>
          </w:p>
        </w:tc>
        <w:tc>
          <w:tcPr>
            <w:tcW w:w="893" w:type="pct"/>
            <w:tcBorders>
              <w:top w:val="nil"/>
              <w:left w:val="nil"/>
              <w:bottom w:val="nil"/>
              <w:right w:val="nil"/>
            </w:tcBorders>
            <w:shd w:val="clear" w:color="auto" w:fill="FFFFFF"/>
            <w:tcMar>
              <w:top w:w="60" w:type="dxa"/>
              <w:left w:w="80" w:type="dxa"/>
              <w:bottom w:w="60" w:type="dxa"/>
              <w:right w:w="60" w:type="dxa"/>
            </w:tcMar>
            <w:vAlign w:val="center"/>
          </w:tcPr>
          <w:p w14:paraId="17523C0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371.78</w:t>
            </w:r>
          </w:p>
        </w:tc>
        <w:tc>
          <w:tcPr>
            <w:tcW w:w="811" w:type="pct"/>
            <w:tcBorders>
              <w:top w:val="nil"/>
              <w:left w:val="nil"/>
              <w:bottom w:val="nil"/>
              <w:right w:val="nil"/>
            </w:tcBorders>
            <w:shd w:val="clear" w:color="auto" w:fill="FFFFFF"/>
            <w:tcMar>
              <w:top w:w="60" w:type="dxa"/>
              <w:left w:w="80" w:type="dxa"/>
              <w:bottom w:w="60" w:type="dxa"/>
              <w:right w:w="60" w:type="dxa"/>
            </w:tcMar>
            <w:vAlign w:val="center"/>
          </w:tcPr>
          <w:p w14:paraId="6FE5137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+481.46</w:t>
            </w:r>
          </w:p>
        </w:tc>
        <w:tc>
          <w:tcPr>
            <w:tcW w:w="812" w:type="pct"/>
            <w:tcBorders>
              <w:top w:val="nil"/>
              <w:left w:val="nil"/>
              <w:bottom w:val="nil"/>
              <w:right w:val="nil"/>
            </w:tcBorders>
            <w:shd w:val="clear" w:color="auto" w:fill="FFFFFF"/>
            <w:tcMar>
              <w:top w:w="60" w:type="dxa"/>
              <w:left w:w="80" w:type="dxa"/>
              <w:bottom w:w="60" w:type="dxa"/>
              <w:right w:w="60" w:type="dxa"/>
            </w:tcMar>
            <w:vAlign w:val="center"/>
          </w:tcPr>
          <w:p w14:paraId="5C76544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+199.82</w:t>
            </w:r>
          </w:p>
        </w:tc>
        <w:tc>
          <w:tcPr>
            <w:tcW w:w="811" w:type="pct"/>
            <w:tcBorders>
              <w:top w:val="nil"/>
              <w:left w:val="nil"/>
              <w:bottom w:val="nil"/>
              <w:right w:val="nil"/>
            </w:tcBorders>
            <w:shd w:val="clear" w:color="auto" w:fill="FFFFFF"/>
            <w:tcMar>
              <w:top w:w="60" w:type="dxa"/>
              <w:left w:w="80" w:type="dxa"/>
              <w:bottom w:w="60" w:type="dxa"/>
              <w:right w:w="60" w:type="dxa"/>
            </w:tcMar>
            <w:vAlign w:val="center"/>
          </w:tcPr>
          <w:p w14:paraId="5FEC70A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758</w:t>
            </w:r>
          </w:p>
        </w:tc>
      </w:tr>
      <w:tr w14:paraId="55F5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0" w:hRule="atLeast"/>
        </w:trPr>
        <w:tc>
          <w:tcPr>
            <w:tcW w:w="839" w:type="pct"/>
            <w:tcBorders>
              <w:top w:val="nil"/>
              <w:left w:val="nil"/>
              <w:bottom w:val="nil"/>
              <w:right w:val="nil"/>
            </w:tcBorders>
            <w:shd w:val="clear" w:color="auto" w:fill="FFFFFF"/>
            <w:tcMar>
              <w:top w:w="60" w:type="dxa"/>
              <w:left w:w="80" w:type="dxa"/>
              <w:bottom w:w="60" w:type="dxa"/>
              <w:right w:w="60" w:type="dxa"/>
            </w:tcMar>
            <w:vAlign w:val="center"/>
          </w:tcPr>
          <w:p w14:paraId="53913E3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Cambria Math"/>
                <w:color w:val="000000"/>
              </w:rPr>
              <w:t>⑤</w:t>
            </w:r>
            <w:r>
              <w:rPr>
                <w:rFonts w:hint="eastAsia" w:ascii="宋体" w:hAnsi="宋体" w:eastAsia="宋体" w:cs="Times New Roman"/>
                <w:color w:val="000000"/>
              </w:rPr>
              <w:t xml:space="preserve"> 燃油车换购电动车</w:t>
            </w:r>
          </w:p>
        </w:tc>
        <w:tc>
          <w:tcPr>
            <w:tcW w:w="830" w:type="pct"/>
            <w:tcBorders>
              <w:top w:val="nil"/>
              <w:left w:val="nil"/>
              <w:bottom w:val="nil"/>
              <w:right w:val="nil"/>
            </w:tcBorders>
            <w:shd w:val="clear" w:color="auto" w:fill="FFFFFF"/>
            <w:tcMar>
              <w:top w:w="60" w:type="dxa"/>
              <w:left w:w="80" w:type="dxa"/>
              <w:bottom w:w="60" w:type="dxa"/>
              <w:right w:w="60" w:type="dxa"/>
            </w:tcMar>
            <w:vAlign w:val="center"/>
          </w:tcPr>
          <w:p w14:paraId="3A6E5C2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+191,288</w:t>
            </w:r>
          </w:p>
        </w:tc>
        <w:tc>
          <w:tcPr>
            <w:tcW w:w="893" w:type="pct"/>
            <w:tcBorders>
              <w:top w:val="nil"/>
              <w:left w:val="nil"/>
              <w:bottom w:val="nil"/>
              <w:right w:val="nil"/>
            </w:tcBorders>
            <w:shd w:val="clear" w:color="auto" w:fill="FFFFFF"/>
            <w:tcMar>
              <w:top w:w="60" w:type="dxa"/>
              <w:left w:w="80" w:type="dxa"/>
              <w:bottom w:w="60" w:type="dxa"/>
              <w:right w:w="60" w:type="dxa"/>
            </w:tcMar>
            <w:vAlign w:val="center"/>
          </w:tcPr>
          <w:p w14:paraId="7AD67E4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152.17</w:t>
            </w:r>
          </w:p>
        </w:tc>
        <w:tc>
          <w:tcPr>
            <w:tcW w:w="811" w:type="pct"/>
            <w:tcBorders>
              <w:top w:val="nil"/>
              <w:left w:val="nil"/>
              <w:bottom w:val="nil"/>
              <w:right w:val="nil"/>
            </w:tcBorders>
            <w:shd w:val="clear" w:color="auto" w:fill="FFFFFF"/>
            <w:tcMar>
              <w:top w:w="60" w:type="dxa"/>
              <w:left w:w="80" w:type="dxa"/>
              <w:bottom w:w="60" w:type="dxa"/>
              <w:right w:w="60" w:type="dxa"/>
            </w:tcMar>
            <w:vAlign w:val="center"/>
          </w:tcPr>
          <w:p w14:paraId="1350BA4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+197.06</w:t>
            </w:r>
          </w:p>
        </w:tc>
        <w:tc>
          <w:tcPr>
            <w:tcW w:w="812" w:type="pct"/>
            <w:tcBorders>
              <w:top w:val="nil"/>
              <w:left w:val="nil"/>
              <w:bottom w:val="nil"/>
              <w:right w:val="nil"/>
            </w:tcBorders>
            <w:shd w:val="clear" w:color="auto" w:fill="FFFFFF"/>
            <w:tcMar>
              <w:top w:w="60" w:type="dxa"/>
              <w:left w:w="80" w:type="dxa"/>
              <w:bottom w:w="60" w:type="dxa"/>
              <w:right w:w="60" w:type="dxa"/>
            </w:tcMar>
            <w:vAlign w:val="center"/>
          </w:tcPr>
          <w:p w14:paraId="563E026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+191,485</w:t>
            </w:r>
          </w:p>
        </w:tc>
        <w:tc>
          <w:tcPr>
            <w:tcW w:w="811" w:type="pct"/>
            <w:tcBorders>
              <w:top w:val="nil"/>
              <w:left w:val="nil"/>
              <w:bottom w:val="nil"/>
              <w:right w:val="nil"/>
            </w:tcBorders>
            <w:shd w:val="clear" w:color="auto" w:fill="FFFFFF"/>
            <w:tcMar>
              <w:top w:w="60" w:type="dxa"/>
              <w:left w:w="80" w:type="dxa"/>
              <w:bottom w:w="60" w:type="dxa"/>
              <w:right w:w="60" w:type="dxa"/>
            </w:tcMar>
            <w:vAlign w:val="center"/>
          </w:tcPr>
          <w:p w14:paraId="0CFCB22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Cambria Math" w:hAnsi="Cambria Math" w:eastAsia="宋体" w:cs="Cambria Math"/>
                <w:color w:val="000000"/>
              </w:rPr>
              <w:t>−</w:t>
            </w:r>
            <w:r>
              <w:rPr>
                <w:rFonts w:hint="eastAsia" w:ascii="宋体" w:hAnsi="宋体" w:eastAsia="宋体" w:cs="Times New Roman"/>
                <w:color w:val="000000"/>
              </w:rPr>
              <w:t>1,257,069</w:t>
            </w:r>
          </w:p>
        </w:tc>
      </w:tr>
      <w:tr w14:paraId="6CE5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90" w:hRule="atLeast"/>
        </w:trPr>
        <w:tc>
          <w:tcPr>
            <w:tcW w:w="839" w:type="pct"/>
            <w:tcBorders>
              <w:top w:val="nil"/>
              <w:left w:val="nil"/>
              <w:bottom w:val="single" w:color="000000" w:sz="12" w:space="0"/>
              <w:right w:val="nil"/>
            </w:tcBorders>
            <w:shd w:val="clear" w:color="auto" w:fill="FFFFFF"/>
            <w:tcMar>
              <w:top w:w="60" w:type="dxa"/>
              <w:left w:w="80" w:type="dxa"/>
              <w:bottom w:w="60" w:type="dxa"/>
              <w:right w:w="60" w:type="dxa"/>
            </w:tcMar>
            <w:vAlign w:val="center"/>
          </w:tcPr>
          <w:p w14:paraId="4F90796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Cambria Math"/>
                <w:color w:val="000000"/>
              </w:rPr>
              <w:t>⑥</w:t>
            </w:r>
            <w:r>
              <w:rPr>
                <w:rFonts w:hint="eastAsia" w:ascii="宋体" w:hAnsi="宋体" w:eastAsia="宋体" w:cs="Times New Roman"/>
                <w:color w:val="000000"/>
              </w:rPr>
              <w:t xml:space="preserve"> 动物蛋白替换豆腐</w:t>
            </w:r>
          </w:p>
        </w:tc>
        <w:tc>
          <w:tcPr>
            <w:tcW w:w="830" w:type="pct"/>
            <w:tcBorders>
              <w:top w:val="nil"/>
              <w:left w:val="nil"/>
              <w:bottom w:val="single" w:color="000000" w:sz="12" w:space="0"/>
              <w:right w:val="nil"/>
            </w:tcBorders>
            <w:shd w:val="clear" w:color="auto" w:fill="FFFFFF"/>
            <w:tcMar>
              <w:top w:w="60" w:type="dxa"/>
              <w:left w:w="80" w:type="dxa"/>
              <w:bottom w:w="60" w:type="dxa"/>
              <w:right w:w="60" w:type="dxa"/>
            </w:tcMar>
            <w:vAlign w:val="center"/>
          </w:tcPr>
          <w:p w14:paraId="0720055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+136.36</w:t>
            </w:r>
          </w:p>
        </w:tc>
        <w:tc>
          <w:tcPr>
            <w:tcW w:w="893" w:type="pct"/>
            <w:tcBorders>
              <w:top w:val="nil"/>
              <w:left w:val="nil"/>
              <w:bottom w:val="single" w:color="000000" w:sz="12" w:space="0"/>
              <w:right w:val="nil"/>
            </w:tcBorders>
            <w:shd w:val="clear" w:color="auto" w:fill="FFFFFF"/>
            <w:tcMar>
              <w:top w:w="60" w:type="dxa"/>
              <w:left w:w="80" w:type="dxa"/>
              <w:bottom w:w="60" w:type="dxa"/>
              <w:right w:w="60" w:type="dxa"/>
            </w:tcMar>
            <w:vAlign w:val="center"/>
          </w:tcPr>
          <w:p w14:paraId="779E968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73.65</w:t>
            </w:r>
          </w:p>
        </w:tc>
        <w:tc>
          <w:tcPr>
            <w:tcW w:w="811" w:type="pct"/>
            <w:tcBorders>
              <w:top w:val="nil"/>
              <w:left w:val="nil"/>
              <w:bottom w:val="single" w:color="000000" w:sz="12" w:space="0"/>
              <w:right w:val="nil"/>
            </w:tcBorders>
            <w:shd w:val="clear" w:color="auto" w:fill="FFFFFF"/>
            <w:tcMar>
              <w:top w:w="60" w:type="dxa"/>
              <w:left w:w="80" w:type="dxa"/>
              <w:bottom w:w="60" w:type="dxa"/>
              <w:right w:w="60" w:type="dxa"/>
            </w:tcMar>
            <w:vAlign w:val="center"/>
          </w:tcPr>
          <w:p w14:paraId="2328C65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+95.38</w:t>
            </w:r>
          </w:p>
        </w:tc>
        <w:tc>
          <w:tcPr>
            <w:tcW w:w="812" w:type="pct"/>
            <w:tcBorders>
              <w:top w:val="nil"/>
              <w:left w:val="nil"/>
              <w:bottom w:val="single" w:color="000000" w:sz="12" w:space="0"/>
              <w:right w:val="nil"/>
            </w:tcBorders>
            <w:shd w:val="clear" w:color="auto" w:fill="FFFFFF"/>
            <w:tcMar>
              <w:top w:w="60" w:type="dxa"/>
              <w:left w:w="80" w:type="dxa"/>
              <w:bottom w:w="60" w:type="dxa"/>
              <w:right w:w="60" w:type="dxa"/>
            </w:tcMar>
            <w:vAlign w:val="center"/>
          </w:tcPr>
          <w:p w14:paraId="1B019E4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+231.74</w:t>
            </w:r>
          </w:p>
        </w:tc>
        <w:tc>
          <w:tcPr>
            <w:tcW w:w="811" w:type="pct"/>
            <w:tcBorders>
              <w:top w:val="nil"/>
              <w:left w:val="nil"/>
              <w:bottom w:val="single" w:color="000000" w:sz="12" w:space="0"/>
              <w:right w:val="nil"/>
            </w:tcBorders>
            <w:shd w:val="clear" w:color="auto" w:fill="FFFFFF"/>
            <w:tcMar>
              <w:top w:w="60" w:type="dxa"/>
              <w:left w:w="80" w:type="dxa"/>
              <w:bottom w:w="60" w:type="dxa"/>
              <w:right w:w="60" w:type="dxa"/>
            </w:tcMar>
            <w:vAlign w:val="center"/>
          </w:tcPr>
          <w:p w14:paraId="11188B3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Cambria Math" w:hAnsi="Cambria Math" w:eastAsia="宋体" w:cs="Cambria Math"/>
                <w:color w:val="000000"/>
              </w:rPr>
              <w:t>−</w:t>
            </w:r>
            <w:r>
              <w:rPr>
                <w:rFonts w:hint="eastAsia" w:ascii="宋体" w:hAnsi="宋体" w:eastAsia="宋体" w:cs="Times New Roman"/>
                <w:color w:val="000000"/>
              </w:rPr>
              <w:t>1,851</w:t>
            </w:r>
          </w:p>
        </w:tc>
      </w:tr>
    </w:tbl>
    <w:p w14:paraId="33DB61FE">
      <w:pPr>
        <w:widowControl/>
        <w:tabs>
          <w:tab w:val="left" w:pos="377"/>
        </w:tabs>
        <w:ind w:firstLine="0" w:firstLineChars="0"/>
        <w:rPr>
          <w:rFonts w:cs="Times New Roman"/>
          <w:kern w:val="0"/>
          <w:szCs w:val="21"/>
        </w:rPr>
      </w:pPr>
      <w:r>
        <w:rPr>
          <w:rFonts w:cs="Times New Roman"/>
          <w:kern w:val="0"/>
          <w:szCs w:val="21"/>
        </w:rPr>
        <w:br w:type="page"/>
      </w:r>
    </w:p>
    <w:p w14:paraId="2569F4FA">
      <w:pPr>
        <w:pStyle w:val="4"/>
        <w:bidi w:val="0"/>
        <w:rPr>
          <w:rFonts w:hint="default"/>
        </w:rPr>
      </w:pPr>
      <w:bookmarkStart w:id="49" w:name="_Toc14456"/>
      <w:r>
        <w:t>D.</w:t>
      </w:r>
      <w:r>
        <w:rPr>
          <w:rFonts w:hint="default"/>
        </w:rPr>
        <w:t>1 减半使用一次性外卖餐具</w:t>
      </w:r>
      <w:bookmarkEnd w:id="49"/>
    </w:p>
    <w:p w14:paraId="23AA450A">
      <w:pPr>
        <w:pStyle w:val="5"/>
        <w:ind w:firstLine="562"/>
        <w:rPr>
          <w:rFonts w:cs="Times New Roman"/>
        </w:rPr>
      </w:pPr>
      <w:r>
        <w:rPr>
          <w:rFonts w:hint="eastAsia" w:cs="Times New Roman"/>
        </w:rPr>
        <w:t>D.</w:t>
      </w:r>
      <w:r>
        <w:rPr>
          <w:rFonts w:cs="Times New Roman"/>
        </w:rPr>
        <w:t>1.1 定义</w:t>
      </w:r>
    </w:p>
    <w:p w14:paraId="7C157194">
      <w:pPr>
        <w:ind w:firstLine="480"/>
        <w:rPr>
          <w:rFonts w:cs="Times New Roman"/>
        </w:rPr>
      </w:pPr>
      <w:r>
        <w:rPr>
          <w:rFonts w:cs="Times New Roman"/>
        </w:rPr>
        <w:t>在该行为情景中，我们假设居民将外卖点餐中一次性餐具的使用频率减少一半，转而使用自备的可重复使用餐具。一次性餐具套装通常包括木筷、塑料汤匙及餐具包装袋；与之对应，中国家庭常见的可重复使用餐具包括筷子和不锈钢汤匙。</w:t>
      </w:r>
    </w:p>
    <w:p w14:paraId="546D5971">
      <w:pPr>
        <w:ind w:firstLine="480"/>
        <w:rPr>
          <w:rFonts w:cs="Times New Roman"/>
        </w:rPr>
      </w:pPr>
      <w:r>
        <w:rPr>
          <w:rFonts w:cs="Times New Roman"/>
        </w:rPr>
        <w:t>行为改变带来的主要成本为：可重复餐具的初始购置成本，以及每次使用后清洗餐具所需的时间成本。其他次要成本（如清洗用水）可忽略不计，不计入本分析。</w:t>
      </w:r>
    </w:p>
    <w:p w14:paraId="72E7A7B0">
      <w:pPr>
        <w:pStyle w:val="5"/>
        <w:ind w:firstLine="562"/>
        <w:rPr>
          <w:rFonts w:cs="Times New Roman"/>
        </w:rPr>
      </w:pPr>
      <w:r>
        <w:rPr>
          <w:rFonts w:hint="eastAsia" w:cs="Times New Roman"/>
        </w:rPr>
        <w:t>D.</w:t>
      </w:r>
      <w:r>
        <w:rPr>
          <w:rFonts w:cs="Times New Roman"/>
        </w:rPr>
        <w:t>1.2 测量</w:t>
      </w:r>
    </w:p>
    <w:p w14:paraId="7F86C654">
      <w:pPr>
        <w:ind w:firstLine="480"/>
        <w:rPr>
          <w:rFonts w:cs="Times New Roman"/>
        </w:rPr>
      </w:pPr>
      <w:r>
        <w:rPr>
          <w:rFonts w:cs="Times New Roman"/>
          <w:szCs w:val="24"/>
        </w:rPr>
        <w:t>（1）理论工程减排量（AEI）的核算路径与敏感性分析</w:t>
      </w:r>
    </w:p>
    <w:p w14:paraId="786E6B1D">
      <w:pPr>
        <w:ind w:firstLine="480"/>
        <w:rPr>
          <w:rFonts w:cs="Times New Roman"/>
        </w:rPr>
      </w:pPr>
      <w:r>
        <w:rPr>
          <w:rFonts w:cs="Times New Roman"/>
        </w:rPr>
        <w:t>本行为净福利变化等于：使用可重复餐具的年化成本与继续使用一次性餐具年化成本之差（取其差额的1/2，以反映"减半"使用）。</w:t>
      </w:r>
    </w:p>
    <w:p w14:paraId="0E476C87">
      <w:pPr>
        <w:ind w:firstLine="480"/>
        <w:rPr>
          <w:rFonts w:cs="Times New Roman"/>
        </w:rPr>
      </w:pPr>
      <w:r>
        <w:rPr>
          <w:rFonts w:cs="Times New Roman"/>
        </w:rPr>
        <w:t>使用可重复餐具的年度成本为：</w:t>
      </w:r>
    </w:p>
    <w:p w14:paraId="46A99766">
      <w:pPr>
        <w:ind w:firstLine="480"/>
        <w:rPr>
          <w:rFonts w:cs="Times New Roman"/>
        </w:rPr>
      </w:pPr>
      <w:r>
        <w:rPr>
          <w:rFonts w:cs="Times New Roman"/>
        </w:rPr>
        <w:t>Cost可重复 = Meals × (CleanTime × OTC) + CutleryCost</w:t>
      </w:r>
    </w:p>
    <w:p w14:paraId="7A996051">
      <w:pPr>
        <w:ind w:firstLine="480"/>
        <w:rPr>
          <w:rFonts w:cs="Times New Roman"/>
        </w:rPr>
      </w:pPr>
      <w:r>
        <w:rPr>
          <w:rFonts w:cs="Times New Roman"/>
        </w:rPr>
        <w:t>其中，Meals 为个人年均外卖点餐次数；CleanTime 为每次餐后清洗餐具所用时间；OTC 为时间机会成本（元/小时）；CutleryCost 为可重复餐具年摊销成本。</w:t>
      </w:r>
    </w:p>
    <w:p w14:paraId="7F321898">
      <w:pPr>
        <w:ind w:firstLine="480"/>
        <w:rPr>
          <w:rFonts w:cs="Times New Roman"/>
        </w:rPr>
      </w:pPr>
      <w:r>
        <w:rPr>
          <w:rFonts w:cs="Times New Roman"/>
        </w:rPr>
        <w:t>使用一次性餐具的年度成本为：</w:t>
      </w:r>
    </w:p>
    <w:p w14:paraId="0688C689">
      <w:pPr>
        <w:ind w:firstLine="480"/>
        <w:rPr>
          <w:rFonts w:cs="Times New Roman"/>
        </w:rPr>
      </w:pPr>
      <w:r>
        <w:rPr>
          <w:rFonts w:cs="Times New Roman"/>
        </w:rPr>
        <w:t>Cost一次性 = Meals × DisposableCost</w:t>
      </w:r>
    </w:p>
    <w:p w14:paraId="371DCBB8">
      <w:pPr>
        <w:ind w:firstLine="480"/>
        <w:rPr>
          <w:rFonts w:cs="Times New Roman"/>
        </w:rPr>
      </w:pPr>
      <w:r>
        <w:rPr>
          <w:rFonts w:cs="Times New Roman"/>
        </w:rPr>
        <w:t>其中，DisposableCost 为每次外卖所包含一次性餐具的成本（元/次）。</w:t>
      </w:r>
    </w:p>
    <w:p w14:paraId="3F6E0F01">
      <w:pPr>
        <w:ind w:firstLine="480"/>
        <w:rPr>
          <w:rFonts w:cs="Times New Roman"/>
        </w:rPr>
      </w:pPr>
      <w:r>
        <w:rPr>
          <w:rFonts w:cs="Times New Roman"/>
        </w:rPr>
        <w:t>鉴于本行为的微观干预仅限于“餐具材质的替换（木/塑转为不锈钢等）”，而不涉及外卖食物生产、餐盒制造与骑手配送环节，其初始理论减排基数（AEI）表现出极端的微量化特征。具体核算路径如下：基准排放基数：根据文献（Xie et al., 2021; Zhou et al., 2020），单次外卖一次性餐具（含木筷、塑料汤匙及包装袋）的平均碳排放约为 21.85 g CO₂e/次 。基于全国平均外卖点餐频率 3.88 次/月（即 46.56 次/年） ，不干预状态下的人均一次性餐具年碳足迹约为 1.017 kg CO₂e。</w:t>
      </w:r>
    </w:p>
    <w:p w14:paraId="360705C7">
      <w:pPr>
        <w:numPr>
          <w:ilvl w:val="0"/>
          <w:numId w:val="8"/>
        </w:numPr>
        <w:ind w:firstLine="480"/>
        <w:rPr>
          <w:rFonts w:cs="Times New Roman"/>
        </w:rPr>
      </w:pPr>
      <w:r>
        <w:rPr>
          <w:rFonts w:cs="Times New Roman"/>
        </w:rPr>
        <w:t xml:space="preserve"> 替代品排放摊销：可重复使用餐具（如 304 不锈钢汤匙与合金筷）在生产与废弃阶段存在固有碳足迹，其全生命周期年化碳排放约为 97.22 g CO₂e/年（0.097 kg CO₂e/年） 。净 AEI 计算：在“减半使用一次性餐具（50% 替代率）”的情景下，避免的一次性餐具排放量为 1.017 kg × 50% = 0.5085 kg CO₂e/年。扣除必须引入的可重复餐具年化排放成本（0.097 kg CO₂e/年），最终得出的真实净理论减排量（AEI）为 0.41 kg CO₂e/（人·年）。</w:t>
      </w:r>
    </w:p>
    <w:p w14:paraId="2F78CD52">
      <w:pPr>
        <w:ind w:firstLine="240" w:firstLineChars="100"/>
        <w:rPr>
          <w:rFonts w:cs="Times New Roman"/>
        </w:rPr>
      </w:pPr>
      <w:r>
        <w:rPr>
          <w:rFonts w:cs="Times New Roman"/>
          <w:szCs w:val="24"/>
        </w:rPr>
        <w:t>（2）单参数敏感性分析</w:t>
      </w:r>
    </w:p>
    <w:p w14:paraId="3D881ACA">
      <w:pPr>
        <w:ind w:firstLine="480"/>
        <w:rPr>
          <w:rFonts w:cs="Times New Roman"/>
        </w:rPr>
      </w:pPr>
      <w:r>
        <w:rPr>
          <w:rFonts w:cs="Times New Roman"/>
        </w:rPr>
        <w:t>为排除参数低估对核心结论的干扰，本研究对该 AEI 进行了单变量敏感性测试。即使采取极端上限情景——假设该受访者为重度外卖用户（如第 90 百分位，高达 91.62 次/月，约 1099 次/年） ，其减半使用餐具的 AEI 也仅提升至约 11.9 kg CO₂e/年。从数学推演的角度来看，无论是基准的 0.41 kg 还是极端的 11.9 kg，相较于现代生活中任何一次跨界高碳消费（如单次短途飞行产生的数百公斤碳排放，或日常电器滥用带来的数十公斤碳增量），该行为的 AEI 依然处于极低的数量级。因此，分母趋近于零导致的反弹率渐进发散（即引发数学奇点与极端脆弱性）的结论，对参数波动具有绝对的稳健性（Robustness）。这一严谨的底层核算进一步确证了：试图依赖极低碳红利的微小日常习惯（如替换餐具）来撬动需求侧减排，在复杂的微观生活网络中极易遭受毁灭性的系统反噬。</w:t>
      </w:r>
    </w:p>
    <w:p w14:paraId="2103595F">
      <w:pPr>
        <w:pStyle w:val="5"/>
        <w:ind w:firstLine="562"/>
        <w:rPr>
          <w:rFonts w:cs="Times New Roman"/>
        </w:rPr>
      </w:pPr>
      <w:r>
        <w:rPr>
          <w:rFonts w:hint="eastAsia" w:cs="Times New Roman"/>
        </w:rPr>
        <w:t>D.</w:t>
      </w:r>
      <w:r>
        <w:rPr>
          <w:rFonts w:cs="Times New Roman"/>
        </w:rPr>
        <w:t>1.3 数据来源</w:t>
      </w:r>
    </w:p>
    <w:p w14:paraId="631AA6EC">
      <w:pPr>
        <w:ind w:firstLine="480"/>
        <w:rPr>
          <w:rFonts w:cs="Times New Roman"/>
        </w:rPr>
      </w:pPr>
      <w:r>
        <w:rPr>
          <w:rFonts w:cs="Times New Roman"/>
        </w:rPr>
        <w:t>（1）外卖点餐频率：数据来源于新华新闻与中国互联网络信息中心（CNNIC，2024），报告全国人均外卖频率约为2.17次/月；中国饭店协会（2024）数据显示，活跃外卖用户月均点餐频率约为5.58次/月（36.5亿年订单量/5.45亿活跃用户）。本研究取两者均值3.88次/月作为基准值。</w:t>
      </w:r>
    </w:p>
    <w:p w14:paraId="34E27287">
      <w:pPr>
        <w:ind w:firstLine="480"/>
        <w:rPr>
          <w:rFonts w:cs="Times New Roman"/>
        </w:rPr>
      </w:pPr>
      <w:r>
        <w:rPr>
          <w:rFonts w:cs="Times New Roman"/>
        </w:rPr>
        <w:t>（2）餐具成本：一次性餐具套装单价参照中国主流外卖平台（美团、饿了么）实际标价，基准值取0.5元/次。可重复使用餐具年均成本依据淘宝平台销售价格测算：合金筷寿命约1年，年使用成本为1.50元；304不锈钢汤匙寿命约3年，以5%贴现率折现后年摊销成本约为1.65元，合计约3.15元/年。</w:t>
      </w:r>
    </w:p>
    <w:p w14:paraId="78B8EC34">
      <w:pPr>
        <w:ind w:firstLine="480"/>
        <w:rPr>
          <w:rFonts w:cs="Times New Roman"/>
        </w:rPr>
      </w:pPr>
      <w:r>
        <w:rPr>
          <w:rFonts w:cs="Times New Roman"/>
        </w:rPr>
        <w:t>（3）清洗时间：每次使用可重复餐具后所需清洗时间设为1分钟/次（常识假设）。</w:t>
      </w:r>
    </w:p>
    <w:p w14:paraId="55E5C6B7">
      <w:pPr>
        <w:ind w:firstLine="480"/>
        <w:rPr>
          <w:rFonts w:cs="Times New Roman"/>
        </w:rPr>
      </w:pPr>
      <w:r>
        <w:rPr>
          <w:rFonts w:cs="Times New Roman"/>
        </w:rPr>
        <w:t>（4）时间价值：参照中国统计年鉴（2024），全国人均年工资为124,110元，周均工作时长为48.6小时（中国人口与就业统计年鉴，2021），由此计算时均工资约为49.11元/小时。基于文献通行做法（Deacon &amp; Sonstelie, 1985），以25%工资率为下限，全额工资率为上限，取中间值30.69元/小时作为基准时间价值。</w:t>
      </w:r>
    </w:p>
    <w:p w14:paraId="4708E4FC">
      <w:pPr>
        <w:ind w:firstLine="480"/>
        <w:rPr>
          <w:rFonts w:cs="Times New Roman"/>
        </w:rPr>
      </w:pPr>
      <w:r>
        <w:rPr>
          <w:rFonts w:cs="Times New Roman"/>
        </w:rPr>
        <w:t>（5）碳排放因子：一次性餐具（含筷子、汤匙和包装袋）的碳排放综合均值约为21.85 gCO₂e/次（参考Xie et al., 2021；Zhou et al., 2020；Luo, 2021等）。可重复使用餐具全生命周期碳排放合计约为97.22 gCO₂e/年（参考Low-carbon Consumption Potential Analysis等）。</w:t>
      </w:r>
    </w:p>
    <w:p w14:paraId="75CB25CD">
      <w:pPr>
        <w:pStyle w:val="5"/>
        <w:ind w:firstLine="562"/>
        <w:rPr>
          <w:rFonts w:cs="Times New Roman"/>
        </w:rPr>
      </w:pPr>
      <w:r>
        <w:rPr>
          <w:rFonts w:hint="eastAsia" w:cs="Times New Roman"/>
        </w:rPr>
        <w:t>D.</w:t>
      </w:r>
      <w:r>
        <w:rPr>
          <w:rFonts w:cs="Times New Roman"/>
        </w:rPr>
        <w:t>1.4 参数设置</w:t>
      </w:r>
    </w:p>
    <w:p w14:paraId="03FFFB44">
      <w:pPr>
        <w:tabs>
          <w:tab w:val="left" w:pos="377"/>
        </w:tabs>
        <w:ind w:firstLine="0" w:firstLineChars="0"/>
        <w:jc w:val="center"/>
        <w:rPr>
          <w:rFonts w:eastAsia="黑体" w:cs="Times New Roman"/>
        </w:rPr>
      </w:pPr>
      <w:r>
        <w:rPr>
          <w:rFonts w:hint="eastAsia" w:eastAsia="黑体" w:cs="Times New Roman"/>
        </w:rPr>
        <w:t xml:space="preserve">附表 </w:t>
      </w:r>
      <w:r>
        <w:rPr>
          <w:rFonts w:hint="eastAsia"/>
        </w:rPr>
        <w:t>D-</w:t>
      </w:r>
      <w:r>
        <w:t>1</w:t>
      </w:r>
    </w:p>
    <w:p w14:paraId="0FF13BB9">
      <w:pPr>
        <w:tabs>
          <w:tab w:val="left" w:pos="377"/>
        </w:tabs>
        <w:ind w:firstLine="0" w:firstLineChars="0"/>
        <w:jc w:val="center"/>
        <w:rPr>
          <w:rFonts w:cs="Times New Roman"/>
          <w:b/>
          <w:bCs/>
        </w:rPr>
      </w:pPr>
      <w:r>
        <w:rPr>
          <w:rFonts w:hint="eastAsia" w:cs="Times New Roman"/>
          <w:b/>
          <w:bCs/>
        </w:rPr>
        <w:t>Table D-1</w:t>
      </w:r>
    </w:p>
    <w:tbl>
      <w:tblPr>
        <w:tblStyle w:val="13"/>
        <w:tblW w:w="8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350"/>
        <w:gridCol w:w="1200"/>
        <w:gridCol w:w="1100"/>
        <w:gridCol w:w="1100"/>
        <w:gridCol w:w="1100"/>
      </w:tblGrid>
      <w:tr w14:paraId="1F41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69846C30">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参数</w:t>
            </w:r>
          </w:p>
        </w:tc>
        <w:tc>
          <w:tcPr>
            <w:tcW w:w="135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69407EA3">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单位</w:t>
            </w:r>
          </w:p>
        </w:tc>
        <w:tc>
          <w:tcPr>
            <w:tcW w:w="12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2526B0C">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分布</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08CD4823">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第10百分位</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0C10EBB4">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均值</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FF634B1">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第90百分位</w:t>
            </w:r>
          </w:p>
        </w:tc>
      </w:tr>
      <w:tr w14:paraId="560B3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6CA9BBA">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外卖点餐频率 (Meals)</w:t>
            </w:r>
          </w:p>
        </w:tc>
        <w:tc>
          <w:tcPr>
            <w:tcW w:w="135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8440020">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次/月</w:t>
            </w:r>
          </w:p>
        </w:tc>
        <w:tc>
          <w:tcPr>
            <w:tcW w:w="12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B3F21D2">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对数正态</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9371B3F">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1.17</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8B3E3AB">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3.88</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3DE344E">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91.62</w:t>
            </w:r>
          </w:p>
        </w:tc>
      </w:tr>
      <w:tr w14:paraId="43655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05B389D9">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可重复餐具年均成本 (CutleryCost)</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658AD077">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元/年</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03EA0921">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均匀</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F51645D">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1.22</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3E45C75">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3.15</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06A2FC0E">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6.36</w:t>
            </w:r>
          </w:p>
        </w:tc>
      </w:tr>
      <w:tr w14:paraId="6251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2037AC65">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一次性餐具成本 (DisposableCost)</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2CDD8DDB">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元/次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127C3121">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均匀</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8CAB4AF">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0.29</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253667B8">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0.50</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4690EA7">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1.81</w:t>
            </w:r>
          </w:p>
        </w:tc>
      </w:tr>
      <w:tr w14:paraId="12AF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20FB4AF0">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清洗时间 (CleanTime)</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13317BE5">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分钟/次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799516D4">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均匀</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3C8D31A">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0.65</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3F87219">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1.00</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02A50D1C">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1.85</w:t>
            </w:r>
          </w:p>
        </w:tc>
      </w:tr>
      <w:tr w14:paraId="244C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33DC31DF">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时间价值 (OTC)</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5648BFA9">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元/小时</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2EE717C4">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均匀</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1C78F81">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12.28</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861D965">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30.69</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6C991BA">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49.11</w:t>
            </w:r>
          </w:p>
        </w:tc>
      </w:tr>
      <w:tr w14:paraId="24D0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7C67EDE2">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CO</w:t>
            </w:r>
            <w:r>
              <w:rPr>
                <w:rFonts w:hint="eastAsia" w:ascii="Cambria Math" w:hAnsi="Cambria Math" w:cs="Cambria Math" w:eastAsiaTheme="minorEastAsia"/>
                <w:color w:val="000000"/>
              </w:rPr>
              <w:t>₂</w:t>
            </w:r>
            <w:r>
              <w:rPr>
                <w:rFonts w:hint="eastAsia" w:cs="Times New Roman" w:asciiTheme="minorEastAsia" w:hAnsiTheme="minorEastAsia" w:eastAsiaTheme="minorEastAsia"/>
                <w:color w:val="000000"/>
              </w:rPr>
              <w:t>e因子—一次性餐具</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27EC47C4">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gCO</w:t>
            </w:r>
            <w:r>
              <w:rPr>
                <w:rFonts w:hint="eastAsia" w:ascii="Cambria Math" w:hAnsi="Cambria Math" w:cs="Cambria Math" w:eastAsiaTheme="minorEastAsia"/>
                <w:color w:val="000000"/>
              </w:rPr>
              <w:t>₂</w:t>
            </w:r>
            <w:r>
              <w:rPr>
                <w:rFonts w:hint="eastAsia" w:cs="Times New Roman" w:asciiTheme="minorEastAsia" w:hAnsiTheme="minorEastAsia" w:eastAsiaTheme="minorEastAsia"/>
                <w:color w:val="000000"/>
              </w:rPr>
              <w:t>e/次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3F9E4F86">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E8C7CE7">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490474C">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21.85</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25F1BFD3">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p>
        </w:tc>
      </w:tr>
      <w:tr w14:paraId="2868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255BDD0">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CO</w:t>
            </w:r>
            <w:r>
              <w:rPr>
                <w:rFonts w:hint="eastAsia" w:ascii="Cambria Math" w:hAnsi="Cambria Math" w:cs="Cambria Math" w:eastAsiaTheme="minorEastAsia"/>
                <w:color w:val="000000"/>
              </w:rPr>
              <w:t>₂</w:t>
            </w:r>
            <w:r>
              <w:rPr>
                <w:rFonts w:hint="eastAsia" w:cs="Times New Roman" w:asciiTheme="minorEastAsia" w:hAnsiTheme="minorEastAsia" w:eastAsiaTheme="minorEastAsia"/>
                <w:color w:val="000000"/>
              </w:rPr>
              <w:t>e因子—可重复餐具</w:t>
            </w:r>
          </w:p>
        </w:tc>
        <w:tc>
          <w:tcPr>
            <w:tcW w:w="135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131107E">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gCO</w:t>
            </w:r>
            <w:r>
              <w:rPr>
                <w:rFonts w:hint="eastAsia" w:ascii="Cambria Math" w:hAnsi="Cambria Math" w:cs="Cambria Math" w:eastAsiaTheme="minorEastAsia"/>
                <w:color w:val="000000"/>
              </w:rPr>
              <w:t>₂</w:t>
            </w:r>
            <w:r>
              <w:rPr>
                <w:rFonts w:hint="eastAsia" w:cs="Times New Roman" w:asciiTheme="minorEastAsia" w:hAnsiTheme="minorEastAsia" w:eastAsiaTheme="minorEastAsia"/>
                <w:color w:val="000000"/>
              </w:rPr>
              <w:t>e/年</w:t>
            </w:r>
          </w:p>
        </w:tc>
        <w:tc>
          <w:tcPr>
            <w:tcW w:w="12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2015ECD">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56079A0">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3DE96CA">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97.22</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05CCD3B">
            <w:pPr>
              <w:pStyle w:val="23"/>
              <w:keepNext w:val="0"/>
              <w:keepLines w:val="0"/>
              <w:suppressLineNumbers w:val="0"/>
              <w:spacing w:before="0" w:beforeAutospacing="0" w:after="0" w:afterAutospacing="0"/>
              <w:ind w:left="0" w:right="0"/>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p>
        </w:tc>
      </w:tr>
    </w:tbl>
    <w:p w14:paraId="0089B2AE">
      <w:pPr>
        <w:tabs>
          <w:tab w:val="left" w:pos="377"/>
        </w:tabs>
        <w:ind w:firstLine="0" w:firstLineChars="0"/>
        <w:jc w:val="center"/>
        <w:rPr>
          <w:rFonts w:eastAsia="黑体" w:cs="Times New Roman"/>
        </w:rPr>
      </w:pPr>
      <w:r>
        <w:rPr>
          <w:rFonts w:hint="eastAsia" w:eastAsia="黑体" w:cs="Times New Roman"/>
        </w:rPr>
        <w:t xml:space="preserve">附表 </w:t>
      </w:r>
      <w:r>
        <w:rPr>
          <w:rFonts w:hint="eastAsia"/>
        </w:rPr>
        <w:t>D-2</w:t>
      </w:r>
    </w:p>
    <w:p w14:paraId="289CF959">
      <w:pPr>
        <w:tabs>
          <w:tab w:val="left" w:pos="377"/>
        </w:tabs>
        <w:ind w:firstLine="0" w:firstLineChars="0"/>
        <w:jc w:val="center"/>
        <w:rPr>
          <w:rFonts w:cs="Times New Roman"/>
        </w:rPr>
      </w:pPr>
      <w:r>
        <w:rPr>
          <w:rFonts w:hint="eastAsia" w:cs="Times New Roman"/>
          <w:b/>
          <w:bCs/>
        </w:rPr>
        <w:t>Table D-2</w:t>
      </w:r>
    </w:p>
    <w:tbl>
      <w:tblPr>
        <w:tblStyle w:val="29"/>
        <w:tblpPr w:leftFromText="181" w:rightFromText="181" w:topFromText="318" w:bottomFromText="318" w:vertAnchor="page" w:horzAnchor="page" w:tblpX="1889" w:tblpY="4248"/>
        <w:tblOverlap w:val="never"/>
        <w:tblW w:w="8769" w:type="dxa"/>
        <w:tblCellSpacing w:w="11" w:type="dxa"/>
        <w:tblInd w:w="0" w:type="dxa"/>
        <w:tblLayout w:type="fixed"/>
        <w:tblCellMar>
          <w:top w:w="100" w:type="dxa"/>
          <w:left w:w="100" w:type="dxa"/>
          <w:bottom w:w="100" w:type="dxa"/>
          <w:right w:w="100" w:type="dxa"/>
        </w:tblCellMar>
      </w:tblPr>
      <w:tblGrid>
        <w:gridCol w:w="1255"/>
        <w:gridCol w:w="1277"/>
        <w:gridCol w:w="992"/>
        <w:gridCol w:w="1134"/>
        <w:gridCol w:w="851"/>
        <w:gridCol w:w="3260"/>
      </w:tblGrid>
      <w:tr w14:paraId="2D0ED057">
        <w:tblPrEx>
          <w:tblCellMar>
            <w:top w:w="100" w:type="dxa"/>
            <w:left w:w="100" w:type="dxa"/>
            <w:bottom w:w="100" w:type="dxa"/>
            <w:right w:w="100" w:type="dxa"/>
          </w:tblCellMar>
        </w:tblPrEx>
        <w:trPr>
          <w:trHeight w:val="432" w:hRule="atLeast"/>
          <w:tblCellSpacing w:w="11" w:type="dxa"/>
        </w:trPr>
        <w:tc>
          <w:tcPr>
            <w:tcW w:w="8725" w:type="dxa"/>
            <w:gridSpan w:val="6"/>
            <w:tcBorders>
              <w:top w:val="single" w:color="000000" w:sz="12" w:space="0"/>
              <w:left w:val="nil"/>
              <w:bottom w:val="single" w:color="000000" w:sz="4" w:space="0"/>
              <w:right w:val="nil"/>
              <w:tl2br w:val="nil"/>
            </w:tcBorders>
            <w:shd w:val="clear" w:color="auto" w:fill="FFFFFF"/>
          </w:tcPr>
          <w:p w14:paraId="2BD578DD">
            <w:pPr>
              <w:pStyle w:val="23"/>
              <w:rPr>
                <w:rFonts w:hint="eastAsia" w:ascii="宋体" w:hAnsi="宋体" w:eastAsia="宋体" w:cs="Times New Roman"/>
                <w:color w:val="000000"/>
              </w:rPr>
            </w:pPr>
            <w:r>
              <w:rPr>
                <w:rFonts w:hint="eastAsia" w:ascii="宋体" w:hAnsi="宋体" w:eastAsia="宋体" w:cs="Times New Roman"/>
                <w:color w:val="000000"/>
              </w:rPr>
              <w:t>[</w:t>
            </w:r>
            <w:r>
              <w:rPr>
                <w:rFonts w:ascii="宋体" w:hAnsi="宋体" w:eastAsia="宋体" w:cs="Times New Roman"/>
                <w:color w:val="000000"/>
              </w:rPr>
              <w:t>货币成本/收益</w:t>
            </w:r>
            <w:r>
              <w:rPr>
                <w:rFonts w:hint="eastAsia" w:ascii="宋体" w:hAnsi="宋体" w:eastAsia="宋体" w:cs="Times New Roman"/>
                <w:color w:val="000000"/>
              </w:rPr>
              <w:t>]</w:t>
            </w:r>
          </w:p>
        </w:tc>
      </w:tr>
      <w:tr w14:paraId="53ED1629">
        <w:tblPrEx>
          <w:tblCellMar>
            <w:top w:w="100" w:type="dxa"/>
            <w:left w:w="100" w:type="dxa"/>
            <w:bottom w:w="100" w:type="dxa"/>
            <w:right w:w="100" w:type="dxa"/>
          </w:tblCellMar>
        </w:tblPrEx>
        <w:trPr>
          <w:trHeight w:val="736" w:hRule="atLeast"/>
          <w:tblCellSpacing w:w="11" w:type="dxa"/>
        </w:trPr>
        <w:tc>
          <w:tcPr>
            <w:tcW w:w="1222" w:type="dxa"/>
            <w:tcBorders>
              <w:top w:val="single" w:color="000000" w:sz="4" w:space="0"/>
              <w:left w:val="nil"/>
              <w:bottom w:val="nil"/>
              <w:right w:val="nil"/>
            </w:tcBorders>
            <w:shd w:val="clear" w:color="auto" w:fill="FFFFFF"/>
          </w:tcPr>
          <w:p w14:paraId="5BA1FB4A">
            <w:pPr>
              <w:pStyle w:val="23"/>
              <w:rPr>
                <w:rFonts w:hint="eastAsia" w:ascii="宋体" w:hAnsi="宋体" w:eastAsia="宋体" w:cs="Times New Roman"/>
                <w:color w:val="000000"/>
              </w:rPr>
            </w:pPr>
            <w:r>
              <w:rPr>
                <w:rFonts w:ascii="宋体" w:hAnsi="宋体" w:eastAsia="宋体" w:cs="Times New Roman"/>
                <w:bCs/>
                <w:color w:val="000000"/>
              </w:rPr>
              <w:t>参数名称</w:t>
            </w:r>
          </w:p>
        </w:tc>
        <w:tc>
          <w:tcPr>
            <w:tcW w:w="1255" w:type="dxa"/>
            <w:tcBorders>
              <w:top w:val="single" w:color="000000" w:sz="4" w:space="0"/>
              <w:left w:val="nil"/>
              <w:bottom w:val="nil"/>
              <w:right w:val="nil"/>
            </w:tcBorders>
            <w:shd w:val="clear" w:color="auto" w:fill="FFFFFF"/>
          </w:tcPr>
          <w:p w14:paraId="5F50A14B">
            <w:pPr>
              <w:pStyle w:val="23"/>
              <w:jc w:val="both"/>
              <w:rPr>
                <w:rFonts w:hint="eastAsia" w:ascii="宋体" w:hAnsi="宋体" w:eastAsia="宋体" w:cs="Times New Roman"/>
                <w:color w:val="000000"/>
              </w:rPr>
            </w:pPr>
            <w:r>
              <w:rPr>
                <w:rFonts w:ascii="宋体" w:hAnsi="宋体" w:eastAsia="宋体" w:cs="Times New Roman"/>
                <w:bCs/>
                <w:color w:val="000000"/>
              </w:rPr>
              <w:t>参数含义</w:t>
            </w:r>
          </w:p>
        </w:tc>
        <w:tc>
          <w:tcPr>
            <w:tcW w:w="970" w:type="dxa"/>
            <w:tcBorders>
              <w:top w:val="single" w:color="000000" w:sz="4" w:space="0"/>
              <w:left w:val="nil"/>
              <w:bottom w:val="nil"/>
              <w:right w:val="nil"/>
            </w:tcBorders>
            <w:shd w:val="clear" w:color="auto" w:fill="FFFFFF"/>
          </w:tcPr>
          <w:p w14:paraId="4C5C01C7">
            <w:pPr>
              <w:pStyle w:val="23"/>
              <w:rPr>
                <w:rFonts w:hint="eastAsia" w:ascii="宋体" w:hAnsi="宋体" w:eastAsia="宋体" w:cs="Times New Roman"/>
                <w:color w:val="000000"/>
              </w:rPr>
            </w:pPr>
            <w:r>
              <w:rPr>
                <w:rFonts w:ascii="宋体" w:hAnsi="宋体" w:eastAsia="宋体" w:cs="Times New Roman"/>
                <w:bCs/>
                <w:color w:val="000000"/>
              </w:rPr>
              <w:t>基准值</w:t>
            </w:r>
          </w:p>
        </w:tc>
        <w:tc>
          <w:tcPr>
            <w:tcW w:w="1112" w:type="dxa"/>
            <w:tcBorders>
              <w:top w:val="single" w:color="000000" w:sz="4" w:space="0"/>
              <w:left w:val="nil"/>
              <w:bottom w:val="nil"/>
              <w:right w:val="nil"/>
            </w:tcBorders>
            <w:shd w:val="clear" w:color="auto" w:fill="FFFFFF"/>
          </w:tcPr>
          <w:p w14:paraId="0761E59F">
            <w:pPr>
              <w:pStyle w:val="23"/>
              <w:rPr>
                <w:rFonts w:hint="eastAsia" w:ascii="宋体" w:hAnsi="宋体" w:eastAsia="宋体" w:cs="Times New Roman"/>
                <w:color w:val="000000"/>
              </w:rPr>
            </w:pPr>
            <w:r>
              <w:rPr>
                <w:rFonts w:ascii="宋体" w:hAnsi="宋体" w:eastAsia="宋体" w:cs="Times New Roman"/>
                <w:bCs/>
                <w:color w:val="000000"/>
              </w:rPr>
              <w:t>范围/分布</w:t>
            </w:r>
          </w:p>
        </w:tc>
        <w:tc>
          <w:tcPr>
            <w:tcW w:w="829" w:type="dxa"/>
            <w:tcBorders>
              <w:top w:val="single" w:color="000000" w:sz="4" w:space="0"/>
              <w:left w:val="nil"/>
              <w:bottom w:val="nil"/>
              <w:right w:val="nil"/>
            </w:tcBorders>
            <w:shd w:val="clear" w:color="auto" w:fill="FFFFFF"/>
          </w:tcPr>
          <w:p w14:paraId="36747339">
            <w:pPr>
              <w:pStyle w:val="23"/>
              <w:rPr>
                <w:rFonts w:hint="eastAsia" w:ascii="宋体" w:hAnsi="宋体" w:eastAsia="宋体" w:cs="Times New Roman"/>
                <w:color w:val="000000"/>
              </w:rPr>
            </w:pPr>
            <w:r>
              <w:rPr>
                <w:rFonts w:ascii="宋体" w:hAnsi="宋体" w:eastAsia="宋体" w:cs="Times New Roman"/>
                <w:bCs/>
                <w:color w:val="000000"/>
              </w:rPr>
              <w:t>单位</w:t>
            </w:r>
          </w:p>
        </w:tc>
        <w:tc>
          <w:tcPr>
            <w:tcW w:w="3227" w:type="dxa"/>
            <w:tcBorders>
              <w:top w:val="single" w:color="000000" w:sz="4" w:space="0"/>
              <w:left w:val="nil"/>
              <w:bottom w:val="nil"/>
              <w:right w:val="nil"/>
            </w:tcBorders>
            <w:shd w:val="clear" w:color="auto" w:fill="FFFFFF"/>
          </w:tcPr>
          <w:p w14:paraId="1CFB88D6">
            <w:pPr>
              <w:pStyle w:val="23"/>
              <w:rPr>
                <w:rFonts w:hint="eastAsia" w:ascii="宋体" w:hAnsi="宋体" w:eastAsia="宋体" w:cs="Times New Roman"/>
                <w:color w:val="000000"/>
              </w:rPr>
            </w:pPr>
            <w:r>
              <w:rPr>
                <w:rFonts w:ascii="宋体" w:hAnsi="宋体" w:eastAsia="宋体" w:cs="Times New Roman"/>
                <w:bCs/>
                <w:color w:val="000000"/>
              </w:rPr>
              <w:t>数据来源</w:t>
            </w:r>
          </w:p>
        </w:tc>
      </w:tr>
      <w:tr w14:paraId="7D8CB8D7">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nil"/>
              <w:right w:val="nil"/>
            </w:tcBorders>
            <w:shd w:val="clear" w:color="auto" w:fill="FFFFFF"/>
          </w:tcPr>
          <w:p w14:paraId="6166742B">
            <w:pPr>
              <w:pStyle w:val="23"/>
              <w:rPr>
                <w:rFonts w:hint="eastAsia" w:ascii="宋体" w:hAnsi="宋体" w:eastAsia="宋体" w:cs="Times New Roman"/>
                <w:color w:val="000000"/>
              </w:rPr>
            </w:pPr>
            <w:r>
              <w:rPr>
                <w:rFonts w:ascii="宋体" w:hAnsi="宋体" w:eastAsia="宋体" w:cs="Times New Roman"/>
                <w:color w:val="000000"/>
              </w:rPr>
              <w:t>外卖频次</w:t>
            </w:r>
          </w:p>
        </w:tc>
        <w:tc>
          <w:tcPr>
            <w:tcW w:w="1255" w:type="dxa"/>
            <w:tcBorders>
              <w:top w:val="nil"/>
              <w:left w:val="nil"/>
              <w:bottom w:val="nil"/>
              <w:right w:val="nil"/>
            </w:tcBorders>
            <w:shd w:val="clear" w:color="auto" w:fill="FFFFFF"/>
          </w:tcPr>
          <w:p w14:paraId="02F00256">
            <w:pPr>
              <w:pStyle w:val="23"/>
              <w:rPr>
                <w:rFonts w:hint="eastAsia" w:ascii="宋体" w:hAnsi="宋体" w:eastAsia="宋体" w:cs="Times New Roman"/>
                <w:color w:val="000000"/>
              </w:rPr>
            </w:pPr>
            <w:r>
              <w:rPr>
                <w:rFonts w:ascii="宋体" w:hAnsi="宋体" w:eastAsia="宋体" w:cs="Times New Roman"/>
                <w:color w:val="000000"/>
              </w:rPr>
              <w:t>人均每月点外卖次数</w:t>
            </w:r>
          </w:p>
        </w:tc>
        <w:tc>
          <w:tcPr>
            <w:tcW w:w="970" w:type="dxa"/>
            <w:tcBorders>
              <w:top w:val="nil"/>
              <w:left w:val="nil"/>
              <w:bottom w:val="nil"/>
              <w:right w:val="nil"/>
            </w:tcBorders>
            <w:shd w:val="clear" w:color="auto" w:fill="FFFFFF"/>
          </w:tcPr>
          <w:p w14:paraId="2D534684">
            <w:pPr>
              <w:pStyle w:val="23"/>
              <w:rPr>
                <w:rFonts w:hint="eastAsia" w:ascii="宋体" w:hAnsi="宋体" w:eastAsia="宋体" w:cs="Times New Roman"/>
                <w:color w:val="000000"/>
              </w:rPr>
            </w:pPr>
            <w:r>
              <w:rPr>
                <w:rFonts w:ascii="宋体" w:hAnsi="宋体" w:eastAsia="宋体" w:cs="Times New Roman"/>
                <w:color w:val="000000"/>
              </w:rPr>
              <w:t>3.875</w:t>
            </w:r>
          </w:p>
        </w:tc>
        <w:tc>
          <w:tcPr>
            <w:tcW w:w="1112" w:type="dxa"/>
            <w:tcBorders>
              <w:top w:val="nil"/>
              <w:left w:val="nil"/>
              <w:bottom w:val="nil"/>
              <w:right w:val="nil"/>
            </w:tcBorders>
            <w:shd w:val="clear" w:color="auto" w:fill="FFFFFF"/>
          </w:tcPr>
          <w:p w14:paraId="0EFBCDC3">
            <w:pPr>
              <w:pStyle w:val="23"/>
              <w:rPr>
                <w:rFonts w:hint="eastAsia" w:ascii="宋体" w:hAnsi="宋体" w:eastAsia="宋体" w:cs="Times New Roman"/>
                <w:color w:val="000000"/>
              </w:rPr>
            </w:pPr>
            <w:r>
              <w:rPr>
                <w:rFonts w:ascii="宋体" w:hAnsi="宋体" w:eastAsia="宋体" w:cs="Times New Roman"/>
                <w:color w:val="000000"/>
              </w:rPr>
              <w:t>2.17–5.58</w:t>
            </w:r>
          </w:p>
        </w:tc>
        <w:tc>
          <w:tcPr>
            <w:tcW w:w="829" w:type="dxa"/>
            <w:tcBorders>
              <w:top w:val="nil"/>
              <w:left w:val="nil"/>
              <w:bottom w:val="nil"/>
              <w:right w:val="nil"/>
            </w:tcBorders>
            <w:shd w:val="clear" w:color="auto" w:fill="FFFFFF"/>
          </w:tcPr>
          <w:p w14:paraId="66A9E579">
            <w:pPr>
              <w:pStyle w:val="23"/>
              <w:rPr>
                <w:rFonts w:hint="eastAsia" w:ascii="宋体" w:hAnsi="宋体" w:eastAsia="宋体" w:cs="Times New Roman"/>
                <w:color w:val="000000"/>
              </w:rPr>
            </w:pPr>
            <w:r>
              <w:rPr>
                <w:rFonts w:ascii="宋体" w:hAnsi="宋体" w:eastAsia="宋体" w:cs="Times New Roman"/>
                <w:color w:val="000000"/>
              </w:rPr>
              <w:t>次/月</w:t>
            </w:r>
          </w:p>
        </w:tc>
        <w:tc>
          <w:tcPr>
            <w:tcW w:w="3227" w:type="dxa"/>
            <w:tcBorders>
              <w:top w:val="nil"/>
              <w:left w:val="nil"/>
              <w:bottom w:val="nil"/>
              <w:right w:val="nil"/>
            </w:tcBorders>
            <w:shd w:val="clear" w:color="auto" w:fill="FFFFFF"/>
          </w:tcPr>
          <w:p w14:paraId="4E366702">
            <w:pPr>
              <w:pStyle w:val="23"/>
              <w:rPr>
                <w:rFonts w:hint="eastAsia" w:ascii="宋体" w:hAnsi="宋体" w:eastAsia="宋体" w:cs="Times New Roman"/>
                <w:color w:val="000000"/>
              </w:rPr>
            </w:pPr>
            <w:r>
              <w:rPr>
                <w:rFonts w:ascii="宋体" w:hAnsi="宋体" w:eastAsia="宋体" w:cs="Times New Roman"/>
                <w:color w:val="000000"/>
              </w:rPr>
              <w:t>新华网/CNNIC (2024)；中国饭店协会 (2024)</w:t>
            </w:r>
          </w:p>
        </w:tc>
      </w:tr>
      <w:tr w14:paraId="068B9A5C">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nil"/>
              <w:right w:val="nil"/>
            </w:tcBorders>
            <w:shd w:val="clear" w:color="auto" w:fill="FFFFFF"/>
          </w:tcPr>
          <w:p w14:paraId="3733BC15">
            <w:pPr>
              <w:pStyle w:val="23"/>
              <w:rPr>
                <w:rFonts w:hint="eastAsia" w:ascii="宋体" w:hAnsi="宋体" w:eastAsia="宋体" w:cs="Times New Roman"/>
                <w:color w:val="000000"/>
              </w:rPr>
            </w:pPr>
            <w:r>
              <w:rPr>
                <w:rFonts w:ascii="宋体" w:hAnsi="宋体" w:eastAsia="宋体" w:cs="Times New Roman"/>
                <w:color w:val="000000"/>
              </w:rPr>
              <w:t>一次性餐具费用</w:t>
            </w:r>
          </w:p>
        </w:tc>
        <w:tc>
          <w:tcPr>
            <w:tcW w:w="1255" w:type="dxa"/>
            <w:tcBorders>
              <w:top w:val="nil"/>
              <w:left w:val="nil"/>
              <w:bottom w:val="nil"/>
              <w:right w:val="nil"/>
            </w:tcBorders>
            <w:shd w:val="clear" w:color="auto" w:fill="FFFFFF"/>
          </w:tcPr>
          <w:p w14:paraId="698B208B">
            <w:pPr>
              <w:pStyle w:val="23"/>
              <w:rPr>
                <w:rFonts w:hint="eastAsia" w:ascii="宋体" w:hAnsi="宋体" w:eastAsia="宋体" w:cs="Times New Roman"/>
                <w:color w:val="000000"/>
              </w:rPr>
            </w:pPr>
            <w:r>
              <w:rPr>
                <w:rFonts w:ascii="宋体" w:hAnsi="宋体" w:eastAsia="宋体" w:cs="Times New Roman"/>
                <w:color w:val="000000"/>
              </w:rPr>
              <w:t>每次外卖一次性餐具平均成本</w:t>
            </w:r>
          </w:p>
        </w:tc>
        <w:tc>
          <w:tcPr>
            <w:tcW w:w="970" w:type="dxa"/>
            <w:tcBorders>
              <w:top w:val="nil"/>
              <w:left w:val="nil"/>
              <w:bottom w:val="nil"/>
              <w:right w:val="nil"/>
            </w:tcBorders>
            <w:shd w:val="clear" w:color="auto" w:fill="FFFFFF"/>
          </w:tcPr>
          <w:p w14:paraId="792A3121">
            <w:pPr>
              <w:pStyle w:val="23"/>
              <w:rPr>
                <w:rFonts w:hint="eastAsia" w:ascii="宋体" w:hAnsi="宋体" w:eastAsia="宋体" w:cs="Times New Roman"/>
                <w:color w:val="000000"/>
              </w:rPr>
            </w:pPr>
            <w:r>
              <w:rPr>
                <w:rFonts w:ascii="宋体" w:hAnsi="宋体" w:eastAsia="宋体" w:cs="Times New Roman"/>
                <w:color w:val="000000"/>
              </w:rPr>
              <w:t>0.5</w:t>
            </w:r>
          </w:p>
        </w:tc>
        <w:tc>
          <w:tcPr>
            <w:tcW w:w="1112" w:type="dxa"/>
            <w:tcBorders>
              <w:top w:val="nil"/>
              <w:left w:val="nil"/>
              <w:bottom w:val="nil"/>
              <w:right w:val="nil"/>
            </w:tcBorders>
            <w:shd w:val="clear" w:color="auto" w:fill="FFFFFF"/>
          </w:tcPr>
          <w:p w14:paraId="79447EFE">
            <w:pPr>
              <w:pStyle w:val="23"/>
              <w:rPr>
                <w:rFonts w:hint="eastAsia" w:ascii="宋体" w:hAnsi="宋体" w:eastAsia="宋体" w:cs="Times New Roman"/>
                <w:color w:val="000000"/>
              </w:rPr>
            </w:pPr>
            <w:r>
              <w:rPr>
                <w:rFonts w:ascii="宋体" w:hAnsi="宋体" w:eastAsia="宋体" w:cs="Times New Roman"/>
                <w:color w:val="000000"/>
              </w:rPr>
              <w:t>0.3–0.8</w:t>
            </w:r>
          </w:p>
        </w:tc>
        <w:tc>
          <w:tcPr>
            <w:tcW w:w="829" w:type="dxa"/>
            <w:tcBorders>
              <w:top w:val="nil"/>
              <w:left w:val="nil"/>
              <w:bottom w:val="nil"/>
              <w:right w:val="nil"/>
            </w:tcBorders>
            <w:shd w:val="clear" w:color="auto" w:fill="FFFFFF"/>
          </w:tcPr>
          <w:p w14:paraId="5F265313">
            <w:pPr>
              <w:pStyle w:val="23"/>
              <w:rPr>
                <w:rFonts w:hint="eastAsia" w:ascii="宋体" w:hAnsi="宋体" w:eastAsia="宋体" w:cs="Times New Roman"/>
                <w:color w:val="000000"/>
              </w:rPr>
            </w:pPr>
            <w:r>
              <w:rPr>
                <w:rFonts w:ascii="宋体" w:hAnsi="宋体" w:eastAsia="宋体" w:cs="Times New Roman"/>
                <w:color w:val="000000"/>
              </w:rPr>
              <w:t>元/次</w:t>
            </w:r>
          </w:p>
        </w:tc>
        <w:tc>
          <w:tcPr>
            <w:tcW w:w="3227" w:type="dxa"/>
            <w:tcBorders>
              <w:top w:val="nil"/>
              <w:left w:val="nil"/>
              <w:bottom w:val="nil"/>
              <w:right w:val="nil"/>
            </w:tcBorders>
            <w:shd w:val="clear" w:color="auto" w:fill="FFFFFF"/>
          </w:tcPr>
          <w:p w14:paraId="129A876F">
            <w:pPr>
              <w:pStyle w:val="23"/>
              <w:rPr>
                <w:rFonts w:hint="eastAsia" w:ascii="宋体" w:hAnsi="宋体" w:eastAsia="宋体" w:cs="Times New Roman"/>
                <w:color w:val="000000"/>
              </w:rPr>
            </w:pPr>
            <w:r>
              <w:rPr>
                <w:rFonts w:ascii="宋体" w:hAnsi="宋体" w:eastAsia="宋体" w:cs="Times New Roman"/>
                <w:color w:val="000000"/>
              </w:rPr>
              <w:t>淘宝/京东平台调研 (2024)</w:t>
            </w:r>
          </w:p>
        </w:tc>
      </w:tr>
      <w:tr w14:paraId="03A52BD2">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single" w:color="000000" w:sz="12" w:space="0"/>
              <w:right w:val="nil"/>
            </w:tcBorders>
            <w:shd w:val="clear" w:color="auto" w:fill="FFFFFF"/>
          </w:tcPr>
          <w:p w14:paraId="0B97AC60">
            <w:pPr>
              <w:pStyle w:val="23"/>
              <w:rPr>
                <w:rFonts w:hint="eastAsia" w:ascii="宋体" w:hAnsi="宋体" w:eastAsia="宋体" w:cs="Times New Roman"/>
                <w:color w:val="000000"/>
              </w:rPr>
            </w:pPr>
            <w:r>
              <w:rPr>
                <w:rFonts w:ascii="宋体" w:hAnsi="宋体" w:eastAsia="宋体" w:cs="Times New Roman"/>
                <w:color w:val="000000"/>
              </w:rPr>
              <w:t>可重复餐具年使用成本</w:t>
            </w:r>
          </w:p>
        </w:tc>
        <w:tc>
          <w:tcPr>
            <w:tcW w:w="1255" w:type="dxa"/>
            <w:tcBorders>
              <w:top w:val="nil"/>
              <w:left w:val="nil"/>
              <w:bottom w:val="single" w:color="000000" w:sz="12" w:space="0"/>
              <w:right w:val="nil"/>
            </w:tcBorders>
            <w:shd w:val="clear" w:color="auto" w:fill="FFFFFF"/>
          </w:tcPr>
          <w:p w14:paraId="39B1607B">
            <w:pPr>
              <w:pStyle w:val="23"/>
              <w:rPr>
                <w:rFonts w:hint="eastAsia" w:ascii="宋体" w:hAnsi="宋体" w:eastAsia="宋体" w:cs="Times New Roman"/>
                <w:color w:val="000000"/>
              </w:rPr>
            </w:pPr>
            <w:r>
              <w:rPr>
                <w:rFonts w:ascii="宋体" w:hAnsi="宋体" w:eastAsia="宋体" w:cs="Times New Roman"/>
                <w:color w:val="000000"/>
              </w:rPr>
              <w:t>折旧后年均使用成本（筷子+勺）</w:t>
            </w:r>
          </w:p>
        </w:tc>
        <w:tc>
          <w:tcPr>
            <w:tcW w:w="970" w:type="dxa"/>
            <w:tcBorders>
              <w:top w:val="nil"/>
              <w:left w:val="nil"/>
              <w:bottom w:val="single" w:color="000000" w:sz="12" w:space="0"/>
              <w:right w:val="nil"/>
            </w:tcBorders>
            <w:shd w:val="clear" w:color="auto" w:fill="FFFFFF"/>
          </w:tcPr>
          <w:p w14:paraId="7F83E111">
            <w:pPr>
              <w:pStyle w:val="23"/>
              <w:rPr>
                <w:rFonts w:hint="eastAsia" w:ascii="宋体" w:hAnsi="宋体" w:eastAsia="宋体" w:cs="Times New Roman"/>
                <w:color w:val="000000"/>
              </w:rPr>
            </w:pPr>
            <w:r>
              <w:rPr>
                <w:rFonts w:ascii="宋体" w:hAnsi="宋体" w:eastAsia="宋体" w:cs="Times New Roman"/>
                <w:color w:val="000000"/>
              </w:rPr>
              <w:t>2.93</w:t>
            </w:r>
          </w:p>
        </w:tc>
        <w:tc>
          <w:tcPr>
            <w:tcW w:w="1112" w:type="dxa"/>
            <w:tcBorders>
              <w:top w:val="nil"/>
              <w:left w:val="nil"/>
              <w:bottom w:val="single" w:color="000000" w:sz="12" w:space="0"/>
              <w:right w:val="nil"/>
            </w:tcBorders>
            <w:shd w:val="clear" w:color="auto" w:fill="FFFFFF"/>
          </w:tcPr>
          <w:p w14:paraId="6B78EB84">
            <w:pPr>
              <w:pStyle w:val="23"/>
              <w:rPr>
                <w:rFonts w:hint="eastAsia" w:ascii="宋体" w:hAnsi="宋体" w:eastAsia="宋体" w:cs="Times New Roman"/>
                <w:color w:val="000000"/>
              </w:rPr>
            </w:pPr>
            <w:r>
              <w:rPr>
                <w:rFonts w:ascii="宋体" w:hAnsi="宋体" w:eastAsia="宋体" w:cs="Times New Roman"/>
                <w:color w:val="000000"/>
              </w:rPr>
              <w:t>0.63–7.50</w:t>
            </w:r>
          </w:p>
        </w:tc>
        <w:tc>
          <w:tcPr>
            <w:tcW w:w="829" w:type="dxa"/>
            <w:tcBorders>
              <w:top w:val="nil"/>
              <w:left w:val="nil"/>
              <w:bottom w:val="single" w:color="000000" w:sz="12" w:space="0"/>
              <w:right w:val="nil"/>
            </w:tcBorders>
            <w:shd w:val="clear" w:color="auto" w:fill="FFFFFF"/>
          </w:tcPr>
          <w:p w14:paraId="0421C066">
            <w:pPr>
              <w:pStyle w:val="23"/>
              <w:rPr>
                <w:rFonts w:hint="eastAsia" w:ascii="宋体" w:hAnsi="宋体" w:eastAsia="宋体" w:cs="Times New Roman"/>
                <w:color w:val="000000"/>
              </w:rPr>
            </w:pPr>
            <w:r>
              <w:rPr>
                <w:rFonts w:ascii="宋体" w:hAnsi="宋体" w:eastAsia="宋体" w:cs="Times New Roman"/>
                <w:color w:val="000000"/>
              </w:rPr>
              <w:t>元/年</w:t>
            </w:r>
          </w:p>
        </w:tc>
        <w:tc>
          <w:tcPr>
            <w:tcW w:w="3227" w:type="dxa"/>
            <w:tcBorders>
              <w:top w:val="nil"/>
              <w:left w:val="nil"/>
              <w:bottom w:val="single" w:color="000000" w:sz="12" w:space="0"/>
              <w:right w:val="nil"/>
            </w:tcBorders>
            <w:shd w:val="clear" w:color="auto" w:fill="FFFFFF"/>
          </w:tcPr>
          <w:p w14:paraId="3CAA00BC">
            <w:pPr>
              <w:pStyle w:val="23"/>
              <w:rPr>
                <w:rFonts w:hint="eastAsia" w:ascii="宋体" w:hAnsi="宋体" w:eastAsia="宋体" w:cs="Times New Roman"/>
                <w:color w:val="000000"/>
              </w:rPr>
            </w:pPr>
            <w:r>
              <w:rPr>
                <w:rFonts w:ascii="宋体" w:hAnsi="宋体" w:eastAsia="宋体" w:cs="Times New Roman"/>
                <w:color w:val="000000"/>
              </w:rPr>
              <w:t>淘宝/京东平台调研 (2024)，自行计算</w:t>
            </w:r>
          </w:p>
        </w:tc>
      </w:tr>
      <w:tr w14:paraId="0AEE00F5">
        <w:tblPrEx>
          <w:tblCellMar>
            <w:top w:w="100" w:type="dxa"/>
            <w:left w:w="100" w:type="dxa"/>
            <w:bottom w:w="100" w:type="dxa"/>
            <w:right w:w="100" w:type="dxa"/>
          </w:tblCellMar>
        </w:tblPrEx>
        <w:trPr>
          <w:trHeight w:val="432" w:hRule="atLeast"/>
          <w:tblCellSpacing w:w="11" w:type="dxa"/>
        </w:trPr>
        <w:tc>
          <w:tcPr>
            <w:tcW w:w="8725" w:type="dxa"/>
            <w:gridSpan w:val="6"/>
            <w:tcBorders>
              <w:top w:val="single" w:color="000000" w:sz="12" w:space="0"/>
              <w:left w:val="nil"/>
              <w:bottom w:val="single" w:color="000000" w:sz="4" w:space="0"/>
              <w:right w:val="nil"/>
              <w:tl2br w:val="nil"/>
            </w:tcBorders>
            <w:shd w:val="clear" w:color="auto" w:fill="FFFFFF"/>
          </w:tcPr>
          <w:p w14:paraId="4C03DE2E">
            <w:pPr>
              <w:pStyle w:val="23"/>
              <w:rPr>
                <w:rFonts w:hint="eastAsia" w:ascii="宋体" w:hAnsi="宋体" w:eastAsia="宋体" w:cs="Times New Roman"/>
                <w:color w:val="000000"/>
              </w:rPr>
            </w:pPr>
            <w:r>
              <w:rPr>
                <w:rFonts w:hint="eastAsia" w:ascii="宋体" w:hAnsi="宋体" w:eastAsia="宋体" w:cs="Times New Roman"/>
                <w:color w:val="000000"/>
              </w:rPr>
              <w:t>[</w:t>
            </w:r>
            <w:r>
              <w:rPr>
                <w:rFonts w:ascii="宋体" w:hAnsi="宋体" w:eastAsia="宋体" w:cs="Times New Roman"/>
                <w:color w:val="000000"/>
              </w:rPr>
              <w:t>非货币成本</w:t>
            </w:r>
            <w:r>
              <w:rPr>
                <w:rFonts w:hint="eastAsia" w:ascii="宋体" w:hAnsi="宋体" w:eastAsia="宋体" w:cs="Times New Roman"/>
                <w:color w:val="000000"/>
              </w:rPr>
              <w:t>]</w:t>
            </w:r>
          </w:p>
        </w:tc>
      </w:tr>
      <w:tr w14:paraId="491EA591">
        <w:tblPrEx>
          <w:tblCellMar>
            <w:top w:w="100" w:type="dxa"/>
            <w:left w:w="100" w:type="dxa"/>
            <w:bottom w:w="100" w:type="dxa"/>
            <w:right w:w="100" w:type="dxa"/>
          </w:tblCellMar>
        </w:tblPrEx>
        <w:trPr>
          <w:trHeight w:val="736" w:hRule="atLeast"/>
          <w:tblCellSpacing w:w="11" w:type="dxa"/>
        </w:trPr>
        <w:tc>
          <w:tcPr>
            <w:tcW w:w="1222" w:type="dxa"/>
            <w:tcBorders>
              <w:top w:val="single" w:color="000000" w:sz="4" w:space="0"/>
              <w:left w:val="nil"/>
              <w:bottom w:val="nil"/>
              <w:right w:val="nil"/>
            </w:tcBorders>
            <w:shd w:val="clear" w:color="auto" w:fill="FFFFFF"/>
          </w:tcPr>
          <w:p w14:paraId="2B48972F">
            <w:pPr>
              <w:pStyle w:val="23"/>
              <w:rPr>
                <w:rFonts w:hint="eastAsia" w:ascii="宋体" w:hAnsi="宋体" w:eastAsia="宋体" w:cs="Times New Roman"/>
                <w:color w:val="000000"/>
              </w:rPr>
            </w:pPr>
            <w:r>
              <w:rPr>
                <w:rFonts w:ascii="宋体" w:hAnsi="宋体" w:eastAsia="宋体" w:cs="Times New Roman"/>
                <w:color w:val="000000"/>
              </w:rPr>
              <w:t>餐具清洁时间</w:t>
            </w:r>
          </w:p>
        </w:tc>
        <w:tc>
          <w:tcPr>
            <w:tcW w:w="1255" w:type="dxa"/>
            <w:tcBorders>
              <w:top w:val="single" w:color="000000" w:sz="4" w:space="0"/>
              <w:left w:val="nil"/>
              <w:bottom w:val="nil"/>
              <w:right w:val="nil"/>
            </w:tcBorders>
            <w:shd w:val="clear" w:color="auto" w:fill="FFFFFF"/>
          </w:tcPr>
          <w:p w14:paraId="7AE65F68">
            <w:pPr>
              <w:pStyle w:val="23"/>
              <w:rPr>
                <w:rFonts w:hint="eastAsia" w:ascii="宋体" w:hAnsi="宋体" w:eastAsia="宋体" w:cs="Times New Roman"/>
                <w:color w:val="000000"/>
              </w:rPr>
            </w:pPr>
            <w:r>
              <w:rPr>
                <w:rFonts w:ascii="宋体" w:hAnsi="宋体" w:eastAsia="宋体" w:cs="Times New Roman"/>
                <w:color w:val="000000"/>
              </w:rPr>
              <w:t>每次外卖餐后清洁餐具所需时间</w:t>
            </w:r>
          </w:p>
        </w:tc>
        <w:tc>
          <w:tcPr>
            <w:tcW w:w="970" w:type="dxa"/>
            <w:tcBorders>
              <w:top w:val="single" w:color="000000" w:sz="4" w:space="0"/>
              <w:left w:val="nil"/>
              <w:bottom w:val="nil"/>
              <w:right w:val="nil"/>
            </w:tcBorders>
            <w:shd w:val="clear" w:color="auto" w:fill="FFFFFF"/>
          </w:tcPr>
          <w:p w14:paraId="0DBC6093">
            <w:pPr>
              <w:pStyle w:val="23"/>
              <w:rPr>
                <w:rFonts w:hint="eastAsia" w:ascii="宋体" w:hAnsi="宋体" w:eastAsia="宋体" w:cs="Times New Roman"/>
                <w:color w:val="000000"/>
              </w:rPr>
            </w:pPr>
            <w:r>
              <w:rPr>
                <w:rFonts w:ascii="宋体" w:hAnsi="宋体" w:eastAsia="宋体" w:cs="Times New Roman"/>
                <w:color w:val="000000"/>
              </w:rPr>
              <w:t>1</w:t>
            </w:r>
          </w:p>
        </w:tc>
        <w:tc>
          <w:tcPr>
            <w:tcW w:w="1112" w:type="dxa"/>
            <w:tcBorders>
              <w:top w:val="single" w:color="000000" w:sz="4" w:space="0"/>
              <w:left w:val="nil"/>
              <w:bottom w:val="nil"/>
              <w:right w:val="nil"/>
            </w:tcBorders>
            <w:shd w:val="clear" w:color="auto" w:fill="FFFFFF"/>
          </w:tcPr>
          <w:p w14:paraId="2610385A">
            <w:pPr>
              <w:pStyle w:val="23"/>
              <w:rPr>
                <w:rFonts w:hint="eastAsia" w:ascii="宋体" w:hAnsi="宋体" w:eastAsia="宋体" w:cs="Times New Roman"/>
                <w:color w:val="000000"/>
              </w:rPr>
            </w:pPr>
            <w:r>
              <w:rPr>
                <w:rFonts w:ascii="宋体" w:hAnsi="宋体" w:eastAsia="宋体" w:cs="Times New Roman"/>
                <w:color w:val="000000"/>
              </w:rPr>
              <w:t>0.5–2</w:t>
            </w:r>
          </w:p>
        </w:tc>
        <w:tc>
          <w:tcPr>
            <w:tcW w:w="829" w:type="dxa"/>
            <w:tcBorders>
              <w:top w:val="single" w:color="000000" w:sz="4" w:space="0"/>
              <w:left w:val="nil"/>
              <w:bottom w:val="nil"/>
              <w:right w:val="nil"/>
            </w:tcBorders>
            <w:shd w:val="clear" w:color="auto" w:fill="FFFFFF"/>
          </w:tcPr>
          <w:p w14:paraId="46E1EF4E">
            <w:pPr>
              <w:pStyle w:val="23"/>
              <w:rPr>
                <w:rFonts w:hint="eastAsia" w:ascii="宋体" w:hAnsi="宋体" w:eastAsia="宋体" w:cs="Times New Roman"/>
                <w:color w:val="000000"/>
              </w:rPr>
            </w:pPr>
            <w:r>
              <w:rPr>
                <w:rFonts w:ascii="宋体" w:hAnsi="宋体" w:eastAsia="宋体" w:cs="Times New Roman"/>
                <w:color w:val="000000"/>
              </w:rPr>
              <w:t>分钟/次</w:t>
            </w:r>
          </w:p>
        </w:tc>
        <w:tc>
          <w:tcPr>
            <w:tcW w:w="3227" w:type="dxa"/>
            <w:tcBorders>
              <w:top w:val="single" w:color="000000" w:sz="4" w:space="0"/>
              <w:left w:val="nil"/>
              <w:bottom w:val="nil"/>
              <w:right w:val="nil"/>
            </w:tcBorders>
            <w:shd w:val="clear" w:color="auto" w:fill="FFFFFF"/>
          </w:tcPr>
          <w:p w14:paraId="52CC2B98">
            <w:pPr>
              <w:pStyle w:val="23"/>
              <w:rPr>
                <w:rFonts w:hint="eastAsia" w:ascii="宋体" w:hAnsi="宋体" w:eastAsia="宋体" w:cs="Times New Roman"/>
                <w:color w:val="000000"/>
              </w:rPr>
            </w:pPr>
            <w:r>
              <w:rPr>
                <w:rFonts w:ascii="宋体" w:hAnsi="宋体" w:eastAsia="宋体" w:cs="Times New Roman"/>
                <w:color w:val="000000"/>
              </w:rPr>
              <w:t>作者估算</w:t>
            </w:r>
          </w:p>
        </w:tc>
      </w:tr>
      <w:tr w14:paraId="5D6F78AB">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single" w:color="000000" w:sz="12" w:space="0"/>
              <w:right w:val="nil"/>
            </w:tcBorders>
            <w:shd w:val="clear" w:color="auto" w:fill="FFFFFF"/>
          </w:tcPr>
          <w:p w14:paraId="02F9A787">
            <w:pPr>
              <w:pStyle w:val="23"/>
              <w:rPr>
                <w:rFonts w:hint="eastAsia" w:ascii="宋体" w:hAnsi="宋体" w:eastAsia="宋体" w:cs="Times New Roman"/>
                <w:color w:val="000000"/>
              </w:rPr>
            </w:pPr>
            <w:r>
              <w:rPr>
                <w:rFonts w:ascii="宋体" w:hAnsi="宋体" w:eastAsia="宋体" w:cs="Times New Roman"/>
                <w:color w:val="000000"/>
              </w:rPr>
              <w:t>时间机会成本</w:t>
            </w:r>
          </w:p>
        </w:tc>
        <w:tc>
          <w:tcPr>
            <w:tcW w:w="1255" w:type="dxa"/>
            <w:tcBorders>
              <w:top w:val="nil"/>
              <w:left w:val="nil"/>
              <w:bottom w:val="single" w:color="000000" w:sz="12" w:space="0"/>
              <w:right w:val="nil"/>
            </w:tcBorders>
            <w:shd w:val="clear" w:color="auto" w:fill="FFFFFF"/>
          </w:tcPr>
          <w:p w14:paraId="58E1323A">
            <w:pPr>
              <w:pStyle w:val="23"/>
              <w:rPr>
                <w:rFonts w:hint="eastAsia" w:ascii="宋体" w:hAnsi="宋体" w:eastAsia="宋体" w:cs="Times New Roman"/>
                <w:color w:val="000000"/>
              </w:rPr>
            </w:pPr>
            <w:r>
              <w:rPr>
                <w:rFonts w:ascii="宋体" w:hAnsi="宋体" w:eastAsia="宋体" w:cs="Times New Roman"/>
                <w:color w:val="000000"/>
              </w:rPr>
              <w:t>单位时间的机会成本（时薪）</w:t>
            </w:r>
          </w:p>
        </w:tc>
        <w:tc>
          <w:tcPr>
            <w:tcW w:w="970" w:type="dxa"/>
            <w:tcBorders>
              <w:top w:val="nil"/>
              <w:left w:val="nil"/>
              <w:bottom w:val="single" w:color="000000" w:sz="12" w:space="0"/>
              <w:right w:val="nil"/>
            </w:tcBorders>
            <w:shd w:val="clear" w:color="auto" w:fill="FFFFFF"/>
          </w:tcPr>
          <w:p w14:paraId="662867B4">
            <w:pPr>
              <w:pStyle w:val="23"/>
              <w:rPr>
                <w:rFonts w:hint="eastAsia" w:ascii="宋体" w:hAnsi="宋体" w:eastAsia="宋体" w:cs="Times New Roman"/>
                <w:color w:val="000000"/>
              </w:rPr>
            </w:pPr>
            <w:r>
              <w:rPr>
                <w:rFonts w:ascii="宋体" w:hAnsi="宋体" w:eastAsia="宋体" w:cs="Times New Roman"/>
                <w:color w:val="000000"/>
              </w:rPr>
              <w:t>30.69</w:t>
            </w:r>
          </w:p>
        </w:tc>
        <w:tc>
          <w:tcPr>
            <w:tcW w:w="1112" w:type="dxa"/>
            <w:tcBorders>
              <w:top w:val="nil"/>
              <w:left w:val="nil"/>
              <w:bottom w:val="single" w:color="000000" w:sz="12" w:space="0"/>
              <w:right w:val="nil"/>
            </w:tcBorders>
            <w:shd w:val="clear" w:color="auto" w:fill="FFFFFF"/>
          </w:tcPr>
          <w:p w14:paraId="3F9617E8">
            <w:pPr>
              <w:pStyle w:val="23"/>
              <w:rPr>
                <w:rFonts w:hint="eastAsia" w:ascii="宋体" w:hAnsi="宋体" w:eastAsia="宋体" w:cs="Times New Roman"/>
                <w:color w:val="000000"/>
              </w:rPr>
            </w:pPr>
            <w:r>
              <w:rPr>
                <w:rFonts w:ascii="宋体" w:hAnsi="宋体" w:eastAsia="宋体" w:cs="Times New Roman"/>
                <w:color w:val="000000"/>
              </w:rPr>
              <w:t>12.28–49.11</w:t>
            </w:r>
          </w:p>
        </w:tc>
        <w:tc>
          <w:tcPr>
            <w:tcW w:w="829" w:type="dxa"/>
            <w:tcBorders>
              <w:top w:val="nil"/>
              <w:left w:val="nil"/>
              <w:bottom w:val="single" w:color="000000" w:sz="12" w:space="0"/>
              <w:right w:val="nil"/>
            </w:tcBorders>
            <w:shd w:val="clear" w:color="auto" w:fill="FFFFFF"/>
          </w:tcPr>
          <w:p w14:paraId="49DB61E0">
            <w:pPr>
              <w:pStyle w:val="23"/>
              <w:rPr>
                <w:rFonts w:hint="eastAsia" w:ascii="宋体" w:hAnsi="宋体" w:eastAsia="宋体" w:cs="Times New Roman"/>
                <w:color w:val="000000"/>
              </w:rPr>
            </w:pPr>
            <w:r>
              <w:rPr>
                <w:rFonts w:ascii="宋体" w:hAnsi="宋体" w:eastAsia="宋体" w:cs="Times New Roman"/>
                <w:color w:val="000000"/>
              </w:rPr>
              <w:t>元/小时</w:t>
            </w:r>
          </w:p>
        </w:tc>
        <w:tc>
          <w:tcPr>
            <w:tcW w:w="3227" w:type="dxa"/>
            <w:tcBorders>
              <w:top w:val="nil"/>
              <w:left w:val="nil"/>
              <w:bottom w:val="single" w:color="000000" w:sz="12" w:space="0"/>
              <w:right w:val="nil"/>
            </w:tcBorders>
            <w:shd w:val="clear" w:color="auto" w:fill="FFFFFF"/>
          </w:tcPr>
          <w:p w14:paraId="6EAB3543">
            <w:pPr>
              <w:pStyle w:val="23"/>
              <w:rPr>
                <w:rFonts w:hint="eastAsia" w:ascii="宋体" w:hAnsi="宋体" w:eastAsia="宋体" w:cs="Times New Roman"/>
                <w:color w:val="000000"/>
              </w:rPr>
            </w:pPr>
            <w:r>
              <w:rPr>
                <w:rFonts w:ascii="宋体" w:hAnsi="宋体" w:eastAsia="宋体" w:cs="Times New Roman"/>
                <w:color w:val="000000"/>
              </w:rPr>
              <w:t>中国统计年鉴 (2024)；中国人口与就业统计年鉴 (2021)</w:t>
            </w:r>
          </w:p>
        </w:tc>
      </w:tr>
      <w:tr w14:paraId="213C18B2">
        <w:tblPrEx>
          <w:tblCellMar>
            <w:top w:w="100" w:type="dxa"/>
            <w:left w:w="100" w:type="dxa"/>
            <w:bottom w:w="100" w:type="dxa"/>
            <w:right w:w="100" w:type="dxa"/>
          </w:tblCellMar>
        </w:tblPrEx>
        <w:trPr>
          <w:trHeight w:val="432" w:hRule="atLeast"/>
          <w:tblCellSpacing w:w="11" w:type="dxa"/>
        </w:trPr>
        <w:tc>
          <w:tcPr>
            <w:tcW w:w="8725" w:type="dxa"/>
            <w:gridSpan w:val="6"/>
            <w:tcBorders>
              <w:top w:val="single" w:color="000000" w:sz="12" w:space="0"/>
              <w:left w:val="nil"/>
              <w:bottom w:val="single" w:color="000000" w:sz="4" w:space="0"/>
              <w:right w:val="nil"/>
              <w:tl2br w:val="nil"/>
            </w:tcBorders>
            <w:shd w:val="clear" w:color="auto" w:fill="FFFFFF"/>
          </w:tcPr>
          <w:p w14:paraId="481A6B16">
            <w:pPr>
              <w:pStyle w:val="23"/>
              <w:rPr>
                <w:rFonts w:hint="eastAsia" w:ascii="宋体" w:hAnsi="宋体" w:eastAsia="宋体" w:cs="Times New Roman"/>
                <w:color w:val="000000"/>
              </w:rPr>
            </w:pPr>
            <w:r>
              <w:rPr>
                <w:rFonts w:hint="eastAsia" w:ascii="宋体" w:hAnsi="宋体" w:eastAsia="宋体" w:cs="Times New Roman"/>
                <w:color w:val="000000"/>
              </w:rPr>
              <w:t>[</w:t>
            </w:r>
            <w:r>
              <w:rPr>
                <w:rFonts w:ascii="宋体" w:hAnsi="宋体" w:eastAsia="宋体" w:cs="Times New Roman"/>
                <w:color w:val="000000"/>
              </w:rPr>
              <w:t>碳排放核算</w:t>
            </w:r>
            <w:r>
              <w:rPr>
                <w:rFonts w:hint="eastAsia" w:ascii="宋体" w:hAnsi="宋体" w:eastAsia="宋体" w:cs="Times New Roman"/>
                <w:color w:val="000000"/>
              </w:rPr>
              <w:t>]</w:t>
            </w:r>
          </w:p>
        </w:tc>
      </w:tr>
      <w:tr w14:paraId="0FBCE27A">
        <w:tblPrEx>
          <w:tblCellMar>
            <w:top w:w="100" w:type="dxa"/>
            <w:left w:w="100" w:type="dxa"/>
            <w:bottom w:w="100" w:type="dxa"/>
            <w:right w:w="100" w:type="dxa"/>
          </w:tblCellMar>
        </w:tblPrEx>
        <w:trPr>
          <w:trHeight w:val="736" w:hRule="atLeast"/>
          <w:tblCellSpacing w:w="11" w:type="dxa"/>
        </w:trPr>
        <w:tc>
          <w:tcPr>
            <w:tcW w:w="1222" w:type="dxa"/>
            <w:tcBorders>
              <w:top w:val="single" w:color="000000" w:sz="4" w:space="0"/>
              <w:left w:val="nil"/>
              <w:bottom w:val="nil"/>
              <w:right w:val="nil"/>
            </w:tcBorders>
            <w:shd w:val="clear" w:color="auto" w:fill="FFFFFF"/>
          </w:tcPr>
          <w:p w14:paraId="41918D17">
            <w:pPr>
              <w:pStyle w:val="23"/>
              <w:rPr>
                <w:rFonts w:hint="eastAsia" w:ascii="宋体" w:hAnsi="宋体" w:eastAsia="宋体" w:cs="Times New Roman"/>
                <w:color w:val="000000"/>
              </w:rPr>
            </w:pPr>
            <w:r>
              <w:rPr>
                <w:rFonts w:ascii="宋体" w:hAnsi="宋体" w:eastAsia="宋体" w:cs="Times New Roman"/>
                <w:color w:val="000000"/>
              </w:rPr>
              <w:t>一次性餐具碳排放因子</w:t>
            </w:r>
          </w:p>
        </w:tc>
        <w:tc>
          <w:tcPr>
            <w:tcW w:w="1255" w:type="dxa"/>
            <w:tcBorders>
              <w:top w:val="single" w:color="000000" w:sz="4" w:space="0"/>
              <w:left w:val="nil"/>
              <w:bottom w:val="nil"/>
              <w:right w:val="nil"/>
            </w:tcBorders>
            <w:shd w:val="clear" w:color="auto" w:fill="FFFFFF"/>
          </w:tcPr>
          <w:p w14:paraId="5E347EC1">
            <w:pPr>
              <w:pStyle w:val="23"/>
              <w:rPr>
                <w:rFonts w:hint="eastAsia" w:ascii="宋体" w:hAnsi="宋体" w:eastAsia="宋体" w:cs="Times New Roman"/>
                <w:color w:val="000000"/>
              </w:rPr>
            </w:pPr>
            <w:r>
              <w:rPr>
                <w:rFonts w:ascii="宋体" w:hAnsi="宋体" w:eastAsia="宋体" w:cs="Times New Roman"/>
                <w:color w:val="000000"/>
              </w:rPr>
              <w:t>每次外卖一次性餐具的碳当量排放</w:t>
            </w:r>
          </w:p>
        </w:tc>
        <w:tc>
          <w:tcPr>
            <w:tcW w:w="970" w:type="dxa"/>
            <w:tcBorders>
              <w:top w:val="single" w:color="000000" w:sz="4" w:space="0"/>
              <w:left w:val="nil"/>
              <w:bottom w:val="nil"/>
              <w:right w:val="nil"/>
            </w:tcBorders>
            <w:shd w:val="clear" w:color="auto" w:fill="FFFFFF"/>
          </w:tcPr>
          <w:p w14:paraId="55D9A9D1">
            <w:pPr>
              <w:pStyle w:val="23"/>
              <w:rPr>
                <w:rFonts w:hint="eastAsia" w:ascii="宋体" w:hAnsi="宋体" w:eastAsia="宋体" w:cs="Times New Roman"/>
                <w:color w:val="000000"/>
              </w:rPr>
            </w:pPr>
            <w:r>
              <w:rPr>
                <w:rFonts w:ascii="宋体" w:hAnsi="宋体" w:eastAsia="宋体" w:cs="Times New Roman"/>
                <w:color w:val="000000"/>
              </w:rPr>
              <w:t>21.85</w:t>
            </w:r>
          </w:p>
        </w:tc>
        <w:tc>
          <w:tcPr>
            <w:tcW w:w="1112" w:type="dxa"/>
            <w:tcBorders>
              <w:top w:val="single" w:color="000000" w:sz="4" w:space="0"/>
              <w:left w:val="nil"/>
              <w:bottom w:val="nil"/>
              <w:right w:val="nil"/>
            </w:tcBorders>
            <w:shd w:val="clear" w:color="auto" w:fill="FFFFFF"/>
          </w:tcPr>
          <w:p w14:paraId="1A8181BE">
            <w:pPr>
              <w:pStyle w:val="23"/>
              <w:rPr>
                <w:rFonts w:hint="eastAsia" w:ascii="宋体" w:hAnsi="宋体" w:eastAsia="宋体" w:cs="Times New Roman"/>
                <w:color w:val="000000"/>
              </w:rPr>
            </w:pPr>
            <w:r>
              <w:rPr>
                <w:rFonts w:ascii="宋体" w:hAnsi="宋体" w:eastAsia="宋体" w:cs="Times New Roman"/>
                <w:color w:val="000000"/>
              </w:rPr>
              <w:t>—</w:t>
            </w:r>
          </w:p>
        </w:tc>
        <w:tc>
          <w:tcPr>
            <w:tcW w:w="829" w:type="dxa"/>
            <w:tcBorders>
              <w:top w:val="single" w:color="000000" w:sz="4" w:space="0"/>
              <w:left w:val="nil"/>
              <w:bottom w:val="nil"/>
              <w:right w:val="nil"/>
            </w:tcBorders>
            <w:shd w:val="clear" w:color="auto" w:fill="FFFFFF"/>
          </w:tcPr>
          <w:p w14:paraId="3820FAFE">
            <w:pPr>
              <w:pStyle w:val="23"/>
              <w:rPr>
                <w:rFonts w:hint="eastAsia" w:ascii="宋体" w:hAnsi="宋体" w:eastAsia="宋体" w:cs="Times New Roman"/>
                <w:color w:val="000000"/>
              </w:rPr>
            </w:pPr>
            <w:r>
              <w:rPr>
                <w:rFonts w:ascii="宋体" w:hAnsi="宋体" w:eastAsia="宋体" w:cs="Times New Roman"/>
                <w:color w:val="000000"/>
              </w:rPr>
              <w:t>gCO</w:t>
            </w:r>
            <w:r>
              <w:rPr>
                <w:rFonts w:ascii="Cambria Math" w:hAnsi="Cambria Math" w:eastAsia="宋体" w:cs="Cambria Math"/>
                <w:color w:val="000000"/>
              </w:rPr>
              <w:t>₂</w:t>
            </w:r>
            <w:r>
              <w:rPr>
                <w:rFonts w:ascii="宋体" w:hAnsi="宋体" w:eastAsia="宋体" w:cs="Times New Roman"/>
                <w:color w:val="000000"/>
              </w:rPr>
              <w:t>e/次</w:t>
            </w:r>
          </w:p>
        </w:tc>
        <w:tc>
          <w:tcPr>
            <w:tcW w:w="3227" w:type="dxa"/>
            <w:tcBorders>
              <w:top w:val="single" w:color="000000" w:sz="4" w:space="0"/>
              <w:left w:val="nil"/>
              <w:bottom w:val="nil"/>
              <w:right w:val="nil"/>
            </w:tcBorders>
            <w:shd w:val="clear" w:color="auto" w:fill="FFFFFF"/>
          </w:tcPr>
          <w:p w14:paraId="0238365A">
            <w:pPr>
              <w:pStyle w:val="23"/>
              <w:rPr>
                <w:rFonts w:hint="eastAsia" w:ascii="宋体" w:hAnsi="宋体" w:eastAsia="宋体" w:cs="Times New Roman"/>
                <w:color w:val="000000"/>
              </w:rPr>
            </w:pPr>
            <w:r>
              <w:rPr>
                <w:rFonts w:ascii="宋体" w:hAnsi="宋体" w:eastAsia="宋体" w:cs="Times New Roman"/>
                <w:color w:val="000000"/>
              </w:rPr>
              <w:t>Zhou et al. (2020), Nature Food；Xie et al. (2021)</w:t>
            </w:r>
          </w:p>
        </w:tc>
      </w:tr>
      <w:tr w14:paraId="4FDD9BA3">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nil"/>
              <w:right w:val="nil"/>
            </w:tcBorders>
            <w:shd w:val="clear" w:color="auto" w:fill="FFFFFF"/>
          </w:tcPr>
          <w:p w14:paraId="7FDFA3D1">
            <w:pPr>
              <w:pStyle w:val="23"/>
              <w:rPr>
                <w:rFonts w:hint="eastAsia" w:ascii="宋体" w:hAnsi="宋体" w:eastAsia="宋体" w:cs="Times New Roman"/>
                <w:color w:val="000000"/>
              </w:rPr>
            </w:pPr>
            <w:r>
              <w:rPr>
                <w:rFonts w:ascii="宋体" w:hAnsi="宋体" w:eastAsia="宋体" w:cs="Times New Roman"/>
                <w:color w:val="000000"/>
              </w:rPr>
              <w:t>可重复餐具全生命周期排放</w:t>
            </w:r>
          </w:p>
        </w:tc>
        <w:tc>
          <w:tcPr>
            <w:tcW w:w="1255" w:type="dxa"/>
            <w:tcBorders>
              <w:top w:val="nil"/>
              <w:left w:val="nil"/>
              <w:bottom w:val="nil"/>
              <w:right w:val="nil"/>
            </w:tcBorders>
            <w:shd w:val="clear" w:color="auto" w:fill="FFFFFF"/>
          </w:tcPr>
          <w:p w14:paraId="54AF3412">
            <w:pPr>
              <w:pStyle w:val="23"/>
              <w:rPr>
                <w:rFonts w:hint="eastAsia" w:ascii="宋体" w:hAnsi="宋体" w:eastAsia="宋体" w:cs="Times New Roman"/>
                <w:color w:val="000000"/>
              </w:rPr>
            </w:pPr>
            <w:r>
              <w:rPr>
                <w:rFonts w:ascii="宋体" w:hAnsi="宋体" w:eastAsia="宋体" w:cs="Times New Roman"/>
                <w:color w:val="000000"/>
              </w:rPr>
              <w:t>可重复餐具年碳排放量</w:t>
            </w:r>
          </w:p>
        </w:tc>
        <w:tc>
          <w:tcPr>
            <w:tcW w:w="970" w:type="dxa"/>
            <w:tcBorders>
              <w:top w:val="nil"/>
              <w:left w:val="nil"/>
              <w:bottom w:val="nil"/>
              <w:right w:val="nil"/>
            </w:tcBorders>
            <w:shd w:val="clear" w:color="auto" w:fill="FFFFFF"/>
          </w:tcPr>
          <w:p w14:paraId="61B76222">
            <w:pPr>
              <w:pStyle w:val="23"/>
              <w:rPr>
                <w:rFonts w:hint="eastAsia" w:ascii="宋体" w:hAnsi="宋体" w:eastAsia="宋体" w:cs="Times New Roman"/>
                <w:color w:val="000000"/>
              </w:rPr>
            </w:pPr>
            <w:r>
              <w:rPr>
                <w:rFonts w:ascii="宋体" w:hAnsi="宋体" w:eastAsia="宋体" w:cs="Times New Roman"/>
                <w:color w:val="000000"/>
              </w:rPr>
              <w:t>97.22</w:t>
            </w:r>
          </w:p>
        </w:tc>
        <w:tc>
          <w:tcPr>
            <w:tcW w:w="1112" w:type="dxa"/>
            <w:tcBorders>
              <w:top w:val="nil"/>
              <w:left w:val="nil"/>
              <w:bottom w:val="nil"/>
              <w:right w:val="nil"/>
            </w:tcBorders>
            <w:shd w:val="clear" w:color="auto" w:fill="FFFFFF"/>
          </w:tcPr>
          <w:p w14:paraId="0F20229E">
            <w:pPr>
              <w:pStyle w:val="23"/>
              <w:rPr>
                <w:rFonts w:hint="eastAsia" w:ascii="宋体" w:hAnsi="宋体" w:eastAsia="宋体" w:cs="Times New Roman"/>
                <w:color w:val="000000"/>
              </w:rPr>
            </w:pPr>
            <w:r>
              <w:rPr>
                <w:rFonts w:ascii="宋体" w:hAnsi="宋体" w:eastAsia="宋体" w:cs="Times New Roman"/>
                <w:color w:val="000000"/>
              </w:rPr>
              <w:t>—</w:t>
            </w:r>
          </w:p>
        </w:tc>
        <w:tc>
          <w:tcPr>
            <w:tcW w:w="829" w:type="dxa"/>
            <w:tcBorders>
              <w:top w:val="nil"/>
              <w:left w:val="nil"/>
              <w:bottom w:val="nil"/>
              <w:right w:val="nil"/>
            </w:tcBorders>
            <w:shd w:val="clear" w:color="auto" w:fill="FFFFFF"/>
          </w:tcPr>
          <w:p w14:paraId="42E78350">
            <w:pPr>
              <w:pStyle w:val="23"/>
              <w:rPr>
                <w:rFonts w:hint="eastAsia" w:ascii="宋体" w:hAnsi="宋体" w:eastAsia="宋体" w:cs="Times New Roman"/>
                <w:color w:val="000000"/>
              </w:rPr>
            </w:pPr>
            <w:r>
              <w:rPr>
                <w:rFonts w:ascii="宋体" w:hAnsi="宋体" w:eastAsia="宋体" w:cs="Times New Roman"/>
                <w:color w:val="000000"/>
              </w:rPr>
              <w:t>gCO</w:t>
            </w:r>
            <w:r>
              <w:rPr>
                <w:rFonts w:ascii="Cambria Math" w:hAnsi="Cambria Math" w:eastAsia="宋体" w:cs="Cambria Math"/>
                <w:color w:val="000000"/>
              </w:rPr>
              <w:t>₂</w:t>
            </w:r>
            <w:r>
              <w:rPr>
                <w:rFonts w:ascii="宋体" w:hAnsi="宋体" w:eastAsia="宋体" w:cs="Times New Roman"/>
                <w:color w:val="000000"/>
              </w:rPr>
              <w:t>e/年</w:t>
            </w:r>
          </w:p>
        </w:tc>
        <w:tc>
          <w:tcPr>
            <w:tcW w:w="3227" w:type="dxa"/>
            <w:tcBorders>
              <w:top w:val="nil"/>
              <w:left w:val="nil"/>
              <w:bottom w:val="nil"/>
              <w:right w:val="nil"/>
            </w:tcBorders>
            <w:shd w:val="clear" w:color="auto" w:fill="FFFFFF"/>
          </w:tcPr>
          <w:p w14:paraId="382E5ABE">
            <w:pPr>
              <w:pStyle w:val="23"/>
              <w:rPr>
                <w:rFonts w:hint="eastAsia" w:ascii="宋体" w:hAnsi="宋体" w:eastAsia="宋体" w:cs="Times New Roman"/>
                <w:color w:val="000000"/>
              </w:rPr>
            </w:pPr>
            <w:r>
              <w:rPr>
                <w:rFonts w:ascii="宋体" w:hAnsi="宋体" w:eastAsia="宋体" w:cs="Times New Roman"/>
                <w:color w:val="000000"/>
              </w:rPr>
              <w:t>Zhou et al. (2020); Jing et al. (2019)</w:t>
            </w:r>
          </w:p>
        </w:tc>
      </w:tr>
      <w:tr w14:paraId="03483FF4">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nil"/>
              <w:right w:val="nil"/>
            </w:tcBorders>
            <w:shd w:val="clear" w:color="auto" w:fill="FFFFFF"/>
          </w:tcPr>
          <w:p w14:paraId="56C7293B">
            <w:pPr>
              <w:pStyle w:val="23"/>
              <w:rPr>
                <w:rFonts w:hint="eastAsia" w:ascii="宋体" w:hAnsi="宋体" w:eastAsia="宋体" w:cs="Times New Roman"/>
                <w:color w:val="000000"/>
              </w:rPr>
            </w:pPr>
            <w:r>
              <w:rPr>
                <w:rFonts w:ascii="宋体" w:hAnsi="宋体" w:eastAsia="宋体" w:cs="Times New Roman"/>
                <w:color w:val="000000"/>
              </w:rPr>
              <w:t>社会碳成本 (SCC)</w:t>
            </w:r>
          </w:p>
        </w:tc>
        <w:tc>
          <w:tcPr>
            <w:tcW w:w="1255" w:type="dxa"/>
            <w:tcBorders>
              <w:top w:val="nil"/>
              <w:left w:val="nil"/>
              <w:bottom w:val="nil"/>
              <w:right w:val="nil"/>
            </w:tcBorders>
            <w:shd w:val="clear" w:color="auto" w:fill="FFFFFF"/>
          </w:tcPr>
          <w:p w14:paraId="32D99C54">
            <w:pPr>
              <w:pStyle w:val="23"/>
              <w:rPr>
                <w:rFonts w:hint="eastAsia" w:ascii="宋体" w:hAnsi="宋体" w:eastAsia="宋体" w:cs="Times New Roman"/>
                <w:color w:val="000000"/>
              </w:rPr>
            </w:pPr>
            <w:r>
              <w:rPr>
                <w:rFonts w:ascii="宋体" w:hAnsi="宋体" w:eastAsia="宋体" w:cs="Times New Roman"/>
                <w:color w:val="000000"/>
              </w:rPr>
              <w:t>每吨碳当量的社会成本</w:t>
            </w:r>
          </w:p>
        </w:tc>
        <w:tc>
          <w:tcPr>
            <w:tcW w:w="970" w:type="dxa"/>
            <w:tcBorders>
              <w:top w:val="nil"/>
              <w:left w:val="nil"/>
              <w:bottom w:val="nil"/>
              <w:right w:val="nil"/>
            </w:tcBorders>
            <w:shd w:val="clear" w:color="auto" w:fill="FFFFFF"/>
          </w:tcPr>
          <w:p w14:paraId="66B77981">
            <w:pPr>
              <w:pStyle w:val="23"/>
              <w:rPr>
                <w:rFonts w:hint="eastAsia" w:ascii="宋体" w:hAnsi="宋体" w:eastAsia="宋体" w:cs="Times New Roman"/>
                <w:color w:val="000000"/>
              </w:rPr>
            </w:pPr>
            <w:r>
              <w:rPr>
                <w:rFonts w:ascii="宋体" w:hAnsi="宋体" w:eastAsia="宋体" w:cs="Times New Roman"/>
                <w:color w:val="000000"/>
              </w:rPr>
              <w:t>185</w:t>
            </w:r>
          </w:p>
        </w:tc>
        <w:tc>
          <w:tcPr>
            <w:tcW w:w="1112" w:type="dxa"/>
            <w:tcBorders>
              <w:top w:val="nil"/>
              <w:left w:val="nil"/>
              <w:bottom w:val="nil"/>
              <w:right w:val="nil"/>
            </w:tcBorders>
            <w:shd w:val="clear" w:color="auto" w:fill="FFFFFF"/>
          </w:tcPr>
          <w:p w14:paraId="45673FCE">
            <w:pPr>
              <w:pStyle w:val="23"/>
              <w:rPr>
                <w:rFonts w:hint="eastAsia" w:ascii="宋体" w:hAnsi="宋体" w:eastAsia="宋体" w:cs="Times New Roman"/>
                <w:color w:val="000000"/>
              </w:rPr>
            </w:pPr>
            <w:r>
              <w:rPr>
                <w:rFonts w:ascii="宋体" w:hAnsi="宋体" w:eastAsia="宋体" w:cs="Times New Roman"/>
                <w:color w:val="000000"/>
              </w:rPr>
              <w:t>44–413</w:t>
            </w:r>
          </w:p>
        </w:tc>
        <w:tc>
          <w:tcPr>
            <w:tcW w:w="829" w:type="dxa"/>
            <w:tcBorders>
              <w:top w:val="nil"/>
              <w:left w:val="nil"/>
              <w:bottom w:val="nil"/>
              <w:right w:val="nil"/>
            </w:tcBorders>
            <w:shd w:val="clear" w:color="auto" w:fill="FFFFFF"/>
          </w:tcPr>
          <w:p w14:paraId="570B562D">
            <w:pPr>
              <w:pStyle w:val="23"/>
              <w:rPr>
                <w:rFonts w:hint="eastAsia" w:ascii="宋体" w:hAnsi="宋体" w:eastAsia="宋体" w:cs="Times New Roman"/>
                <w:color w:val="000000"/>
              </w:rPr>
            </w:pPr>
            <w:r>
              <w:rPr>
                <w:rFonts w:ascii="宋体" w:hAnsi="宋体" w:eastAsia="宋体" w:cs="Times New Roman"/>
                <w:color w:val="000000"/>
              </w:rPr>
              <w:t>美元/tCO</w:t>
            </w:r>
            <w:r>
              <w:rPr>
                <w:rFonts w:ascii="Cambria Math" w:hAnsi="Cambria Math" w:eastAsia="宋体" w:cs="Cambria Math"/>
                <w:color w:val="000000"/>
              </w:rPr>
              <w:t>₂</w:t>
            </w:r>
            <w:r>
              <w:rPr>
                <w:rFonts w:ascii="宋体" w:hAnsi="宋体" w:eastAsia="宋体" w:cs="Times New Roman"/>
                <w:color w:val="000000"/>
              </w:rPr>
              <w:t>e</w:t>
            </w:r>
          </w:p>
        </w:tc>
        <w:tc>
          <w:tcPr>
            <w:tcW w:w="3227" w:type="dxa"/>
            <w:tcBorders>
              <w:top w:val="nil"/>
              <w:left w:val="nil"/>
              <w:bottom w:val="nil"/>
              <w:right w:val="nil"/>
            </w:tcBorders>
            <w:shd w:val="clear" w:color="auto" w:fill="FFFFFF"/>
          </w:tcPr>
          <w:p w14:paraId="5B3078E1">
            <w:pPr>
              <w:pStyle w:val="23"/>
              <w:rPr>
                <w:rFonts w:hint="eastAsia" w:ascii="宋体" w:hAnsi="宋体" w:eastAsia="宋体" w:cs="Times New Roman"/>
                <w:color w:val="000000"/>
              </w:rPr>
            </w:pPr>
            <w:r>
              <w:rPr>
                <w:rFonts w:ascii="宋体" w:hAnsi="宋体" w:eastAsia="宋体" w:cs="Times New Roman"/>
                <w:color w:val="000000"/>
              </w:rPr>
              <w:t>Rennert et al. (2022), Nature</w:t>
            </w:r>
          </w:p>
        </w:tc>
      </w:tr>
      <w:tr w14:paraId="059D0B93">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single" w:color="000000" w:sz="12" w:space="0"/>
              <w:right w:val="nil"/>
            </w:tcBorders>
            <w:shd w:val="clear" w:color="auto" w:fill="FFFFFF"/>
          </w:tcPr>
          <w:p w14:paraId="4D83EEDB">
            <w:pPr>
              <w:pStyle w:val="23"/>
              <w:rPr>
                <w:rFonts w:hint="eastAsia" w:ascii="宋体" w:hAnsi="宋体" w:eastAsia="宋体" w:cs="Times New Roman"/>
                <w:color w:val="000000"/>
              </w:rPr>
            </w:pPr>
            <w:r>
              <w:rPr>
                <w:rFonts w:ascii="宋体" w:hAnsi="宋体" w:eastAsia="宋体" w:cs="Times New Roman"/>
                <w:color w:val="000000"/>
              </w:rPr>
              <w:t>人民币/美元汇率</w:t>
            </w:r>
          </w:p>
        </w:tc>
        <w:tc>
          <w:tcPr>
            <w:tcW w:w="1255" w:type="dxa"/>
            <w:tcBorders>
              <w:top w:val="nil"/>
              <w:left w:val="nil"/>
              <w:bottom w:val="single" w:color="000000" w:sz="12" w:space="0"/>
              <w:right w:val="nil"/>
            </w:tcBorders>
            <w:shd w:val="clear" w:color="auto" w:fill="FFFFFF"/>
          </w:tcPr>
          <w:p w14:paraId="4B2378A9">
            <w:pPr>
              <w:pStyle w:val="23"/>
              <w:rPr>
                <w:rFonts w:hint="eastAsia" w:ascii="宋体" w:hAnsi="宋体" w:eastAsia="宋体" w:cs="Times New Roman"/>
                <w:color w:val="000000"/>
              </w:rPr>
            </w:pPr>
            <w:r>
              <w:rPr>
                <w:rFonts w:ascii="宋体" w:hAnsi="宋体" w:eastAsia="宋体" w:cs="Times New Roman"/>
                <w:color w:val="000000"/>
              </w:rPr>
              <w:t>折算系数</w:t>
            </w:r>
          </w:p>
        </w:tc>
        <w:tc>
          <w:tcPr>
            <w:tcW w:w="970" w:type="dxa"/>
            <w:tcBorders>
              <w:top w:val="nil"/>
              <w:left w:val="nil"/>
              <w:bottom w:val="single" w:color="000000" w:sz="12" w:space="0"/>
              <w:right w:val="nil"/>
            </w:tcBorders>
            <w:shd w:val="clear" w:color="auto" w:fill="FFFFFF"/>
          </w:tcPr>
          <w:p w14:paraId="186D7973">
            <w:pPr>
              <w:pStyle w:val="23"/>
              <w:rPr>
                <w:rFonts w:hint="eastAsia" w:ascii="宋体" w:hAnsi="宋体" w:eastAsia="宋体" w:cs="Times New Roman"/>
                <w:color w:val="000000"/>
              </w:rPr>
            </w:pPr>
            <w:r>
              <w:rPr>
                <w:rFonts w:ascii="宋体" w:hAnsi="宋体" w:eastAsia="宋体" w:cs="Times New Roman"/>
                <w:color w:val="000000"/>
              </w:rPr>
              <w:t>7</w:t>
            </w:r>
          </w:p>
        </w:tc>
        <w:tc>
          <w:tcPr>
            <w:tcW w:w="1112" w:type="dxa"/>
            <w:tcBorders>
              <w:top w:val="nil"/>
              <w:left w:val="nil"/>
              <w:bottom w:val="single" w:color="000000" w:sz="12" w:space="0"/>
              <w:right w:val="nil"/>
            </w:tcBorders>
            <w:shd w:val="clear" w:color="auto" w:fill="FFFFFF"/>
          </w:tcPr>
          <w:p w14:paraId="0B095B3D">
            <w:pPr>
              <w:pStyle w:val="23"/>
              <w:rPr>
                <w:rFonts w:hint="eastAsia" w:ascii="宋体" w:hAnsi="宋体" w:eastAsia="宋体" w:cs="Times New Roman"/>
                <w:color w:val="000000"/>
              </w:rPr>
            </w:pPr>
            <w:r>
              <w:rPr>
                <w:rFonts w:ascii="宋体" w:hAnsi="宋体" w:eastAsia="宋体" w:cs="Times New Roman"/>
                <w:color w:val="000000"/>
              </w:rPr>
              <w:t>—</w:t>
            </w:r>
          </w:p>
        </w:tc>
        <w:tc>
          <w:tcPr>
            <w:tcW w:w="829" w:type="dxa"/>
            <w:tcBorders>
              <w:top w:val="nil"/>
              <w:left w:val="nil"/>
              <w:bottom w:val="single" w:color="000000" w:sz="12" w:space="0"/>
              <w:right w:val="nil"/>
            </w:tcBorders>
            <w:shd w:val="clear" w:color="auto" w:fill="FFFFFF"/>
          </w:tcPr>
          <w:p w14:paraId="07935EC0">
            <w:pPr>
              <w:pStyle w:val="23"/>
              <w:rPr>
                <w:rFonts w:hint="eastAsia" w:ascii="宋体" w:hAnsi="宋体" w:eastAsia="宋体" w:cs="Times New Roman"/>
                <w:color w:val="000000"/>
              </w:rPr>
            </w:pPr>
            <w:r>
              <w:rPr>
                <w:rFonts w:ascii="宋体" w:hAnsi="宋体" w:eastAsia="宋体" w:cs="Times New Roman"/>
                <w:color w:val="000000"/>
              </w:rPr>
              <w:t>元/美元</w:t>
            </w:r>
          </w:p>
        </w:tc>
        <w:tc>
          <w:tcPr>
            <w:tcW w:w="3227" w:type="dxa"/>
            <w:tcBorders>
              <w:top w:val="nil"/>
              <w:left w:val="nil"/>
              <w:bottom w:val="single" w:color="000000" w:sz="12" w:space="0"/>
              <w:right w:val="nil"/>
            </w:tcBorders>
            <w:shd w:val="clear" w:color="auto" w:fill="FFFFFF"/>
          </w:tcPr>
          <w:p w14:paraId="72B12DCD">
            <w:pPr>
              <w:pStyle w:val="23"/>
              <w:rPr>
                <w:rFonts w:hint="eastAsia" w:ascii="宋体" w:hAnsi="宋体" w:eastAsia="宋体" w:cs="Times New Roman"/>
                <w:color w:val="000000"/>
              </w:rPr>
            </w:pPr>
            <w:r>
              <w:rPr>
                <w:rFonts w:ascii="宋体" w:hAnsi="宋体" w:eastAsia="宋体" w:cs="Times New Roman"/>
                <w:color w:val="000000"/>
              </w:rPr>
              <w:t>中国人民银行 (2024)</w:t>
            </w:r>
          </w:p>
        </w:tc>
      </w:tr>
      <w:tr w14:paraId="5141107E">
        <w:tblPrEx>
          <w:tblCellMar>
            <w:top w:w="100" w:type="dxa"/>
            <w:left w:w="100" w:type="dxa"/>
            <w:bottom w:w="100" w:type="dxa"/>
            <w:right w:w="100" w:type="dxa"/>
          </w:tblCellMar>
        </w:tblPrEx>
        <w:trPr>
          <w:trHeight w:val="432" w:hRule="atLeast"/>
          <w:tblCellSpacing w:w="11" w:type="dxa"/>
        </w:trPr>
        <w:tc>
          <w:tcPr>
            <w:tcW w:w="8725" w:type="dxa"/>
            <w:gridSpan w:val="6"/>
            <w:tcBorders>
              <w:top w:val="single" w:color="000000" w:sz="12" w:space="0"/>
              <w:left w:val="nil"/>
              <w:bottom w:val="single" w:color="000000" w:sz="4" w:space="0"/>
              <w:right w:val="nil"/>
              <w:tl2br w:val="nil"/>
            </w:tcBorders>
            <w:shd w:val="clear" w:color="auto" w:fill="FFFFFF"/>
          </w:tcPr>
          <w:p w14:paraId="0EE8D7D5">
            <w:pPr>
              <w:pStyle w:val="23"/>
              <w:rPr>
                <w:rFonts w:hint="eastAsia" w:ascii="宋体" w:hAnsi="宋体" w:eastAsia="宋体" w:cs="Times New Roman"/>
                <w:color w:val="000000"/>
              </w:rPr>
            </w:pPr>
            <w:r>
              <w:rPr>
                <w:rFonts w:hint="eastAsia" w:ascii="宋体" w:hAnsi="宋体" w:eastAsia="宋体" w:cs="Times New Roman"/>
                <w:color w:val="000000"/>
              </w:rPr>
              <w:t>[</w:t>
            </w:r>
            <w:r>
              <w:rPr>
                <w:rFonts w:ascii="宋体" w:hAnsi="宋体" w:eastAsia="宋体" w:cs="Times New Roman"/>
                <w:color w:val="000000"/>
              </w:rPr>
              <w:t>核算结果</w:t>
            </w:r>
            <w:r>
              <w:rPr>
                <w:rFonts w:hint="eastAsia" w:ascii="宋体" w:hAnsi="宋体" w:eastAsia="宋体" w:cs="Times New Roman"/>
                <w:color w:val="000000"/>
              </w:rPr>
              <w:t>]</w:t>
            </w:r>
          </w:p>
        </w:tc>
      </w:tr>
      <w:tr w14:paraId="4BFE6BDA">
        <w:tblPrEx>
          <w:tblCellMar>
            <w:top w:w="100" w:type="dxa"/>
            <w:left w:w="100" w:type="dxa"/>
            <w:bottom w:w="100" w:type="dxa"/>
            <w:right w:w="100" w:type="dxa"/>
          </w:tblCellMar>
        </w:tblPrEx>
        <w:trPr>
          <w:trHeight w:val="736" w:hRule="atLeast"/>
          <w:tblCellSpacing w:w="11" w:type="dxa"/>
        </w:trPr>
        <w:tc>
          <w:tcPr>
            <w:tcW w:w="1222" w:type="dxa"/>
            <w:tcBorders>
              <w:top w:val="single" w:color="000000" w:sz="4" w:space="0"/>
              <w:left w:val="nil"/>
              <w:bottom w:val="nil"/>
              <w:right w:val="nil"/>
            </w:tcBorders>
            <w:shd w:val="clear" w:color="auto" w:fill="FFFFFF"/>
          </w:tcPr>
          <w:p w14:paraId="37445D4F">
            <w:pPr>
              <w:pStyle w:val="23"/>
              <w:rPr>
                <w:rFonts w:hint="eastAsia" w:ascii="宋体" w:hAnsi="宋体" w:eastAsia="宋体" w:cs="Times New Roman"/>
                <w:color w:val="000000"/>
              </w:rPr>
            </w:pPr>
            <w:r>
              <w:rPr>
                <w:rFonts w:ascii="宋体" w:hAnsi="宋体" w:eastAsia="宋体" w:cs="Cambria Math"/>
                <w:color w:val="000000"/>
              </w:rPr>
              <w:t>△</w:t>
            </w:r>
            <w:r>
              <w:rPr>
                <w:rFonts w:ascii="宋体" w:hAnsi="宋体" w:eastAsia="宋体" w:cs="Times New Roman"/>
                <w:color w:val="000000"/>
              </w:rPr>
              <w:t>购置成本</w:t>
            </w:r>
          </w:p>
        </w:tc>
        <w:tc>
          <w:tcPr>
            <w:tcW w:w="1255" w:type="dxa"/>
            <w:tcBorders>
              <w:top w:val="single" w:color="000000" w:sz="4" w:space="0"/>
              <w:left w:val="nil"/>
              <w:bottom w:val="nil"/>
              <w:right w:val="nil"/>
            </w:tcBorders>
            <w:shd w:val="clear" w:color="auto" w:fill="FFFFFF"/>
          </w:tcPr>
          <w:p w14:paraId="74EE1477">
            <w:pPr>
              <w:pStyle w:val="23"/>
              <w:rPr>
                <w:rFonts w:hint="eastAsia" w:ascii="宋体" w:hAnsi="宋体" w:eastAsia="宋体" w:cs="Times New Roman"/>
                <w:color w:val="000000"/>
              </w:rPr>
            </w:pPr>
            <w:r>
              <w:rPr>
                <w:rFonts w:ascii="宋体" w:hAnsi="宋体" w:eastAsia="宋体" w:cs="Times New Roman"/>
                <w:color w:val="000000"/>
              </w:rPr>
              <w:t>一次性 vs. 可重复餐具购置成本差额（净收益）</w:t>
            </w:r>
          </w:p>
        </w:tc>
        <w:tc>
          <w:tcPr>
            <w:tcW w:w="970" w:type="dxa"/>
            <w:tcBorders>
              <w:top w:val="single" w:color="000000" w:sz="4" w:space="0"/>
              <w:left w:val="nil"/>
              <w:bottom w:val="nil"/>
              <w:right w:val="nil"/>
            </w:tcBorders>
            <w:shd w:val="clear" w:color="auto" w:fill="FFFFFF"/>
          </w:tcPr>
          <w:p w14:paraId="00BE11E5">
            <w:pPr>
              <w:pStyle w:val="23"/>
              <w:rPr>
                <w:rFonts w:hint="eastAsia" w:ascii="宋体" w:hAnsi="宋体" w:eastAsia="宋体" w:cs="Times New Roman"/>
                <w:color w:val="000000"/>
              </w:rPr>
            </w:pPr>
            <w:r>
              <w:rPr>
                <w:rFonts w:ascii="宋体" w:hAnsi="宋体" w:eastAsia="宋体" w:cs="Times New Roman"/>
                <w:color w:val="000000"/>
              </w:rPr>
              <w:t>+8.70</w:t>
            </w:r>
          </w:p>
        </w:tc>
        <w:tc>
          <w:tcPr>
            <w:tcW w:w="1112" w:type="dxa"/>
            <w:tcBorders>
              <w:top w:val="single" w:color="000000" w:sz="4" w:space="0"/>
              <w:left w:val="nil"/>
              <w:bottom w:val="nil"/>
              <w:right w:val="nil"/>
            </w:tcBorders>
            <w:shd w:val="clear" w:color="auto" w:fill="FFFFFF"/>
          </w:tcPr>
          <w:p w14:paraId="37C1A9BF">
            <w:pPr>
              <w:pStyle w:val="23"/>
              <w:rPr>
                <w:rFonts w:hint="eastAsia" w:ascii="宋体" w:hAnsi="宋体" w:eastAsia="宋体" w:cs="Times New Roman"/>
                <w:color w:val="000000"/>
              </w:rPr>
            </w:pPr>
            <w:r>
              <w:rPr>
                <w:rFonts w:ascii="宋体" w:hAnsi="宋体" w:eastAsia="宋体" w:cs="Times New Roman"/>
                <w:color w:val="000000"/>
              </w:rPr>
              <w:t>—</w:t>
            </w:r>
          </w:p>
        </w:tc>
        <w:tc>
          <w:tcPr>
            <w:tcW w:w="829" w:type="dxa"/>
            <w:tcBorders>
              <w:top w:val="single" w:color="000000" w:sz="4" w:space="0"/>
              <w:left w:val="nil"/>
              <w:bottom w:val="nil"/>
              <w:right w:val="nil"/>
            </w:tcBorders>
            <w:shd w:val="clear" w:color="auto" w:fill="FFFFFF"/>
          </w:tcPr>
          <w:p w14:paraId="0EB8045B">
            <w:pPr>
              <w:pStyle w:val="23"/>
              <w:rPr>
                <w:rFonts w:hint="eastAsia" w:ascii="宋体" w:hAnsi="宋体" w:eastAsia="宋体" w:cs="Times New Roman"/>
                <w:color w:val="000000"/>
              </w:rPr>
            </w:pPr>
            <w:r>
              <w:rPr>
                <w:rFonts w:ascii="宋体" w:hAnsi="宋体" w:eastAsia="宋体" w:cs="Times New Roman"/>
                <w:color w:val="000000"/>
              </w:rPr>
              <w:t>元/人·年</w:t>
            </w:r>
          </w:p>
        </w:tc>
        <w:tc>
          <w:tcPr>
            <w:tcW w:w="3227" w:type="dxa"/>
            <w:tcBorders>
              <w:top w:val="single" w:color="000000" w:sz="4" w:space="0"/>
              <w:left w:val="nil"/>
              <w:bottom w:val="nil"/>
              <w:right w:val="nil"/>
            </w:tcBorders>
            <w:shd w:val="clear" w:color="auto" w:fill="FFFFFF"/>
          </w:tcPr>
          <w:p w14:paraId="07BA86B0">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6AB2F47D">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nil"/>
              <w:right w:val="nil"/>
            </w:tcBorders>
            <w:shd w:val="clear" w:color="auto" w:fill="FFFFFF"/>
          </w:tcPr>
          <w:p w14:paraId="3CE14B81">
            <w:pPr>
              <w:pStyle w:val="23"/>
              <w:rPr>
                <w:rFonts w:hint="eastAsia" w:ascii="宋体" w:hAnsi="宋体" w:eastAsia="宋体" w:cs="Times New Roman"/>
                <w:color w:val="000000"/>
              </w:rPr>
            </w:pPr>
            <w:r>
              <w:rPr>
                <w:rFonts w:ascii="宋体" w:hAnsi="宋体" w:eastAsia="宋体" w:cs="Cambria Math"/>
                <w:color w:val="000000"/>
              </w:rPr>
              <w:t>△</w:t>
            </w:r>
            <w:r>
              <w:rPr>
                <w:rFonts w:ascii="宋体" w:hAnsi="宋体" w:eastAsia="宋体" w:cs="Times New Roman"/>
                <w:color w:val="000000"/>
              </w:rPr>
              <w:t>清洁时间成本</w:t>
            </w:r>
          </w:p>
        </w:tc>
        <w:tc>
          <w:tcPr>
            <w:tcW w:w="1255" w:type="dxa"/>
            <w:tcBorders>
              <w:top w:val="nil"/>
              <w:left w:val="nil"/>
              <w:bottom w:val="nil"/>
              <w:right w:val="nil"/>
            </w:tcBorders>
            <w:shd w:val="clear" w:color="auto" w:fill="FFFFFF"/>
          </w:tcPr>
          <w:p w14:paraId="5B4DB551">
            <w:pPr>
              <w:pStyle w:val="23"/>
              <w:rPr>
                <w:rFonts w:hint="eastAsia" w:ascii="宋体" w:hAnsi="宋体" w:eastAsia="宋体" w:cs="Times New Roman"/>
                <w:color w:val="000000"/>
              </w:rPr>
            </w:pPr>
            <w:r>
              <w:rPr>
                <w:rFonts w:ascii="宋体" w:hAnsi="宋体" w:eastAsia="宋体" w:cs="Times New Roman"/>
                <w:color w:val="000000"/>
              </w:rPr>
              <w:t>额外清洁时间的机会成本（净损失）</w:t>
            </w:r>
          </w:p>
        </w:tc>
        <w:tc>
          <w:tcPr>
            <w:tcW w:w="970" w:type="dxa"/>
            <w:tcBorders>
              <w:top w:val="nil"/>
              <w:left w:val="nil"/>
              <w:bottom w:val="nil"/>
              <w:right w:val="nil"/>
            </w:tcBorders>
            <w:shd w:val="clear" w:color="auto" w:fill="FFFFFF"/>
          </w:tcPr>
          <w:p w14:paraId="72B0E39E">
            <w:pPr>
              <w:pStyle w:val="23"/>
              <w:rPr>
                <w:rFonts w:hint="eastAsia" w:ascii="宋体" w:hAnsi="宋体" w:eastAsia="宋体" w:cs="Times New Roman"/>
                <w:color w:val="000000"/>
              </w:rPr>
            </w:pPr>
            <w:r>
              <w:rPr>
                <w:rFonts w:ascii="Cambria Math" w:hAnsi="Cambria Math" w:eastAsia="宋体" w:cs="Cambria Math"/>
                <w:color w:val="000000"/>
              </w:rPr>
              <w:t>−</w:t>
            </w:r>
            <w:r>
              <w:rPr>
                <w:rFonts w:ascii="宋体" w:hAnsi="宋体" w:eastAsia="宋体" w:cs="Times New Roman"/>
                <w:color w:val="000000"/>
              </w:rPr>
              <w:t>11.89</w:t>
            </w:r>
          </w:p>
        </w:tc>
        <w:tc>
          <w:tcPr>
            <w:tcW w:w="1112" w:type="dxa"/>
            <w:tcBorders>
              <w:top w:val="nil"/>
              <w:left w:val="nil"/>
              <w:bottom w:val="nil"/>
              <w:right w:val="nil"/>
            </w:tcBorders>
            <w:shd w:val="clear" w:color="auto" w:fill="FFFFFF"/>
          </w:tcPr>
          <w:p w14:paraId="2BF110C0">
            <w:pPr>
              <w:pStyle w:val="23"/>
              <w:rPr>
                <w:rFonts w:hint="eastAsia" w:ascii="宋体" w:hAnsi="宋体" w:eastAsia="宋体" w:cs="Times New Roman"/>
                <w:color w:val="000000"/>
              </w:rPr>
            </w:pPr>
            <w:r>
              <w:rPr>
                <w:rFonts w:ascii="宋体" w:hAnsi="宋体" w:eastAsia="宋体" w:cs="Times New Roman"/>
                <w:color w:val="000000"/>
              </w:rPr>
              <w:t>—</w:t>
            </w:r>
          </w:p>
        </w:tc>
        <w:tc>
          <w:tcPr>
            <w:tcW w:w="829" w:type="dxa"/>
            <w:tcBorders>
              <w:top w:val="nil"/>
              <w:left w:val="nil"/>
              <w:bottom w:val="nil"/>
              <w:right w:val="nil"/>
            </w:tcBorders>
            <w:shd w:val="clear" w:color="auto" w:fill="FFFFFF"/>
          </w:tcPr>
          <w:p w14:paraId="480F676C">
            <w:pPr>
              <w:pStyle w:val="23"/>
              <w:rPr>
                <w:rFonts w:hint="eastAsia" w:ascii="宋体" w:hAnsi="宋体" w:eastAsia="宋体" w:cs="Times New Roman"/>
                <w:color w:val="000000"/>
              </w:rPr>
            </w:pPr>
            <w:r>
              <w:rPr>
                <w:rFonts w:ascii="宋体" w:hAnsi="宋体" w:eastAsia="宋体" w:cs="Times New Roman"/>
                <w:color w:val="000000"/>
              </w:rPr>
              <w:t>元/人·年</w:t>
            </w:r>
          </w:p>
        </w:tc>
        <w:tc>
          <w:tcPr>
            <w:tcW w:w="3227" w:type="dxa"/>
            <w:tcBorders>
              <w:top w:val="nil"/>
              <w:left w:val="nil"/>
              <w:bottom w:val="nil"/>
              <w:right w:val="nil"/>
            </w:tcBorders>
            <w:shd w:val="clear" w:color="auto" w:fill="FFFFFF"/>
          </w:tcPr>
          <w:p w14:paraId="41411894">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04E89254">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nil"/>
              <w:right w:val="nil"/>
            </w:tcBorders>
            <w:shd w:val="clear" w:color="auto" w:fill="FFFFFF"/>
          </w:tcPr>
          <w:p w14:paraId="7E71DDCF">
            <w:pPr>
              <w:pStyle w:val="23"/>
              <w:rPr>
                <w:rFonts w:hint="eastAsia" w:ascii="宋体" w:hAnsi="宋体" w:eastAsia="宋体" w:cs="Times New Roman"/>
                <w:color w:val="000000"/>
              </w:rPr>
            </w:pPr>
            <w:r>
              <w:rPr>
                <w:rFonts w:ascii="宋体" w:hAnsi="宋体" w:eastAsia="宋体" w:cs="Times New Roman"/>
                <w:color w:val="000000"/>
              </w:rPr>
              <w:t>个人福利净变化</w:t>
            </w:r>
          </w:p>
        </w:tc>
        <w:tc>
          <w:tcPr>
            <w:tcW w:w="1255" w:type="dxa"/>
            <w:tcBorders>
              <w:top w:val="nil"/>
              <w:left w:val="nil"/>
              <w:bottom w:val="nil"/>
              <w:right w:val="nil"/>
            </w:tcBorders>
            <w:shd w:val="clear" w:color="auto" w:fill="FFFFFF"/>
          </w:tcPr>
          <w:p w14:paraId="3412231C">
            <w:pPr>
              <w:pStyle w:val="23"/>
              <w:rPr>
                <w:rFonts w:hint="eastAsia" w:ascii="宋体" w:hAnsi="宋体" w:eastAsia="宋体" w:cs="Times New Roman"/>
                <w:color w:val="000000"/>
              </w:rPr>
            </w:pPr>
            <w:r>
              <w:rPr>
                <w:rFonts w:ascii="宋体" w:hAnsi="宋体" w:eastAsia="宋体" w:cs="Times New Roman"/>
                <w:color w:val="000000"/>
              </w:rPr>
              <w:t>个人层面综合福利变化（货币+非货币）</w:t>
            </w:r>
          </w:p>
        </w:tc>
        <w:tc>
          <w:tcPr>
            <w:tcW w:w="970" w:type="dxa"/>
            <w:tcBorders>
              <w:top w:val="nil"/>
              <w:left w:val="nil"/>
              <w:bottom w:val="nil"/>
              <w:right w:val="nil"/>
            </w:tcBorders>
            <w:shd w:val="clear" w:color="auto" w:fill="FFFFFF"/>
          </w:tcPr>
          <w:p w14:paraId="77C8FB3B">
            <w:pPr>
              <w:pStyle w:val="23"/>
              <w:rPr>
                <w:rFonts w:hint="eastAsia" w:ascii="宋体" w:hAnsi="宋体" w:eastAsia="宋体" w:cs="Times New Roman"/>
                <w:color w:val="000000"/>
              </w:rPr>
            </w:pPr>
            <w:r>
              <w:rPr>
                <w:rFonts w:ascii="Cambria Math" w:hAnsi="Cambria Math" w:eastAsia="宋体" w:cs="Cambria Math"/>
                <w:color w:val="000000"/>
              </w:rPr>
              <w:t>−</w:t>
            </w:r>
            <w:r>
              <w:rPr>
                <w:rFonts w:ascii="宋体" w:hAnsi="宋体" w:eastAsia="宋体" w:cs="Times New Roman"/>
                <w:color w:val="000000"/>
              </w:rPr>
              <w:t>3.20</w:t>
            </w:r>
          </w:p>
        </w:tc>
        <w:tc>
          <w:tcPr>
            <w:tcW w:w="1112" w:type="dxa"/>
            <w:tcBorders>
              <w:top w:val="nil"/>
              <w:left w:val="nil"/>
              <w:bottom w:val="nil"/>
              <w:right w:val="nil"/>
            </w:tcBorders>
            <w:shd w:val="clear" w:color="auto" w:fill="FFFFFF"/>
          </w:tcPr>
          <w:p w14:paraId="194FBEE8">
            <w:pPr>
              <w:pStyle w:val="23"/>
              <w:rPr>
                <w:rFonts w:hint="eastAsia" w:ascii="宋体" w:hAnsi="宋体" w:eastAsia="宋体" w:cs="Times New Roman"/>
                <w:color w:val="000000"/>
              </w:rPr>
            </w:pPr>
            <w:r>
              <w:rPr>
                <w:rFonts w:ascii="宋体" w:hAnsi="宋体" w:eastAsia="宋体" w:cs="Times New Roman"/>
                <w:color w:val="000000"/>
              </w:rPr>
              <w:t>—</w:t>
            </w:r>
          </w:p>
        </w:tc>
        <w:tc>
          <w:tcPr>
            <w:tcW w:w="829" w:type="dxa"/>
            <w:tcBorders>
              <w:top w:val="nil"/>
              <w:left w:val="nil"/>
              <w:bottom w:val="nil"/>
              <w:right w:val="nil"/>
            </w:tcBorders>
            <w:shd w:val="clear" w:color="auto" w:fill="FFFFFF"/>
          </w:tcPr>
          <w:p w14:paraId="425C0606">
            <w:pPr>
              <w:pStyle w:val="23"/>
              <w:rPr>
                <w:rFonts w:hint="eastAsia" w:ascii="宋体" w:hAnsi="宋体" w:eastAsia="宋体" w:cs="Times New Roman"/>
                <w:color w:val="000000"/>
              </w:rPr>
            </w:pPr>
            <w:r>
              <w:rPr>
                <w:rFonts w:ascii="宋体" w:hAnsi="宋体" w:eastAsia="宋体" w:cs="Times New Roman"/>
                <w:color w:val="000000"/>
              </w:rPr>
              <w:t>元/人·年</w:t>
            </w:r>
          </w:p>
        </w:tc>
        <w:tc>
          <w:tcPr>
            <w:tcW w:w="3227" w:type="dxa"/>
            <w:tcBorders>
              <w:top w:val="nil"/>
              <w:left w:val="nil"/>
              <w:bottom w:val="nil"/>
              <w:right w:val="nil"/>
            </w:tcBorders>
            <w:shd w:val="clear" w:color="auto" w:fill="FFFFFF"/>
          </w:tcPr>
          <w:p w14:paraId="261E26A9">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4166D0A1">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nil"/>
              <w:right w:val="nil"/>
            </w:tcBorders>
            <w:shd w:val="clear" w:color="auto" w:fill="FFFFFF"/>
          </w:tcPr>
          <w:p w14:paraId="76B17661">
            <w:pPr>
              <w:pStyle w:val="23"/>
              <w:rPr>
                <w:rFonts w:hint="eastAsia" w:ascii="宋体" w:hAnsi="宋体" w:eastAsia="宋体" w:cs="Times New Roman"/>
                <w:color w:val="000000"/>
              </w:rPr>
            </w:pPr>
            <w:r>
              <w:rPr>
                <w:rFonts w:ascii="宋体" w:hAnsi="宋体" w:eastAsia="宋体" w:cs="Times New Roman"/>
                <w:color w:val="000000"/>
              </w:rPr>
              <w:t>年减排量</w:t>
            </w:r>
          </w:p>
        </w:tc>
        <w:tc>
          <w:tcPr>
            <w:tcW w:w="1255" w:type="dxa"/>
            <w:tcBorders>
              <w:top w:val="nil"/>
              <w:left w:val="nil"/>
              <w:bottom w:val="nil"/>
              <w:right w:val="nil"/>
            </w:tcBorders>
            <w:shd w:val="clear" w:color="auto" w:fill="FFFFFF"/>
          </w:tcPr>
          <w:p w14:paraId="57DF097D">
            <w:pPr>
              <w:pStyle w:val="23"/>
              <w:rPr>
                <w:rFonts w:hint="eastAsia" w:ascii="宋体" w:hAnsi="宋体" w:eastAsia="宋体" w:cs="Times New Roman"/>
                <w:color w:val="000000"/>
              </w:rPr>
            </w:pPr>
            <w:r>
              <w:rPr>
                <w:rFonts w:ascii="宋体" w:hAnsi="宋体" w:eastAsia="宋体" w:cs="Times New Roman"/>
                <w:color w:val="000000"/>
              </w:rPr>
              <w:t>每人每年节约的碳排放量</w:t>
            </w:r>
          </w:p>
        </w:tc>
        <w:tc>
          <w:tcPr>
            <w:tcW w:w="970" w:type="dxa"/>
            <w:tcBorders>
              <w:top w:val="nil"/>
              <w:left w:val="nil"/>
              <w:bottom w:val="nil"/>
              <w:right w:val="nil"/>
            </w:tcBorders>
            <w:shd w:val="clear" w:color="auto" w:fill="FFFFFF"/>
          </w:tcPr>
          <w:p w14:paraId="23817E48">
            <w:pPr>
              <w:pStyle w:val="23"/>
              <w:rPr>
                <w:rFonts w:hint="eastAsia" w:ascii="宋体" w:hAnsi="宋体" w:eastAsia="宋体" w:cs="Times New Roman"/>
                <w:color w:val="000000"/>
              </w:rPr>
            </w:pPr>
            <w:r>
              <w:rPr>
                <w:rFonts w:ascii="宋体" w:hAnsi="宋体" w:eastAsia="宋体" w:cs="Times New Roman"/>
                <w:color w:val="000000"/>
              </w:rPr>
              <w:t>0.41</w:t>
            </w:r>
          </w:p>
        </w:tc>
        <w:tc>
          <w:tcPr>
            <w:tcW w:w="1112" w:type="dxa"/>
            <w:tcBorders>
              <w:top w:val="nil"/>
              <w:left w:val="nil"/>
              <w:bottom w:val="nil"/>
              <w:right w:val="nil"/>
            </w:tcBorders>
            <w:shd w:val="clear" w:color="auto" w:fill="FFFFFF"/>
          </w:tcPr>
          <w:p w14:paraId="2D153D3F">
            <w:pPr>
              <w:pStyle w:val="23"/>
              <w:rPr>
                <w:rFonts w:hint="eastAsia" w:ascii="宋体" w:hAnsi="宋体" w:eastAsia="宋体" w:cs="Times New Roman"/>
                <w:color w:val="000000"/>
              </w:rPr>
            </w:pPr>
            <w:r>
              <w:rPr>
                <w:rFonts w:ascii="宋体" w:hAnsi="宋体" w:eastAsia="宋体" w:cs="Times New Roman"/>
                <w:color w:val="000000"/>
              </w:rPr>
              <w:t>—</w:t>
            </w:r>
          </w:p>
        </w:tc>
        <w:tc>
          <w:tcPr>
            <w:tcW w:w="829" w:type="dxa"/>
            <w:tcBorders>
              <w:top w:val="nil"/>
              <w:left w:val="nil"/>
              <w:bottom w:val="nil"/>
              <w:right w:val="nil"/>
            </w:tcBorders>
            <w:shd w:val="clear" w:color="auto" w:fill="FFFFFF"/>
          </w:tcPr>
          <w:p w14:paraId="19D22353">
            <w:pPr>
              <w:pStyle w:val="23"/>
              <w:rPr>
                <w:rFonts w:hint="eastAsia" w:ascii="宋体" w:hAnsi="宋体" w:eastAsia="宋体" w:cs="Times New Roman"/>
                <w:color w:val="000000"/>
              </w:rPr>
            </w:pPr>
            <w:r>
              <w:rPr>
                <w:rFonts w:ascii="宋体" w:hAnsi="宋体" w:eastAsia="宋体" w:cs="Times New Roman"/>
                <w:color w:val="000000"/>
              </w:rPr>
              <w:t>kgCO</w:t>
            </w:r>
            <w:r>
              <w:rPr>
                <w:rFonts w:ascii="Cambria Math" w:hAnsi="Cambria Math" w:eastAsia="宋体" w:cs="Cambria Math"/>
                <w:color w:val="000000"/>
              </w:rPr>
              <w:t>₂</w:t>
            </w:r>
            <w:r>
              <w:rPr>
                <w:rFonts w:ascii="宋体" w:hAnsi="宋体" w:eastAsia="宋体" w:cs="Times New Roman"/>
                <w:color w:val="000000"/>
              </w:rPr>
              <w:t>e/人·年</w:t>
            </w:r>
          </w:p>
        </w:tc>
        <w:tc>
          <w:tcPr>
            <w:tcW w:w="3227" w:type="dxa"/>
            <w:tcBorders>
              <w:top w:val="nil"/>
              <w:left w:val="nil"/>
              <w:bottom w:val="nil"/>
              <w:right w:val="nil"/>
            </w:tcBorders>
            <w:shd w:val="clear" w:color="auto" w:fill="FFFFFF"/>
          </w:tcPr>
          <w:p w14:paraId="1A1A1FE8">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378C7353">
        <w:tblPrEx>
          <w:tblCellMar>
            <w:top w:w="100" w:type="dxa"/>
            <w:left w:w="100" w:type="dxa"/>
            <w:bottom w:w="100" w:type="dxa"/>
            <w:right w:w="100" w:type="dxa"/>
          </w:tblCellMar>
        </w:tblPrEx>
        <w:trPr>
          <w:trHeight w:val="736" w:hRule="atLeast"/>
          <w:tblCellSpacing w:w="11" w:type="dxa"/>
        </w:trPr>
        <w:tc>
          <w:tcPr>
            <w:tcW w:w="1222" w:type="dxa"/>
            <w:tcBorders>
              <w:top w:val="nil"/>
              <w:left w:val="nil"/>
              <w:bottom w:val="nil"/>
              <w:right w:val="nil"/>
            </w:tcBorders>
            <w:shd w:val="clear" w:color="auto" w:fill="FFFFFF"/>
          </w:tcPr>
          <w:p w14:paraId="0C766A88">
            <w:pPr>
              <w:pStyle w:val="23"/>
              <w:rPr>
                <w:rFonts w:hint="eastAsia" w:ascii="宋体" w:hAnsi="宋体" w:eastAsia="宋体" w:cs="Times New Roman"/>
                <w:color w:val="000000"/>
              </w:rPr>
            </w:pPr>
            <w:r>
              <w:rPr>
                <w:rFonts w:ascii="宋体" w:hAnsi="宋体" w:eastAsia="宋体" w:cs="Times New Roman"/>
                <w:color w:val="000000"/>
              </w:rPr>
              <w:t>社会福利净变化</w:t>
            </w:r>
          </w:p>
        </w:tc>
        <w:tc>
          <w:tcPr>
            <w:tcW w:w="1255" w:type="dxa"/>
            <w:tcBorders>
              <w:top w:val="nil"/>
              <w:left w:val="nil"/>
              <w:bottom w:val="nil"/>
              <w:right w:val="nil"/>
            </w:tcBorders>
            <w:shd w:val="clear" w:color="auto" w:fill="FFFFFF"/>
          </w:tcPr>
          <w:p w14:paraId="07835756">
            <w:pPr>
              <w:pStyle w:val="23"/>
              <w:rPr>
                <w:rFonts w:hint="eastAsia" w:ascii="宋体" w:hAnsi="宋体" w:eastAsia="宋体" w:cs="Times New Roman"/>
                <w:color w:val="000000"/>
              </w:rPr>
            </w:pPr>
            <w:r>
              <w:rPr>
                <w:rFonts w:ascii="宋体" w:hAnsi="宋体" w:eastAsia="宋体" w:cs="Times New Roman"/>
                <w:color w:val="000000"/>
              </w:rPr>
              <w:t>含碳减排收益的社会层面福利变化</w:t>
            </w:r>
          </w:p>
        </w:tc>
        <w:tc>
          <w:tcPr>
            <w:tcW w:w="970" w:type="dxa"/>
            <w:tcBorders>
              <w:top w:val="nil"/>
              <w:left w:val="nil"/>
              <w:bottom w:val="nil"/>
              <w:right w:val="nil"/>
            </w:tcBorders>
            <w:shd w:val="clear" w:color="auto" w:fill="FFFFFF"/>
          </w:tcPr>
          <w:p w14:paraId="704E87EC">
            <w:pPr>
              <w:pStyle w:val="23"/>
              <w:rPr>
                <w:rFonts w:hint="eastAsia" w:ascii="宋体" w:hAnsi="宋体" w:eastAsia="宋体" w:cs="Times New Roman"/>
                <w:color w:val="000000"/>
              </w:rPr>
            </w:pPr>
            <w:r>
              <w:rPr>
                <w:rFonts w:ascii="Cambria Math" w:hAnsi="Cambria Math" w:eastAsia="宋体" w:cs="Cambria Math"/>
                <w:color w:val="000000"/>
              </w:rPr>
              <w:t>−</w:t>
            </w:r>
            <w:r>
              <w:rPr>
                <w:rFonts w:ascii="宋体" w:hAnsi="宋体" w:eastAsia="宋体" w:cs="Times New Roman"/>
                <w:color w:val="000000"/>
              </w:rPr>
              <w:t>2.66</w:t>
            </w:r>
          </w:p>
        </w:tc>
        <w:tc>
          <w:tcPr>
            <w:tcW w:w="1112" w:type="dxa"/>
            <w:tcBorders>
              <w:top w:val="nil"/>
              <w:left w:val="nil"/>
              <w:bottom w:val="nil"/>
              <w:right w:val="nil"/>
            </w:tcBorders>
            <w:shd w:val="clear" w:color="auto" w:fill="FFFFFF"/>
          </w:tcPr>
          <w:p w14:paraId="451668E7">
            <w:pPr>
              <w:pStyle w:val="23"/>
              <w:rPr>
                <w:rFonts w:hint="eastAsia" w:ascii="宋体" w:hAnsi="宋体" w:eastAsia="宋体" w:cs="Times New Roman"/>
                <w:color w:val="000000"/>
              </w:rPr>
            </w:pPr>
            <w:r>
              <w:rPr>
                <w:rFonts w:ascii="宋体" w:hAnsi="宋体" w:eastAsia="宋体" w:cs="Times New Roman"/>
                <w:color w:val="000000"/>
              </w:rPr>
              <w:t>—</w:t>
            </w:r>
          </w:p>
        </w:tc>
        <w:tc>
          <w:tcPr>
            <w:tcW w:w="829" w:type="dxa"/>
            <w:tcBorders>
              <w:top w:val="nil"/>
              <w:left w:val="nil"/>
              <w:bottom w:val="nil"/>
              <w:right w:val="nil"/>
            </w:tcBorders>
            <w:shd w:val="clear" w:color="auto" w:fill="FFFFFF"/>
          </w:tcPr>
          <w:p w14:paraId="3A92DD4A">
            <w:pPr>
              <w:pStyle w:val="23"/>
              <w:rPr>
                <w:rFonts w:hint="eastAsia" w:ascii="宋体" w:hAnsi="宋体" w:eastAsia="宋体" w:cs="Times New Roman"/>
                <w:color w:val="000000"/>
              </w:rPr>
            </w:pPr>
            <w:r>
              <w:rPr>
                <w:rFonts w:ascii="宋体" w:hAnsi="宋体" w:eastAsia="宋体" w:cs="Times New Roman"/>
                <w:color w:val="000000"/>
              </w:rPr>
              <w:t>元/人·年</w:t>
            </w:r>
          </w:p>
        </w:tc>
        <w:tc>
          <w:tcPr>
            <w:tcW w:w="3227" w:type="dxa"/>
            <w:tcBorders>
              <w:top w:val="nil"/>
              <w:left w:val="nil"/>
              <w:bottom w:val="nil"/>
              <w:right w:val="nil"/>
            </w:tcBorders>
            <w:shd w:val="clear" w:color="auto" w:fill="FFFFFF"/>
          </w:tcPr>
          <w:p w14:paraId="68A06709">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0F658E8E">
        <w:tblPrEx>
          <w:tblCellMar>
            <w:top w:w="100" w:type="dxa"/>
            <w:left w:w="100" w:type="dxa"/>
            <w:bottom w:w="100" w:type="dxa"/>
            <w:right w:w="100" w:type="dxa"/>
          </w:tblCellMar>
        </w:tblPrEx>
        <w:trPr>
          <w:trHeight w:val="442" w:hRule="atLeast"/>
          <w:tblCellSpacing w:w="11" w:type="dxa"/>
        </w:trPr>
        <w:tc>
          <w:tcPr>
            <w:tcW w:w="1222" w:type="dxa"/>
            <w:tcBorders>
              <w:top w:val="nil"/>
              <w:left w:val="nil"/>
              <w:bottom w:val="single" w:color="000000" w:sz="12" w:space="0"/>
              <w:right w:val="nil"/>
            </w:tcBorders>
            <w:shd w:val="clear" w:color="auto" w:fill="FFFFFF"/>
          </w:tcPr>
          <w:p w14:paraId="6FD85E39">
            <w:pPr>
              <w:pStyle w:val="23"/>
              <w:rPr>
                <w:rFonts w:hint="eastAsia" w:ascii="宋体" w:hAnsi="宋体" w:eastAsia="宋体" w:cs="Times New Roman"/>
                <w:color w:val="000000"/>
              </w:rPr>
            </w:pPr>
            <w:r>
              <w:rPr>
                <w:rFonts w:ascii="宋体" w:hAnsi="宋体" w:eastAsia="宋体" w:cs="Times New Roman"/>
                <w:color w:val="000000"/>
              </w:rPr>
              <w:t>减排成本</w:t>
            </w:r>
          </w:p>
        </w:tc>
        <w:tc>
          <w:tcPr>
            <w:tcW w:w="1255" w:type="dxa"/>
            <w:tcBorders>
              <w:top w:val="nil"/>
              <w:left w:val="nil"/>
              <w:bottom w:val="single" w:color="000000" w:sz="12" w:space="0"/>
              <w:right w:val="nil"/>
            </w:tcBorders>
            <w:shd w:val="clear" w:color="auto" w:fill="FFFFFF"/>
          </w:tcPr>
          <w:p w14:paraId="716C0F8E">
            <w:pPr>
              <w:pStyle w:val="23"/>
              <w:rPr>
                <w:rFonts w:hint="eastAsia" w:ascii="宋体" w:hAnsi="宋体" w:eastAsia="宋体" w:cs="Times New Roman"/>
                <w:color w:val="000000"/>
              </w:rPr>
            </w:pPr>
            <w:r>
              <w:rPr>
                <w:rFonts w:ascii="宋体" w:hAnsi="宋体" w:eastAsia="宋体" w:cs="Times New Roman"/>
                <w:color w:val="000000"/>
              </w:rPr>
              <w:t>单位减排量的私人成本</w:t>
            </w:r>
          </w:p>
        </w:tc>
        <w:tc>
          <w:tcPr>
            <w:tcW w:w="970" w:type="dxa"/>
            <w:tcBorders>
              <w:top w:val="nil"/>
              <w:left w:val="nil"/>
              <w:bottom w:val="single" w:color="000000" w:sz="12" w:space="0"/>
              <w:right w:val="nil"/>
            </w:tcBorders>
            <w:shd w:val="clear" w:color="auto" w:fill="FFFFFF"/>
          </w:tcPr>
          <w:p w14:paraId="0044CC5A">
            <w:pPr>
              <w:pStyle w:val="23"/>
              <w:rPr>
                <w:rFonts w:hint="eastAsia" w:ascii="宋体" w:hAnsi="宋体" w:eastAsia="宋体" w:cs="Times New Roman"/>
                <w:color w:val="000000"/>
              </w:rPr>
            </w:pPr>
            <w:r>
              <w:rPr>
                <w:rFonts w:ascii="宋体" w:hAnsi="宋体" w:eastAsia="宋体" w:cs="Times New Roman"/>
                <w:color w:val="000000"/>
              </w:rPr>
              <w:t>7,780</w:t>
            </w:r>
          </w:p>
        </w:tc>
        <w:tc>
          <w:tcPr>
            <w:tcW w:w="1112" w:type="dxa"/>
            <w:tcBorders>
              <w:top w:val="nil"/>
              <w:left w:val="nil"/>
              <w:bottom w:val="single" w:color="000000" w:sz="12" w:space="0"/>
              <w:right w:val="nil"/>
            </w:tcBorders>
            <w:shd w:val="clear" w:color="auto" w:fill="FFFFFF"/>
          </w:tcPr>
          <w:p w14:paraId="09A8D714">
            <w:pPr>
              <w:pStyle w:val="23"/>
              <w:rPr>
                <w:rFonts w:hint="eastAsia" w:ascii="宋体" w:hAnsi="宋体" w:eastAsia="宋体" w:cs="Times New Roman"/>
                <w:color w:val="000000"/>
              </w:rPr>
            </w:pPr>
            <w:r>
              <w:rPr>
                <w:rFonts w:ascii="宋体" w:hAnsi="宋体" w:eastAsia="宋体" w:cs="Times New Roman"/>
                <w:color w:val="000000"/>
              </w:rPr>
              <w:t>—</w:t>
            </w:r>
          </w:p>
        </w:tc>
        <w:tc>
          <w:tcPr>
            <w:tcW w:w="829" w:type="dxa"/>
            <w:tcBorders>
              <w:top w:val="nil"/>
              <w:left w:val="nil"/>
              <w:bottom w:val="single" w:color="000000" w:sz="12" w:space="0"/>
              <w:right w:val="nil"/>
            </w:tcBorders>
            <w:shd w:val="clear" w:color="auto" w:fill="FFFFFF"/>
          </w:tcPr>
          <w:p w14:paraId="047AD730">
            <w:pPr>
              <w:pStyle w:val="23"/>
              <w:rPr>
                <w:rFonts w:hint="eastAsia" w:ascii="宋体" w:hAnsi="宋体" w:eastAsia="宋体" w:cs="Times New Roman"/>
                <w:color w:val="000000"/>
              </w:rPr>
            </w:pPr>
            <w:r>
              <w:rPr>
                <w:rFonts w:ascii="宋体" w:hAnsi="宋体" w:eastAsia="宋体" w:cs="Times New Roman"/>
                <w:color w:val="000000"/>
              </w:rPr>
              <w:t>元/tCO</w:t>
            </w:r>
            <w:r>
              <w:rPr>
                <w:rFonts w:ascii="Cambria Math" w:hAnsi="Cambria Math" w:eastAsia="宋体" w:cs="Cambria Math"/>
                <w:color w:val="000000"/>
              </w:rPr>
              <w:t>₂</w:t>
            </w:r>
            <w:r>
              <w:rPr>
                <w:rFonts w:ascii="宋体" w:hAnsi="宋体" w:eastAsia="宋体" w:cs="Times New Roman"/>
                <w:color w:val="000000"/>
              </w:rPr>
              <w:t>e</w:t>
            </w:r>
          </w:p>
        </w:tc>
        <w:tc>
          <w:tcPr>
            <w:tcW w:w="3227" w:type="dxa"/>
            <w:tcBorders>
              <w:top w:val="nil"/>
              <w:left w:val="nil"/>
              <w:bottom w:val="single" w:color="000000" w:sz="12" w:space="0"/>
              <w:right w:val="nil"/>
            </w:tcBorders>
            <w:shd w:val="clear" w:color="auto" w:fill="FFFFFF"/>
          </w:tcPr>
          <w:p w14:paraId="0C54CD27">
            <w:pPr>
              <w:pStyle w:val="23"/>
              <w:rPr>
                <w:rFonts w:hint="eastAsia" w:ascii="宋体" w:hAnsi="宋体" w:eastAsia="宋体" w:cs="Times New Roman"/>
                <w:color w:val="000000"/>
              </w:rPr>
            </w:pPr>
            <w:r>
              <w:rPr>
                <w:rFonts w:ascii="宋体" w:hAnsi="宋体" w:eastAsia="宋体" w:cs="Times New Roman"/>
                <w:color w:val="000000"/>
              </w:rPr>
              <w:t>综合计算</w:t>
            </w:r>
          </w:p>
        </w:tc>
      </w:tr>
    </w:tbl>
    <w:p w14:paraId="44AC7BA3">
      <w:pPr>
        <w:ind w:firstLine="0" w:firstLineChars="0"/>
        <w:rPr>
          <w:rFonts w:cs="Times New Roman"/>
        </w:rPr>
      </w:pPr>
    </w:p>
    <w:p w14:paraId="3D326170">
      <w:pPr>
        <w:ind w:firstLine="0" w:firstLineChars="0"/>
        <w:rPr>
          <w:rFonts w:cs="Times New Roman"/>
        </w:rPr>
      </w:pPr>
    </w:p>
    <w:p w14:paraId="4FAB3B75">
      <w:pPr>
        <w:ind w:firstLine="0" w:firstLineChars="0"/>
        <w:rPr>
          <w:rFonts w:cs="Times New Roman"/>
        </w:rPr>
      </w:pPr>
    </w:p>
    <w:p w14:paraId="14CF8D80">
      <w:pPr>
        <w:rPr>
          <w:rFonts w:ascii="Times New Roman" w:hAnsi="Times New Roman"/>
        </w:rPr>
      </w:pPr>
      <w:r>
        <w:rPr>
          <w:rFonts w:ascii="Times New Roman" w:hAnsi="Times New Roman"/>
        </w:rPr>
        <w:br w:type="page"/>
      </w:r>
    </w:p>
    <w:p w14:paraId="67211426">
      <w:pPr>
        <w:pStyle w:val="4"/>
        <w:bidi w:val="0"/>
        <w:rPr>
          <w:rFonts w:hint="default"/>
        </w:rPr>
      </w:pPr>
      <w:bookmarkStart w:id="50" w:name="_Toc10441"/>
      <w:r>
        <w:t>D.</w:t>
      </w:r>
      <w:r>
        <w:rPr>
          <w:rFonts w:hint="default"/>
        </w:rPr>
        <w:t>2 购置最节能空调</w:t>
      </w:r>
      <w:bookmarkEnd w:id="50"/>
    </w:p>
    <w:p w14:paraId="262A33AF">
      <w:pPr>
        <w:pStyle w:val="5"/>
        <w:ind w:firstLine="562"/>
        <w:rPr>
          <w:rFonts w:cs="Times New Roman"/>
        </w:rPr>
      </w:pPr>
      <w:r>
        <w:rPr>
          <w:rFonts w:hint="eastAsia" w:cs="Times New Roman"/>
        </w:rPr>
        <w:t>D.</w:t>
      </w:r>
      <w:r>
        <w:rPr>
          <w:rFonts w:cs="Times New Roman"/>
        </w:rPr>
        <w:t>2.1 定义</w:t>
      </w:r>
    </w:p>
    <w:p w14:paraId="3B9A3100">
      <w:pPr>
        <w:ind w:firstLine="480"/>
        <w:rPr>
          <w:rFonts w:cs="Times New Roman"/>
        </w:rPr>
      </w:pPr>
      <w:r>
        <w:rPr>
          <w:rFonts w:cs="Times New Roman"/>
        </w:rPr>
        <w:t>本分析聚焦于对中国家庭能耗影响最显著的家用电器——空调（AC）。以制冷容量在2,600–3,500瓦范围内的产品为标准，探讨将最低价空调替换为能效等级最高空调对个人福利的影响。</w:t>
      </w:r>
    </w:p>
    <w:p w14:paraId="075405A6">
      <w:pPr>
        <w:pStyle w:val="5"/>
        <w:ind w:firstLine="562"/>
        <w:rPr>
          <w:rFonts w:cs="Times New Roman"/>
        </w:rPr>
      </w:pPr>
      <w:r>
        <w:rPr>
          <w:rFonts w:hint="eastAsia" w:cs="Times New Roman"/>
        </w:rPr>
        <w:t>D.</w:t>
      </w:r>
      <w:r>
        <w:rPr>
          <w:rFonts w:cs="Times New Roman"/>
        </w:rPr>
        <w:t>2.2 测量</w:t>
      </w:r>
    </w:p>
    <w:p w14:paraId="435BB20F">
      <w:pPr>
        <w:ind w:firstLine="480"/>
        <w:rPr>
          <w:rFonts w:cs="Times New Roman"/>
        </w:rPr>
      </w:pPr>
      <w:r>
        <w:rPr>
          <w:rFonts w:cs="Times New Roman"/>
        </w:rPr>
        <w:t>本行为净福利变化等于使用最节能空调的年化成本减去使用最低价空调的年化成本。</w:t>
      </w:r>
    </w:p>
    <w:p w14:paraId="7F1052B2">
      <w:pPr>
        <w:ind w:firstLine="480"/>
        <w:rPr>
          <w:rFonts w:cs="Times New Roman"/>
        </w:rPr>
      </w:pPr>
      <w:r>
        <w:rPr>
          <w:rFonts w:cs="Times New Roman"/>
        </w:rPr>
        <w:t>使用最节能空调的年化成本为：</w:t>
      </w:r>
    </w:p>
    <w:p w14:paraId="7DED42FC">
      <w:pPr>
        <w:ind w:firstLine="480"/>
        <w:rPr>
          <w:rFonts w:cs="Times New Roman"/>
        </w:rPr>
      </w:pPr>
      <w:r>
        <w:rPr>
          <w:rFonts w:cs="Times New Roman"/>
        </w:rPr>
        <w:t>Cost高效 = Days × Hours × NumAC × Elec_eff × ElecPrice + PurchaseCost_eff</w:t>
      </w:r>
    </w:p>
    <w:p w14:paraId="4E499442">
      <w:pPr>
        <w:ind w:firstLine="480"/>
        <w:rPr>
          <w:rFonts w:cs="Times New Roman"/>
        </w:rPr>
      </w:pPr>
      <w:r>
        <w:rPr>
          <w:rFonts w:cs="Times New Roman"/>
        </w:rPr>
        <w:t>使用最低价空调的年化成本为：</w:t>
      </w:r>
    </w:p>
    <w:p w14:paraId="6591140F">
      <w:pPr>
        <w:ind w:firstLine="480"/>
        <w:rPr>
          <w:rFonts w:cs="Times New Roman"/>
        </w:rPr>
      </w:pPr>
      <w:r>
        <w:rPr>
          <w:rFonts w:cs="Times New Roman"/>
        </w:rPr>
        <w:t>Cost低价 = Days × Hours × NumAC × Elec_cheap × ElecPrice + PurchaseCost_cheap</w:t>
      </w:r>
    </w:p>
    <w:p w14:paraId="1E6DEAE3">
      <w:pPr>
        <w:ind w:firstLine="480"/>
        <w:rPr>
          <w:rFonts w:cs="Times New Roman"/>
        </w:rPr>
      </w:pPr>
      <w:r>
        <w:rPr>
          <w:rFonts w:cs="Times New Roman"/>
        </w:rPr>
        <w:t>其中，Days 为年均使用天数；Hours 为日均使用时长；NumAC 为家庭中非节能空调数量（最低价台数减去已有节能型台数）；Elec 为空调每小时耗电量（kWh）；ElecPrice 为居民电价；PurchaseCost 为空调摊销年度购置成本；HouseholdSize 为户均人口（用于从户级转换至人均）。</w:t>
      </w:r>
    </w:p>
    <w:p w14:paraId="045F00B0">
      <w:pPr>
        <w:pStyle w:val="5"/>
        <w:ind w:firstLine="562"/>
        <w:rPr>
          <w:rFonts w:cs="Times New Roman"/>
        </w:rPr>
      </w:pPr>
      <w:r>
        <w:rPr>
          <w:rFonts w:hint="eastAsia" w:cs="Times New Roman"/>
        </w:rPr>
        <w:t>D.</w:t>
      </w:r>
      <w:r>
        <w:rPr>
          <w:rFonts w:cs="Times New Roman"/>
        </w:rPr>
        <w:t>2.3 数据来源</w:t>
      </w:r>
    </w:p>
    <w:p w14:paraId="2B80BD15">
      <w:pPr>
        <w:ind w:firstLine="480"/>
        <w:rPr>
          <w:rFonts w:cs="Times New Roman"/>
        </w:rPr>
      </w:pPr>
      <w:r>
        <w:rPr>
          <w:rFonts w:cs="Times New Roman"/>
        </w:rPr>
        <w:t>（1）空调使用天数：依据全国日最高气温≥30°C的天数估算，2020–2024年均约为96.75天（S.D.=33.47天）。</w:t>
      </w:r>
    </w:p>
    <w:p w14:paraId="0DB63C56">
      <w:pPr>
        <w:ind w:firstLine="480"/>
        <w:rPr>
          <w:rFonts w:cs="Times New Roman"/>
        </w:rPr>
      </w:pPr>
      <w:r>
        <w:rPr>
          <w:rFonts w:cs="Times New Roman"/>
        </w:rPr>
        <w:t>（2）空调日均使用时长：综合多来源数据——北京市发展和改革委员会（2019年，5.2小时/天）、全国建筑能耗研究估算（2024年，5.9小时/天）、智能家居物联网大数据报告（2024年，7.2小时/天）——取均值6.10小时/天作为基准。</w:t>
      </w:r>
    </w:p>
    <w:p w14:paraId="51DAF0D9">
      <w:pPr>
        <w:ind w:firstLine="480"/>
        <w:rPr>
          <w:rFonts w:cs="Times New Roman"/>
        </w:rPr>
      </w:pPr>
      <w:r>
        <w:rPr>
          <w:rFonts w:cs="Times New Roman"/>
        </w:rPr>
        <w:t>（3）空调保有量：依据2018–2024年中国统计年鉴，城乡家庭空调平均保有量综合均值约为1.23台/户。其中，一级能效空调占比约20.13%（CRECS 2015），即节能型保有量约0.248台/户。</w:t>
      </w:r>
    </w:p>
    <w:p w14:paraId="3FE510E4">
      <w:pPr>
        <w:ind w:firstLine="480"/>
        <w:rPr>
          <w:rFonts w:cs="Times New Roman"/>
        </w:rPr>
      </w:pPr>
      <w:r>
        <w:rPr>
          <w:rFonts w:cs="Times New Roman"/>
        </w:rPr>
        <w:t>（4）空调能耗与购置成本：基于淘宝、京东平台的产品数据集，最低价组（底部25%性价比）平均耗电量0.345 kWh/小时，平均零售价1,699元，10年寿命下摊销成本约128.32元/年；最节能组（前25%能效）平均耗电量0.265 kWh/小时，平均零售价2,699元，摊销成本约203.85元/年（假设残值率5%，贴现率5%）。</w:t>
      </w:r>
    </w:p>
    <w:p w14:paraId="09C7F487">
      <w:pPr>
        <w:ind w:firstLine="480"/>
        <w:rPr>
          <w:rFonts w:cs="Times New Roman"/>
        </w:rPr>
      </w:pPr>
      <w:r>
        <w:rPr>
          <w:rFonts w:cs="Times New Roman"/>
        </w:rPr>
        <w:t>（5）居民电价：取国家发改委阶梯电价三档均值（0.53 + 0.58 + 0.83）/3 ≈ 0.65元/kWh。</w:t>
      </w:r>
    </w:p>
    <w:p w14:paraId="7DCC3AF3">
      <w:pPr>
        <w:ind w:firstLine="480"/>
        <w:rPr>
          <w:rFonts w:cs="Times New Roman"/>
        </w:rPr>
      </w:pPr>
      <w:r>
        <w:rPr>
          <w:rFonts w:cs="Times New Roman"/>
        </w:rPr>
        <w:t>（6）碳排放因子：参照生态环境部（2022年）公布的全国电网排放因子，取0.5703 kgCO₂e/kWh。</w:t>
      </w:r>
    </w:p>
    <w:p w14:paraId="56FE5607">
      <w:pPr>
        <w:ind w:firstLine="0" w:firstLineChars="0"/>
        <w:jc w:val="center"/>
        <w:rPr>
          <w:rFonts w:cs="Times New Roman"/>
        </w:rPr>
      </w:pPr>
    </w:p>
    <w:p w14:paraId="0EFDFB09">
      <w:pPr>
        <w:ind w:firstLine="0" w:firstLineChars="0"/>
        <w:jc w:val="center"/>
        <w:rPr>
          <w:rFonts w:cs="Times New Roman"/>
        </w:rPr>
      </w:pPr>
      <w:r>
        <w:rPr>
          <w:rFonts w:hint="eastAsia" w:cs="Times New Roman"/>
        </w:rPr>
        <w:t>附表</w:t>
      </w:r>
      <w:r>
        <w:rPr>
          <w:rFonts w:hint="eastAsia"/>
        </w:rPr>
        <w:t>D-</w:t>
      </w:r>
      <w:r>
        <w:t>3</w:t>
      </w:r>
    </w:p>
    <w:p w14:paraId="1DF60BAF">
      <w:pPr>
        <w:ind w:firstLine="0" w:firstLineChars="0"/>
        <w:jc w:val="center"/>
        <w:rPr>
          <w:rFonts w:cs="Times New Roman"/>
        </w:rPr>
      </w:pPr>
      <w:r>
        <w:rPr>
          <w:rFonts w:hint="eastAsia" w:cs="Times New Roman"/>
          <w:b/>
          <w:bCs/>
        </w:rPr>
        <w:t>Table D-3</w:t>
      </w:r>
    </w:p>
    <w:tbl>
      <w:tblPr>
        <w:tblStyle w:val="29"/>
        <w:tblpPr w:leftFromText="181" w:rightFromText="181" w:vertAnchor="text" w:horzAnchor="page" w:tblpX="1968" w:tblpY="302"/>
        <w:tblW w:w="875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00" w:type="dxa"/>
          <w:left w:w="100" w:type="dxa"/>
          <w:bottom w:w="100" w:type="dxa"/>
          <w:right w:w="100" w:type="dxa"/>
        </w:tblCellMar>
      </w:tblPr>
      <w:tblGrid>
        <w:gridCol w:w="2861"/>
        <w:gridCol w:w="1502"/>
        <w:gridCol w:w="1145"/>
        <w:gridCol w:w="1080"/>
        <w:gridCol w:w="1081"/>
        <w:gridCol w:w="1081"/>
      </w:tblGrid>
      <w:tr w14:paraId="02F992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tcBorders>
              <w:top w:val="single" w:color="000000" w:sz="12" w:space="0"/>
              <w:bottom w:val="single" w:color="000000" w:sz="4" w:space="0"/>
              <w:tl2br w:val="nil"/>
            </w:tcBorders>
            <w:shd w:val="clear" w:color="auto" w:fill="FFFFFF"/>
          </w:tcPr>
          <w:p w14:paraId="40AC3405">
            <w:pPr>
              <w:pStyle w:val="23"/>
              <w:rPr>
                <w:rFonts w:hint="eastAsia" w:ascii="宋体" w:hAnsi="宋体" w:eastAsia="宋体" w:cs="Times New Roman"/>
                <w:color w:val="000000"/>
              </w:rPr>
            </w:pPr>
            <w:r>
              <w:rPr>
                <w:rFonts w:ascii="宋体" w:hAnsi="宋体" w:eastAsia="宋体" w:cs="Times New Roman"/>
                <w:color w:val="000000"/>
              </w:rPr>
              <w:t>参数</w:t>
            </w:r>
          </w:p>
        </w:tc>
        <w:tc>
          <w:tcPr>
            <w:tcW w:w="1502" w:type="dxa"/>
            <w:tcBorders>
              <w:top w:val="single" w:color="000000" w:sz="12" w:space="0"/>
              <w:bottom w:val="single" w:color="000000" w:sz="4" w:space="0"/>
            </w:tcBorders>
            <w:shd w:val="clear" w:color="auto" w:fill="FFFFFF"/>
          </w:tcPr>
          <w:p w14:paraId="0917BC2C">
            <w:pPr>
              <w:pStyle w:val="23"/>
              <w:rPr>
                <w:rFonts w:hint="eastAsia" w:ascii="宋体" w:hAnsi="宋体" w:eastAsia="宋体" w:cs="Times New Roman"/>
                <w:color w:val="000000"/>
              </w:rPr>
            </w:pPr>
            <w:r>
              <w:rPr>
                <w:rFonts w:ascii="宋体" w:hAnsi="宋体" w:eastAsia="宋体" w:cs="Times New Roman"/>
                <w:color w:val="000000"/>
              </w:rPr>
              <w:t>单位</w:t>
            </w:r>
          </w:p>
        </w:tc>
        <w:tc>
          <w:tcPr>
            <w:tcW w:w="1145" w:type="dxa"/>
            <w:tcBorders>
              <w:top w:val="single" w:color="000000" w:sz="12" w:space="0"/>
              <w:bottom w:val="single" w:color="000000" w:sz="4" w:space="0"/>
            </w:tcBorders>
            <w:shd w:val="clear" w:color="auto" w:fill="FFFFFF"/>
          </w:tcPr>
          <w:p w14:paraId="6AB42091">
            <w:pPr>
              <w:pStyle w:val="23"/>
              <w:rPr>
                <w:rFonts w:hint="eastAsia" w:ascii="宋体" w:hAnsi="宋体" w:eastAsia="宋体" w:cs="Times New Roman"/>
                <w:color w:val="000000"/>
              </w:rPr>
            </w:pPr>
            <w:r>
              <w:rPr>
                <w:rFonts w:ascii="宋体" w:hAnsi="宋体" w:eastAsia="宋体" w:cs="Times New Roman"/>
                <w:color w:val="000000"/>
              </w:rPr>
              <w:t>分布</w:t>
            </w:r>
          </w:p>
        </w:tc>
        <w:tc>
          <w:tcPr>
            <w:tcW w:w="1080" w:type="dxa"/>
            <w:tcBorders>
              <w:top w:val="single" w:color="000000" w:sz="12" w:space="0"/>
              <w:bottom w:val="single" w:color="000000" w:sz="4" w:space="0"/>
            </w:tcBorders>
            <w:shd w:val="clear" w:color="auto" w:fill="FFFFFF"/>
          </w:tcPr>
          <w:p w14:paraId="6D43F82B">
            <w:pPr>
              <w:pStyle w:val="23"/>
              <w:rPr>
                <w:rFonts w:hint="eastAsia" w:ascii="宋体" w:hAnsi="宋体" w:eastAsia="宋体" w:cs="Times New Roman"/>
                <w:color w:val="000000"/>
              </w:rPr>
            </w:pPr>
            <w:r>
              <w:rPr>
                <w:rFonts w:ascii="宋体" w:hAnsi="宋体" w:eastAsia="宋体" w:cs="Times New Roman"/>
                <w:color w:val="000000"/>
              </w:rPr>
              <w:t>第10百分位</w:t>
            </w:r>
          </w:p>
        </w:tc>
        <w:tc>
          <w:tcPr>
            <w:tcW w:w="1081" w:type="dxa"/>
            <w:tcBorders>
              <w:top w:val="single" w:color="000000" w:sz="12" w:space="0"/>
              <w:bottom w:val="single" w:color="000000" w:sz="4" w:space="0"/>
            </w:tcBorders>
            <w:shd w:val="clear" w:color="auto" w:fill="FFFFFF"/>
          </w:tcPr>
          <w:p w14:paraId="402F4D84">
            <w:pPr>
              <w:pStyle w:val="23"/>
              <w:rPr>
                <w:rFonts w:hint="eastAsia" w:ascii="宋体" w:hAnsi="宋体" w:eastAsia="宋体" w:cs="Times New Roman"/>
                <w:color w:val="000000"/>
              </w:rPr>
            </w:pPr>
            <w:r>
              <w:rPr>
                <w:rFonts w:ascii="宋体" w:hAnsi="宋体" w:eastAsia="宋体" w:cs="Times New Roman"/>
                <w:color w:val="000000"/>
              </w:rPr>
              <w:t>均值</w:t>
            </w:r>
          </w:p>
        </w:tc>
        <w:tc>
          <w:tcPr>
            <w:tcW w:w="1081" w:type="dxa"/>
            <w:tcBorders>
              <w:top w:val="single" w:color="000000" w:sz="12" w:space="0"/>
              <w:bottom w:val="single" w:color="000000" w:sz="4" w:space="0"/>
            </w:tcBorders>
            <w:shd w:val="clear" w:color="auto" w:fill="FFFFFF"/>
          </w:tcPr>
          <w:p w14:paraId="6EDF4810">
            <w:pPr>
              <w:pStyle w:val="23"/>
              <w:rPr>
                <w:rFonts w:hint="eastAsia" w:ascii="宋体" w:hAnsi="宋体" w:eastAsia="宋体" w:cs="Times New Roman"/>
                <w:color w:val="000000"/>
              </w:rPr>
            </w:pPr>
            <w:r>
              <w:rPr>
                <w:rFonts w:ascii="宋体" w:hAnsi="宋体" w:eastAsia="宋体" w:cs="Times New Roman"/>
                <w:color w:val="000000"/>
              </w:rPr>
              <w:t>第90百分位</w:t>
            </w:r>
          </w:p>
        </w:tc>
      </w:tr>
      <w:tr w14:paraId="0D58AF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tcBorders>
              <w:top w:val="single" w:color="000000" w:sz="4" w:space="0"/>
            </w:tcBorders>
            <w:shd w:val="clear" w:color="auto" w:fill="FFFFFF"/>
          </w:tcPr>
          <w:p w14:paraId="4F7F1676">
            <w:pPr>
              <w:pStyle w:val="23"/>
              <w:rPr>
                <w:rFonts w:hint="eastAsia" w:ascii="宋体" w:hAnsi="宋体" w:eastAsia="宋体" w:cs="Times New Roman"/>
                <w:color w:val="000000"/>
              </w:rPr>
            </w:pPr>
            <w:r>
              <w:rPr>
                <w:rFonts w:ascii="宋体" w:hAnsi="宋体" w:eastAsia="宋体" w:cs="Times New Roman"/>
                <w:color w:val="000000"/>
              </w:rPr>
              <w:t>空调使用天数</w:t>
            </w:r>
          </w:p>
        </w:tc>
        <w:tc>
          <w:tcPr>
            <w:tcW w:w="1502" w:type="dxa"/>
            <w:tcBorders>
              <w:top w:val="single" w:color="000000" w:sz="4" w:space="0"/>
            </w:tcBorders>
            <w:shd w:val="clear" w:color="auto" w:fill="FFFFFF"/>
          </w:tcPr>
          <w:p w14:paraId="23B1CB16">
            <w:pPr>
              <w:pStyle w:val="23"/>
              <w:rPr>
                <w:rFonts w:hint="eastAsia" w:ascii="宋体" w:hAnsi="宋体" w:eastAsia="宋体" w:cs="Times New Roman"/>
                <w:color w:val="000000"/>
              </w:rPr>
            </w:pPr>
            <w:r>
              <w:rPr>
                <w:rFonts w:ascii="宋体" w:hAnsi="宋体" w:eastAsia="宋体" w:cs="Times New Roman"/>
                <w:color w:val="000000"/>
              </w:rPr>
              <w:t>天/年</w:t>
            </w:r>
          </w:p>
        </w:tc>
        <w:tc>
          <w:tcPr>
            <w:tcW w:w="1145" w:type="dxa"/>
            <w:tcBorders>
              <w:top w:val="single" w:color="000000" w:sz="4" w:space="0"/>
            </w:tcBorders>
            <w:shd w:val="clear" w:color="auto" w:fill="FFFFFF"/>
          </w:tcPr>
          <w:p w14:paraId="4B852A4D">
            <w:pPr>
              <w:pStyle w:val="23"/>
              <w:rPr>
                <w:rFonts w:hint="eastAsia" w:ascii="宋体" w:hAnsi="宋体" w:eastAsia="宋体" w:cs="Times New Roman"/>
                <w:color w:val="000000"/>
              </w:rPr>
            </w:pPr>
            <w:r>
              <w:rPr>
                <w:rFonts w:ascii="宋体" w:hAnsi="宋体" w:eastAsia="宋体" w:cs="Times New Roman"/>
                <w:color w:val="000000"/>
              </w:rPr>
              <w:t>正态</w:t>
            </w:r>
          </w:p>
        </w:tc>
        <w:tc>
          <w:tcPr>
            <w:tcW w:w="1080" w:type="dxa"/>
            <w:tcBorders>
              <w:top w:val="single" w:color="000000" w:sz="4" w:space="0"/>
            </w:tcBorders>
            <w:shd w:val="clear" w:color="auto" w:fill="FFFFFF"/>
          </w:tcPr>
          <w:p w14:paraId="7E791AD6">
            <w:pPr>
              <w:pStyle w:val="23"/>
              <w:rPr>
                <w:rFonts w:hint="eastAsia" w:ascii="宋体" w:hAnsi="宋体" w:eastAsia="宋体" w:cs="Times New Roman"/>
                <w:color w:val="000000"/>
              </w:rPr>
            </w:pPr>
            <w:r>
              <w:rPr>
                <w:rFonts w:ascii="宋体" w:hAnsi="宋体" w:eastAsia="宋体" w:cs="Times New Roman"/>
                <w:color w:val="000000"/>
              </w:rPr>
              <w:t>34.65</w:t>
            </w:r>
          </w:p>
        </w:tc>
        <w:tc>
          <w:tcPr>
            <w:tcW w:w="1081" w:type="dxa"/>
            <w:tcBorders>
              <w:top w:val="single" w:color="000000" w:sz="4" w:space="0"/>
            </w:tcBorders>
            <w:shd w:val="clear" w:color="auto" w:fill="FFFFFF"/>
          </w:tcPr>
          <w:p w14:paraId="7F9909AB">
            <w:pPr>
              <w:pStyle w:val="23"/>
              <w:rPr>
                <w:rFonts w:hint="eastAsia" w:ascii="宋体" w:hAnsi="宋体" w:eastAsia="宋体" w:cs="Times New Roman"/>
                <w:color w:val="000000"/>
              </w:rPr>
            </w:pPr>
            <w:r>
              <w:rPr>
                <w:rFonts w:ascii="宋体" w:hAnsi="宋体" w:eastAsia="宋体" w:cs="Times New Roman"/>
                <w:color w:val="000000"/>
              </w:rPr>
              <w:t>96.75</w:t>
            </w:r>
          </w:p>
        </w:tc>
        <w:tc>
          <w:tcPr>
            <w:tcW w:w="1081" w:type="dxa"/>
            <w:tcBorders>
              <w:top w:val="single" w:color="000000" w:sz="4" w:space="0"/>
            </w:tcBorders>
            <w:shd w:val="clear" w:color="auto" w:fill="FFFFFF"/>
          </w:tcPr>
          <w:p w14:paraId="3280A45C">
            <w:pPr>
              <w:pStyle w:val="23"/>
              <w:rPr>
                <w:rFonts w:hint="eastAsia" w:ascii="宋体" w:hAnsi="宋体" w:eastAsia="宋体" w:cs="Times New Roman"/>
                <w:color w:val="000000"/>
              </w:rPr>
            </w:pPr>
            <w:r>
              <w:rPr>
                <w:rFonts w:ascii="宋体" w:hAnsi="宋体" w:eastAsia="宋体" w:cs="Times New Roman"/>
                <w:color w:val="000000"/>
              </w:rPr>
              <w:t>159.85</w:t>
            </w:r>
          </w:p>
        </w:tc>
      </w:tr>
      <w:tr w14:paraId="21EF1C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shd w:val="clear" w:color="auto" w:fill="FFFFFF"/>
          </w:tcPr>
          <w:p w14:paraId="49DF971F">
            <w:pPr>
              <w:pStyle w:val="23"/>
              <w:rPr>
                <w:rFonts w:hint="eastAsia" w:ascii="宋体" w:hAnsi="宋体" w:eastAsia="宋体" w:cs="Times New Roman"/>
                <w:color w:val="000000"/>
              </w:rPr>
            </w:pPr>
            <w:r>
              <w:rPr>
                <w:rFonts w:ascii="宋体" w:hAnsi="宋体" w:eastAsia="宋体" w:cs="Times New Roman"/>
                <w:color w:val="000000"/>
              </w:rPr>
              <w:t>日均使用时长</w:t>
            </w:r>
          </w:p>
        </w:tc>
        <w:tc>
          <w:tcPr>
            <w:tcW w:w="1502" w:type="dxa"/>
            <w:shd w:val="clear" w:color="auto" w:fill="FFFFFF"/>
          </w:tcPr>
          <w:p w14:paraId="59F6FCAC">
            <w:pPr>
              <w:pStyle w:val="23"/>
              <w:rPr>
                <w:rFonts w:hint="eastAsia" w:ascii="宋体" w:hAnsi="宋体" w:eastAsia="宋体" w:cs="Times New Roman"/>
                <w:color w:val="000000"/>
              </w:rPr>
            </w:pPr>
            <w:r>
              <w:rPr>
                <w:rFonts w:ascii="宋体" w:hAnsi="宋体" w:eastAsia="宋体" w:cs="Times New Roman"/>
                <w:color w:val="000000"/>
              </w:rPr>
              <w:t>小时/天</w:t>
            </w:r>
          </w:p>
        </w:tc>
        <w:tc>
          <w:tcPr>
            <w:tcW w:w="1145" w:type="dxa"/>
            <w:shd w:val="clear" w:color="auto" w:fill="FFFFFF"/>
          </w:tcPr>
          <w:p w14:paraId="6679DFB0">
            <w:pPr>
              <w:pStyle w:val="23"/>
              <w:rPr>
                <w:rFonts w:hint="eastAsia" w:ascii="宋体" w:hAnsi="宋体" w:eastAsia="宋体" w:cs="Times New Roman"/>
                <w:color w:val="000000"/>
              </w:rPr>
            </w:pPr>
            <w:r>
              <w:rPr>
                <w:rFonts w:ascii="宋体" w:hAnsi="宋体" w:eastAsia="宋体" w:cs="Times New Roman"/>
                <w:color w:val="000000"/>
              </w:rPr>
              <w:t>正态</w:t>
            </w:r>
          </w:p>
        </w:tc>
        <w:tc>
          <w:tcPr>
            <w:tcW w:w="1080" w:type="dxa"/>
            <w:shd w:val="clear" w:color="auto" w:fill="FFFFFF"/>
          </w:tcPr>
          <w:p w14:paraId="71DB5EC4">
            <w:pPr>
              <w:pStyle w:val="23"/>
              <w:rPr>
                <w:rFonts w:hint="eastAsia" w:ascii="宋体" w:hAnsi="宋体" w:eastAsia="宋体" w:cs="Times New Roman"/>
                <w:color w:val="000000"/>
              </w:rPr>
            </w:pPr>
            <w:r>
              <w:rPr>
                <w:rFonts w:ascii="宋体" w:hAnsi="宋体" w:eastAsia="宋体" w:cs="Times New Roman"/>
                <w:color w:val="000000"/>
              </w:rPr>
              <w:t>1.71</w:t>
            </w:r>
          </w:p>
        </w:tc>
        <w:tc>
          <w:tcPr>
            <w:tcW w:w="1081" w:type="dxa"/>
            <w:shd w:val="clear" w:color="auto" w:fill="FFFFFF"/>
          </w:tcPr>
          <w:p w14:paraId="261837C0">
            <w:pPr>
              <w:pStyle w:val="23"/>
              <w:rPr>
                <w:rFonts w:hint="eastAsia" w:ascii="宋体" w:hAnsi="宋体" w:eastAsia="宋体" w:cs="Times New Roman"/>
                <w:color w:val="000000"/>
              </w:rPr>
            </w:pPr>
            <w:r>
              <w:rPr>
                <w:rFonts w:ascii="宋体" w:hAnsi="宋体" w:eastAsia="宋体" w:cs="Times New Roman"/>
                <w:color w:val="000000"/>
              </w:rPr>
              <w:t>6.10</w:t>
            </w:r>
          </w:p>
        </w:tc>
        <w:tc>
          <w:tcPr>
            <w:tcW w:w="1081" w:type="dxa"/>
            <w:shd w:val="clear" w:color="auto" w:fill="FFFFFF"/>
          </w:tcPr>
          <w:p w14:paraId="2D5E9178">
            <w:pPr>
              <w:pStyle w:val="23"/>
              <w:rPr>
                <w:rFonts w:hint="eastAsia" w:ascii="宋体" w:hAnsi="宋体" w:eastAsia="宋体" w:cs="Times New Roman"/>
                <w:color w:val="000000"/>
              </w:rPr>
            </w:pPr>
            <w:r>
              <w:rPr>
                <w:rFonts w:ascii="宋体" w:hAnsi="宋体" w:eastAsia="宋体" w:cs="Times New Roman"/>
                <w:color w:val="000000"/>
              </w:rPr>
              <w:t>10.49</w:t>
            </w:r>
          </w:p>
        </w:tc>
      </w:tr>
      <w:tr w14:paraId="54F251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shd w:val="clear" w:color="auto" w:fill="FFFFFF"/>
          </w:tcPr>
          <w:p w14:paraId="76BC4311">
            <w:pPr>
              <w:pStyle w:val="23"/>
              <w:rPr>
                <w:rFonts w:hint="eastAsia" w:ascii="宋体" w:hAnsi="宋体" w:eastAsia="宋体" w:cs="Times New Roman"/>
                <w:color w:val="000000"/>
              </w:rPr>
            </w:pPr>
            <w:r>
              <w:rPr>
                <w:rFonts w:ascii="宋体" w:hAnsi="宋体" w:eastAsia="宋体" w:cs="Times New Roman"/>
                <w:color w:val="000000"/>
              </w:rPr>
              <w:t xml:space="preserve">空调保有量—全部 </w:t>
            </w:r>
          </w:p>
        </w:tc>
        <w:tc>
          <w:tcPr>
            <w:tcW w:w="1502" w:type="dxa"/>
            <w:shd w:val="clear" w:color="auto" w:fill="FFFFFF"/>
          </w:tcPr>
          <w:p w14:paraId="3A2FBF7D">
            <w:pPr>
              <w:pStyle w:val="23"/>
              <w:rPr>
                <w:rFonts w:hint="eastAsia" w:ascii="宋体" w:hAnsi="宋体" w:eastAsia="宋体" w:cs="Times New Roman"/>
                <w:color w:val="000000"/>
              </w:rPr>
            </w:pPr>
            <w:r>
              <w:rPr>
                <w:rFonts w:ascii="宋体" w:hAnsi="宋体" w:eastAsia="宋体" w:cs="Times New Roman"/>
                <w:color w:val="000000"/>
              </w:rPr>
              <w:t>台/户</w:t>
            </w:r>
          </w:p>
        </w:tc>
        <w:tc>
          <w:tcPr>
            <w:tcW w:w="1145" w:type="dxa"/>
            <w:shd w:val="clear" w:color="auto" w:fill="FFFFFF"/>
          </w:tcPr>
          <w:p w14:paraId="5A97C946">
            <w:pPr>
              <w:pStyle w:val="23"/>
              <w:rPr>
                <w:rFonts w:hint="eastAsia" w:ascii="宋体" w:hAnsi="宋体" w:eastAsia="宋体" w:cs="Times New Roman"/>
                <w:color w:val="000000"/>
              </w:rPr>
            </w:pPr>
            <w:r>
              <w:rPr>
                <w:rFonts w:ascii="宋体" w:hAnsi="宋体" w:eastAsia="宋体" w:cs="Times New Roman"/>
                <w:color w:val="000000"/>
              </w:rPr>
              <w:t>正态</w:t>
            </w:r>
          </w:p>
        </w:tc>
        <w:tc>
          <w:tcPr>
            <w:tcW w:w="1080" w:type="dxa"/>
            <w:shd w:val="clear" w:color="auto" w:fill="FFFFFF"/>
          </w:tcPr>
          <w:p w14:paraId="698F6B5F">
            <w:pPr>
              <w:pStyle w:val="23"/>
              <w:rPr>
                <w:rFonts w:hint="eastAsia" w:ascii="宋体" w:hAnsi="宋体" w:eastAsia="宋体" w:cs="Times New Roman"/>
                <w:color w:val="000000"/>
              </w:rPr>
            </w:pPr>
            <w:r>
              <w:rPr>
                <w:rFonts w:ascii="宋体" w:hAnsi="宋体" w:eastAsia="宋体" w:cs="Times New Roman"/>
                <w:color w:val="000000"/>
              </w:rPr>
              <w:t>0.15</w:t>
            </w:r>
          </w:p>
        </w:tc>
        <w:tc>
          <w:tcPr>
            <w:tcW w:w="1081" w:type="dxa"/>
            <w:shd w:val="clear" w:color="auto" w:fill="FFFFFF"/>
          </w:tcPr>
          <w:p w14:paraId="73A10A44">
            <w:pPr>
              <w:pStyle w:val="23"/>
              <w:rPr>
                <w:rFonts w:hint="eastAsia" w:ascii="宋体" w:hAnsi="宋体" w:eastAsia="宋体" w:cs="Times New Roman"/>
                <w:color w:val="000000"/>
              </w:rPr>
            </w:pPr>
            <w:r>
              <w:rPr>
                <w:rFonts w:ascii="宋体" w:hAnsi="宋体" w:eastAsia="宋体" w:cs="Times New Roman"/>
                <w:color w:val="000000"/>
              </w:rPr>
              <w:t>1.23</w:t>
            </w:r>
          </w:p>
        </w:tc>
        <w:tc>
          <w:tcPr>
            <w:tcW w:w="1081" w:type="dxa"/>
            <w:shd w:val="clear" w:color="auto" w:fill="FFFFFF"/>
          </w:tcPr>
          <w:p w14:paraId="3A68CE74">
            <w:pPr>
              <w:pStyle w:val="23"/>
              <w:rPr>
                <w:rFonts w:hint="eastAsia" w:ascii="宋体" w:hAnsi="宋体" w:eastAsia="宋体" w:cs="Times New Roman"/>
                <w:color w:val="000000"/>
              </w:rPr>
            </w:pPr>
            <w:r>
              <w:rPr>
                <w:rFonts w:ascii="宋体" w:hAnsi="宋体" w:eastAsia="宋体" w:cs="Times New Roman"/>
                <w:color w:val="000000"/>
              </w:rPr>
              <w:t>2.31</w:t>
            </w:r>
          </w:p>
        </w:tc>
      </w:tr>
      <w:tr w14:paraId="73C35D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shd w:val="clear" w:color="auto" w:fill="FFFFFF"/>
          </w:tcPr>
          <w:p w14:paraId="41574BD0">
            <w:pPr>
              <w:pStyle w:val="23"/>
              <w:rPr>
                <w:rFonts w:hint="eastAsia" w:ascii="宋体" w:hAnsi="宋体" w:eastAsia="宋体" w:cs="Times New Roman"/>
                <w:color w:val="000000"/>
              </w:rPr>
            </w:pPr>
            <w:r>
              <w:rPr>
                <w:rFonts w:ascii="宋体" w:hAnsi="宋体" w:eastAsia="宋体" w:cs="Times New Roman"/>
                <w:color w:val="000000"/>
              </w:rPr>
              <w:t xml:space="preserve">空调保有量—节能型 </w:t>
            </w:r>
          </w:p>
        </w:tc>
        <w:tc>
          <w:tcPr>
            <w:tcW w:w="1502" w:type="dxa"/>
            <w:shd w:val="clear" w:color="auto" w:fill="FFFFFF"/>
          </w:tcPr>
          <w:p w14:paraId="5AD30D76">
            <w:pPr>
              <w:pStyle w:val="23"/>
              <w:rPr>
                <w:rFonts w:hint="eastAsia" w:ascii="宋体" w:hAnsi="宋体" w:eastAsia="宋体" w:cs="Times New Roman"/>
                <w:color w:val="000000"/>
              </w:rPr>
            </w:pPr>
            <w:r>
              <w:rPr>
                <w:rFonts w:ascii="宋体" w:hAnsi="宋体" w:eastAsia="宋体" w:cs="Times New Roman"/>
                <w:color w:val="000000"/>
              </w:rPr>
              <w:t>台/户</w:t>
            </w:r>
          </w:p>
        </w:tc>
        <w:tc>
          <w:tcPr>
            <w:tcW w:w="1145" w:type="dxa"/>
            <w:shd w:val="clear" w:color="auto" w:fill="FFFFFF"/>
          </w:tcPr>
          <w:p w14:paraId="48E0AC15">
            <w:pPr>
              <w:pStyle w:val="23"/>
              <w:rPr>
                <w:rFonts w:hint="eastAsia" w:ascii="宋体" w:hAnsi="宋体" w:eastAsia="宋体" w:cs="Times New Roman"/>
                <w:color w:val="000000"/>
              </w:rPr>
            </w:pPr>
            <w:r>
              <w:rPr>
                <w:rFonts w:ascii="宋体" w:hAnsi="宋体" w:eastAsia="宋体" w:cs="Times New Roman"/>
                <w:color w:val="000000"/>
              </w:rPr>
              <w:t>正态</w:t>
            </w:r>
          </w:p>
        </w:tc>
        <w:tc>
          <w:tcPr>
            <w:tcW w:w="1080" w:type="dxa"/>
            <w:shd w:val="clear" w:color="auto" w:fill="FFFFFF"/>
          </w:tcPr>
          <w:p w14:paraId="0A62B31E">
            <w:pPr>
              <w:pStyle w:val="23"/>
              <w:rPr>
                <w:rFonts w:hint="eastAsia" w:ascii="宋体" w:hAnsi="宋体" w:eastAsia="宋体" w:cs="Times New Roman"/>
                <w:color w:val="000000"/>
              </w:rPr>
            </w:pPr>
            <w:r>
              <w:rPr>
                <w:rFonts w:ascii="宋体" w:hAnsi="宋体" w:eastAsia="宋体" w:cs="Times New Roman"/>
                <w:color w:val="000000"/>
              </w:rPr>
              <w:t>0.03</w:t>
            </w:r>
          </w:p>
        </w:tc>
        <w:tc>
          <w:tcPr>
            <w:tcW w:w="1081" w:type="dxa"/>
            <w:shd w:val="clear" w:color="auto" w:fill="FFFFFF"/>
          </w:tcPr>
          <w:p w14:paraId="7B8AADF7">
            <w:pPr>
              <w:pStyle w:val="23"/>
              <w:rPr>
                <w:rFonts w:hint="eastAsia" w:ascii="宋体" w:hAnsi="宋体" w:eastAsia="宋体" w:cs="Times New Roman"/>
                <w:color w:val="000000"/>
              </w:rPr>
            </w:pPr>
            <w:r>
              <w:rPr>
                <w:rFonts w:ascii="宋体" w:hAnsi="宋体" w:eastAsia="宋体" w:cs="Times New Roman"/>
                <w:color w:val="000000"/>
              </w:rPr>
              <w:t>0.248</w:t>
            </w:r>
          </w:p>
        </w:tc>
        <w:tc>
          <w:tcPr>
            <w:tcW w:w="1081" w:type="dxa"/>
            <w:shd w:val="clear" w:color="auto" w:fill="FFFFFF"/>
          </w:tcPr>
          <w:p w14:paraId="4396B2C7">
            <w:pPr>
              <w:pStyle w:val="23"/>
              <w:rPr>
                <w:rFonts w:hint="eastAsia" w:ascii="宋体" w:hAnsi="宋体" w:eastAsia="宋体" w:cs="Times New Roman"/>
                <w:color w:val="000000"/>
              </w:rPr>
            </w:pPr>
            <w:r>
              <w:rPr>
                <w:rFonts w:ascii="宋体" w:hAnsi="宋体" w:eastAsia="宋体" w:cs="Times New Roman"/>
                <w:color w:val="000000"/>
              </w:rPr>
              <w:t>0.47</w:t>
            </w:r>
          </w:p>
        </w:tc>
      </w:tr>
      <w:tr w14:paraId="0B41DB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shd w:val="clear" w:color="auto" w:fill="FFFFFF"/>
          </w:tcPr>
          <w:p w14:paraId="6F481B98">
            <w:pPr>
              <w:pStyle w:val="23"/>
              <w:rPr>
                <w:rFonts w:hint="eastAsia" w:ascii="宋体" w:hAnsi="宋体" w:eastAsia="宋体" w:cs="Times New Roman"/>
                <w:color w:val="000000"/>
              </w:rPr>
            </w:pPr>
            <w:r>
              <w:rPr>
                <w:rFonts w:ascii="宋体" w:hAnsi="宋体" w:eastAsia="宋体" w:cs="Times New Roman"/>
                <w:color w:val="000000"/>
              </w:rPr>
              <w:t xml:space="preserve">能耗—最低价空调 </w:t>
            </w:r>
          </w:p>
        </w:tc>
        <w:tc>
          <w:tcPr>
            <w:tcW w:w="1502" w:type="dxa"/>
            <w:shd w:val="clear" w:color="auto" w:fill="FFFFFF"/>
          </w:tcPr>
          <w:p w14:paraId="600DCD81">
            <w:pPr>
              <w:pStyle w:val="23"/>
              <w:rPr>
                <w:rFonts w:hint="eastAsia" w:ascii="宋体" w:hAnsi="宋体" w:eastAsia="宋体" w:cs="Times New Roman"/>
                <w:color w:val="000000"/>
              </w:rPr>
            </w:pPr>
            <w:r>
              <w:rPr>
                <w:rFonts w:ascii="宋体" w:hAnsi="宋体" w:eastAsia="宋体" w:cs="Times New Roman"/>
                <w:color w:val="000000"/>
              </w:rPr>
              <w:t>kWh/小时</w:t>
            </w:r>
          </w:p>
        </w:tc>
        <w:tc>
          <w:tcPr>
            <w:tcW w:w="1145" w:type="dxa"/>
            <w:shd w:val="clear" w:color="auto" w:fill="FFFFFF"/>
          </w:tcPr>
          <w:p w14:paraId="362CE3AC">
            <w:pPr>
              <w:pStyle w:val="23"/>
              <w:rPr>
                <w:rFonts w:hint="eastAsia" w:ascii="宋体" w:hAnsi="宋体" w:eastAsia="宋体" w:cs="Times New Roman"/>
                <w:color w:val="000000"/>
              </w:rPr>
            </w:pPr>
            <w:r>
              <w:rPr>
                <w:rFonts w:ascii="宋体" w:hAnsi="宋体" w:eastAsia="宋体" w:cs="Times New Roman"/>
                <w:color w:val="000000"/>
              </w:rPr>
              <w:t>正态</w:t>
            </w:r>
          </w:p>
        </w:tc>
        <w:tc>
          <w:tcPr>
            <w:tcW w:w="1080" w:type="dxa"/>
            <w:shd w:val="clear" w:color="auto" w:fill="FFFFFF"/>
          </w:tcPr>
          <w:p w14:paraId="7A9665A0">
            <w:pPr>
              <w:pStyle w:val="23"/>
              <w:rPr>
                <w:rFonts w:hint="eastAsia" w:ascii="宋体" w:hAnsi="宋体" w:eastAsia="宋体" w:cs="Times New Roman"/>
                <w:color w:val="000000"/>
              </w:rPr>
            </w:pPr>
            <w:r>
              <w:rPr>
                <w:rFonts w:ascii="宋体" w:hAnsi="宋体" w:eastAsia="宋体" w:cs="Times New Roman"/>
                <w:color w:val="000000"/>
              </w:rPr>
              <w:t>0.27</w:t>
            </w:r>
          </w:p>
        </w:tc>
        <w:tc>
          <w:tcPr>
            <w:tcW w:w="1081" w:type="dxa"/>
            <w:shd w:val="clear" w:color="auto" w:fill="FFFFFF"/>
          </w:tcPr>
          <w:p w14:paraId="01CF94A9">
            <w:pPr>
              <w:pStyle w:val="23"/>
              <w:rPr>
                <w:rFonts w:hint="eastAsia" w:ascii="宋体" w:hAnsi="宋体" w:eastAsia="宋体" w:cs="Times New Roman"/>
                <w:color w:val="000000"/>
              </w:rPr>
            </w:pPr>
            <w:r>
              <w:rPr>
                <w:rFonts w:ascii="宋体" w:hAnsi="宋体" w:eastAsia="宋体" w:cs="Times New Roman"/>
                <w:color w:val="000000"/>
              </w:rPr>
              <w:t>0.345</w:t>
            </w:r>
          </w:p>
        </w:tc>
        <w:tc>
          <w:tcPr>
            <w:tcW w:w="1081" w:type="dxa"/>
            <w:shd w:val="clear" w:color="auto" w:fill="FFFFFF"/>
          </w:tcPr>
          <w:p w14:paraId="4A44676A">
            <w:pPr>
              <w:pStyle w:val="23"/>
              <w:rPr>
                <w:rFonts w:hint="eastAsia" w:ascii="宋体" w:hAnsi="宋体" w:eastAsia="宋体" w:cs="Times New Roman"/>
                <w:color w:val="000000"/>
              </w:rPr>
            </w:pPr>
            <w:r>
              <w:rPr>
                <w:rFonts w:ascii="宋体" w:hAnsi="宋体" w:eastAsia="宋体" w:cs="Times New Roman"/>
                <w:color w:val="000000"/>
              </w:rPr>
              <w:t>0.42</w:t>
            </w:r>
          </w:p>
        </w:tc>
      </w:tr>
      <w:tr w14:paraId="795324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shd w:val="clear" w:color="auto" w:fill="FFFFFF"/>
          </w:tcPr>
          <w:p w14:paraId="1E9D2325">
            <w:pPr>
              <w:pStyle w:val="23"/>
              <w:rPr>
                <w:rFonts w:hint="eastAsia" w:ascii="宋体" w:hAnsi="宋体" w:eastAsia="宋体" w:cs="Times New Roman"/>
                <w:color w:val="000000"/>
              </w:rPr>
            </w:pPr>
            <w:r>
              <w:rPr>
                <w:rFonts w:ascii="宋体" w:hAnsi="宋体" w:eastAsia="宋体" w:cs="Times New Roman"/>
                <w:color w:val="000000"/>
              </w:rPr>
              <w:t xml:space="preserve">能耗—最节能空调 </w:t>
            </w:r>
          </w:p>
        </w:tc>
        <w:tc>
          <w:tcPr>
            <w:tcW w:w="1502" w:type="dxa"/>
            <w:shd w:val="clear" w:color="auto" w:fill="FFFFFF"/>
          </w:tcPr>
          <w:p w14:paraId="6EEED2F0">
            <w:pPr>
              <w:pStyle w:val="23"/>
              <w:rPr>
                <w:rFonts w:hint="eastAsia" w:ascii="宋体" w:hAnsi="宋体" w:eastAsia="宋体" w:cs="Times New Roman"/>
                <w:color w:val="000000"/>
              </w:rPr>
            </w:pPr>
            <w:r>
              <w:rPr>
                <w:rFonts w:ascii="宋体" w:hAnsi="宋体" w:eastAsia="宋体" w:cs="Times New Roman"/>
                <w:color w:val="000000"/>
              </w:rPr>
              <w:t>kWh/小时</w:t>
            </w:r>
          </w:p>
        </w:tc>
        <w:tc>
          <w:tcPr>
            <w:tcW w:w="1145" w:type="dxa"/>
            <w:shd w:val="clear" w:color="auto" w:fill="FFFFFF"/>
          </w:tcPr>
          <w:p w14:paraId="0124DDA8">
            <w:pPr>
              <w:pStyle w:val="23"/>
              <w:rPr>
                <w:rFonts w:hint="eastAsia" w:ascii="宋体" w:hAnsi="宋体" w:eastAsia="宋体" w:cs="Times New Roman"/>
                <w:color w:val="000000"/>
              </w:rPr>
            </w:pPr>
            <w:r>
              <w:rPr>
                <w:rFonts w:ascii="宋体" w:hAnsi="宋体" w:eastAsia="宋体" w:cs="Times New Roman"/>
                <w:color w:val="000000"/>
              </w:rPr>
              <w:t>正态</w:t>
            </w:r>
          </w:p>
        </w:tc>
        <w:tc>
          <w:tcPr>
            <w:tcW w:w="1080" w:type="dxa"/>
            <w:shd w:val="clear" w:color="auto" w:fill="FFFFFF"/>
          </w:tcPr>
          <w:p w14:paraId="27F24975">
            <w:pPr>
              <w:pStyle w:val="23"/>
              <w:rPr>
                <w:rFonts w:hint="eastAsia" w:ascii="宋体" w:hAnsi="宋体" w:eastAsia="宋体" w:cs="Times New Roman"/>
                <w:color w:val="000000"/>
              </w:rPr>
            </w:pPr>
            <w:r>
              <w:rPr>
                <w:rFonts w:ascii="宋体" w:hAnsi="宋体" w:eastAsia="宋体" w:cs="Times New Roman"/>
                <w:color w:val="000000"/>
              </w:rPr>
              <w:t>0.22</w:t>
            </w:r>
          </w:p>
        </w:tc>
        <w:tc>
          <w:tcPr>
            <w:tcW w:w="1081" w:type="dxa"/>
            <w:shd w:val="clear" w:color="auto" w:fill="FFFFFF"/>
          </w:tcPr>
          <w:p w14:paraId="16C9C28E">
            <w:pPr>
              <w:pStyle w:val="23"/>
              <w:rPr>
                <w:rFonts w:hint="eastAsia" w:ascii="宋体" w:hAnsi="宋体" w:eastAsia="宋体" w:cs="Times New Roman"/>
                <w:color w:val="000000"/>
              </w:rPr>
            </w:pPr>
            <w:r>
              <w:rPr>
                <w:rFonts w:ascii="宋体" w:hAnsi="宋体" w:eastAsia="宋体" w:cs="Times New Roman"/>
                <w:color w:val="000000"/>
              </w:rPr>
              <w:t>0.265</w:t>
            </w:r>
          </w:p>
        </w:tc>
        <w:tc>
          <w:tcPr>
            <w:tcW w:w="1081" w:type="dxa"/>
            <w:shd w:val="clear" w:color="auto" w:fill="FFFFFF"/>
          </w:tcPr>
          <w:p w14:paraId="3CB9F9BD">
            <w:pPr>
              <w:pStyle w:val="23"/>
              <w:rPr>
                <w:rFonts w:hint="eastAsia" w:ascii="宋体" w:hAnsi="宋体" w:eastAsia="宋体" w:cs="Times New Roman"/>
                <w:color w:val="000000"/>
              </w:rPr>
            </w:pPr>
            <w:r>
              <w:rPr>
                <w:rFonts w:ascii="宋体" w:hAnsi="宋体" w:eastAsia="宋体" w:cs="Times New Roman"/>
                <w:color w:val="000000"/>
              </w:rPr>
              <w:t>0.31</w:t>
            </w:r>
          </w:p>
        </w:tc>
      </w:tr>
      <w:tr w14:paraId="1ED6CD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shd w:val="clear" w:color="auto" w:fill="FFFFFF"/>
          </w:tcPr>
          <w:p w14:paraId="10FBBBB7">
            <w:pPr>
              <w:pStyle w:val="23"/>
              <w:rPr>
                <w:rFonts w:hint="eastAsia" w:ascii="宋体" w:hAnsi="宋体" w:eastAsia="宋体" w:cs="Times New Roman"/>
                <w:color w:val="000000"/>
              </w:rPr>
            </w:pPr>
            <w:r>
              <w:rPr>
                <w:rFonts w:ascii="宋体" w:hAnsi="宋体" w:eastAsia="宋体" w:cs="Times New Roman"/>
                <w:color w:val="000000"/>
              </w:rPr>
              <w:t xml:space="preserve">购置成本—最低价 </w:t>
            </w:r>
          </w:p>
        </w:tc>
        <w:tc>
          <w:tcPr>
            <w:tcW w:w="1502" w:type="dxa"/>
            <w:shd w:val="clear" w:color="auto" w:fill="FFFFFF"/>
          </w:tcPr>
          <w:p w14:paraId="5DE0FF17">
            <w:pPr>
              <w:pStyle w:val="23"/>
              <w:rPr>
                <w:rFonts w:hint="eastAsia" w:ascii="宋体" w:hAnsi="宋体" w:eastAsia="宋体" w:cs="Times New Roman"/>
                <w:color w:val="000000"/>
              </w:rPr>
            </w:pPr>
            <w:r>
              <w:rPr>
                <w:rFonts w:ascii="宋体" w:hAnsi="宋体" w:eastAsia="宋体" w:cs="Times New Roman"/>
                <w:color w:val="000000"/>
              </w:rPr>
              <w:t>元/年</w:t>
            </w:r>
          </w:p>
        </w:tc>
        <w:tc>
          <w:tcPr>
            <w:tcW w:w="1145" w:type="dxa"/>
            <w:shd w:val="clear" w:color="auto" w:fill="FFFFFF"/>
          </w:tcPr>
          <w:p w14:paraId="3D05BE4F">
            <w:pPr>
              <w:pStyle w:val="23"/>
              <w:rPr>
                <w:rFonts w:hint="eastAsia" w:ascii="宋体" w:hAnsi="宋体" w:eastAsia="宋体" w:cs="Times New Roman"/>
                <w:color w:val="000000"/>
              </w:rPr>
            </w:pPr>
            <w:r>
              <w:rPr>
                <w:rFonts w:ascii="宋体" w:hAnsi="宋体" w:eastAsia="宋体" w:cs="Times New Roman"/>
                <w:color w:val="000000"/>
              </w:rPr>
              <w:t>正态</w:t>
            </w:r>
          </w:p>
        </w:tc>
        <w:tc>
          <w:tcPr>
            <w:tcW w:w="1080" w:type="dxa"/>
            <w:shd w:val="clear" w:color="auto" w:fill="FFFFFF"/>
          </w:tcPr>
          <w:p w14:paraId="34E7AC3A">
            <w:pPr>
              <w:pStyle w:val="23"/>
              <w:rPr>
                <w:rFonts w:hint="eastAsia" w:ascii="宋体" w:hAnsi="宋体" w:eastAsia="宋体" w:cs="Times New Roman"/>
                <w:color w:val="000000"/>
              </w:rPr>
            </w:pPr>
            <w:r>
              <w:rPr>
                <w:rFonts w:ascii="宋体" w:hAnsi="宋体" w:eastAsia="宋体" w:cs="Times New Roman"/>
                <w:color w:val="000000"/>
              </w:rPr>
              <w:t>108.92</w:t>
            </w:r>
          </w:p>
        </w:tc>
        <w:tc>
          <w:tcPr>
            <w:tcW w:w="1081" w:type="dxa"/>
            <w:shd w:val="clear" w:color="auto" w:fill="FFFFFF"/>
          </w:tcPr>
          <w:p w14:paraId="7AE8D1D1">
            <w:pPr>
              <w:pStyle w:val="23"/>
              <w:rPr>
                <w:rFonts w:hint="eastAsia" w:ascii="宋体" w:hAnsi="宋体" w:eastAsia="宋体" w:cs="Times New Roman"/>
                <w:color w:val="000000"/>
              </w:rPr>
            </w:pPr>
            <w:r>
              <w:rPr>
                <w:rFonts w:ascii="宋体" w:hAnsi="宋体" w:eastAsia="宋体" w:cs="Times New Roman"/>
                <w:color w:val="000000"/>
              </w:rPr>
              <w:t>128.32</w:t>
            </w:r>
          </w:p>
        </w:tc>
        <w:tc>
          <w:tcPr>
            <w:tcW w:w="1081" w:type="dxa"/>
            <w:shd w:val="clear" w:color="auto" w:fill="FFFFFF"/>
          </w:tcPr>
          <w:p w14:paraId="194867A3">
            <w:pPr>
              <w:pStyle w:val="23"/>
              <w:rPr>
                <w:rFonts w:hint="eastAsia" w:ascii="宋体" w:hAnsi="宋体" w:eastAsia="宋体" w:cs="Times New Roman"/>
                <w:color w:val="000000"/>
              </w:rPr>
            </w:pPr>
            <w:r>
              <w:rPr>
                <w:rFonts w:ascii="宋体" w:hAnsi="宋体" w:eastAsia="宋体" w:cs="Times New Roman"/>
                <w:color w:val="000000"/>
              </w:rPr>
              <w:t>147.72</w:t>
            </w:r>
          </w:p>
        </w:tc>
      </w:tr>
      <w:tr w14:paraId="093E90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shd w:val="clear" w:color="auto" w:fill="FFFFFF"/>
          </w:tcPr>
          <w:p w14:paraId="2C6EDB97">
            <w:pPr>
              <w:pStyle w:val="23"/>
              <w:rPr>
                <w:rFonts w:hint="eastAsia" w:ascii="宋体" w:hAnsi="宋体" w:eastAsia="宋体" w:cs="Times New Roman"/>
                <w:color w:val="000000"/>
              </w:rPr>
            </w:pPr>
            <w:r>
              <w:rPr>
                <w:rFonts w:ascii="宋体" w:hAnsi="宋体" w:eastAsia="宋体" w:cs="Times New Roman"/>
                <w:color w:val="000000"/>
              </w:rPr>
              <w:t xml:space="preserve">购置成本—最节能 </w:t>
            </w:r>
          </w:p>
        </w:tc>
        <w:tc>
          <w:tcPr>
            <w:tcW w:w="1502" w:type="dxa"/>
            <w:shd w:val="clear" w:color="auto" w:fill="FFFFFF"/>
          </w:tcPr>
          <w:p w14:paraId="5E19F34E">
            <w:pPr>
              <w:pStyle w:val="23"/>
              <w:rPr>
                <w:rFonts w:hint="eastAsia" w:ascii="宋体" w:hAnsi="宋体" w:eastAsia="宋体" w:cs="Times New Roman"/>
                <w:color w:val="000000"/>
              </w:rPr>
            </w:pPr>
            <w:r>
              <w:rPr>
                <w:rFonts w:ascii="宋体" w:hAnsi="宋体" w:eastAsia="宋体" w:cs="Times New Roman"/>
                <w:color w:val="000000"/>
              </w:rPr>
              <w:t>元/年</w:t>
            </w:r>
          </w:p>
        </w:tc>
        <w:tc>
          <w:tcPr>
            <w:tcW w:w="1145" w:type="dxa"/>
            <w:shd w:val="clear" w:color="auto" w:fill="FFFFFF"/>
          </w:tcPr>
          <w:p w14:paraId="23C9087E">
            <w:pPr>
              <w:pStyle w:val="23"/>
              <w:rPr>
                <w:rFonts w:hint="eastAsia" w:ascii="宋体" w:hAnsi="宋体" w:eastAsia="宋体" w:cs="Times New Roman"/>
                <w:color w:val="000000"/>
              </w:rPr>
            </w:pPr>
            <w:r>
              <w:rPr>
                <w:rFonts w:ascii="宋体" w:hAnsi="宋体" w:eastAsia="宋体" w:cs="Times New Roman"/>
                <w:color w:val="000000"/>
              </w:rPr>
              <w:t>正态</w:t>
            </w:r>
          </w:p>
        </w:tc>
        <w:tc>
          <w:tcPr>
            <w:tcW w:w="1080" w:type="dxa"/>
            <w:shd w:val="clear" w:color="auto" w:fill="FFFFFF"/>
          </w:tcPr>
          <w:p w14:paraId="0D572731">
            <w:pPr>
              <w:pStyle w:val="23"/>
              <w:rPr>
                <w:rFonts w:hint="eastAsia" w:ascii="宋体" w:hAnsi="宋体" w:eastAsia="宋体" w:cs="Times New Roman"/>
                <w:color w:val="000000"/>
              </w:rPr>
            </w:pPr>
            <w:r>
              <w:rPr>
                <w:rFonts w:ascii="宋体" w:hAnsi="宋体" w:eastAsia="宋体" w:cs="Times New Roman"/>
                <w:color w:val="000000"/>
              </w:rPr>
              <w:t>151.90</w:t>
            </w:r>
          </w:p>
        </w:tc>
        <w:tc>
          <w:tcPr>
            <w:tcW w:w="1081" w:type="dxa"/>
            <w:shd w:val="clear" w:color="auto" w:fill="FFFFFF"/>
          </w:tcPr>
          <w:p w14:paraId="2188E223">
            <w:pPr>
              <w:pStyle w:val="23"/>
              <w:rPr>
                <w:rFonts w:hint="eastAsia" w:ascii="宋体" w:hAnsi="宋体" w:eastAsia="宋体" w:cs="Times New Roman"/>
                <w:color w:val="000000"/>
              </w:rPr>
            </w:pPr>
            <w:r>
              <w:rPr>
                <w:rFonts w:ascii="宋体" w:hAnsi="宋体" w:eastAsia="宋体" w:cs="Times New Roman"/>
                <w:color w:val="000000"/>
              </w:rPr>
              <w:t>203.85</w:t>
            </w:r>
          </w:p>
        </w:tc>
        <w:tc>
          <w:tcPr>
            <w:tcW w:w="1081" w:type="dxa"/>
            <w:shd w:val="clear" w:color="auto" w:fill="FFFFFF"/>
          </w:tcPr>
          <w:p w14:paraId="78DFFCF7">
            <w:pPr>
              <w:pStyle w:val="23"/>
              <w:rPr>
                <w:rFonts w:hint="eastAsia" w:ascii="宋体" w:hAnsi="宋体" w:eastAsia="宋体" w:cs="Times New Roman"/>
                <w:color w:val="000000"/>
              </w:rPr>
            </w:pPr>
            <w:r>
              <w:rPr>
                <w:rFonts w:ascii="宋体" w:hAnsi="宋体" w:eastAsia="宋体" w:cs="Times New Roman"/>
                <w:color w:val="000000"/>
              </w:rPr>
              <w:t>255.80</w:t>
            </w:r>
          </w:p>
        </w:tc>
      </w:tr>
      <w:tr w14:paraId="5F0CE7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shd w:val="clear" w:color="auto" w:fill="FFFFFF"/>
          </w:tcPr>
          <w:p w14:paraId="6BE66702">
            <w:pPr>
              <w:pStyle w:val="23"/>
              <w:rPr>
                <w:rFonts w:hint="eastAsia" w:ascii="宋体" w:hAnsi="宋体" w:eastAsia="宋体" w:cs="Times New Roman"/>
                <w:color w:val="000000"/>
              </w:rPr>
            </w:pPr>
            <w:r>
              <w:rPr>
                <w:rFonts w:ascii="宋体" w:hAnsi="宋体" w:eastAsia="宋体" w:cs="Times New Roman"/>
                <w:color w:val="000000"/>
              </w:rPr>
              <w:t>居民电价</w:t>
            </w:r>
          </w:p>
        </w:tc>
        <w:tc>
          <w:tcPr>
            <w:tcW w:w="1502" w:type="dxa"/>
            <w:shd w:val="clear" w:color="auto" w:fill="FFFFFF"/>
          </w:tcPr>
          <w:p w14:paraId="38FE18AA">
            <w:pPr>
              <w:pStyle w:val="23"/>
              <w:rPr>
                <w:rFonts w:hint="eastAsia" w:ascii="宋体" w:hAnsi="宋体" w:eastAsia="宋体" w:cs="Times New Roman"/>
                <w:color w:val="000000"/>
              </w:rPr>
            </w:pPr>
            <w:r>
              <w:rPr>
                <w:rFonts w:ascii="宋体" w:hAnsi="宋体" w:eastAsia="宋体" w:cs="Times New Roman"/>
                <w:color w:val="000000"/>
              </w:rPr>
              <w:t>元/kWh</w:t>
            </w:r>
          </w:p>
        </w:tc>
        <w:tc>
          <w:tcPr>
            <w:tcW w:w="1145" w:type="dxa"/>
            <w:shd w:val="clear" w:color="auto" w:fill="FFFFFF"/>
          </w:tcPr>
          <w:p w14:paraId="3724237A">
            <w:pPr>
              <w:pStyle w:val="23"/>
              <w:rPr>
                <w:rFonts w:hint="eastAsia" w:ascii="宋体" w:hAnsi="宋体" w:eastAsia="宋体" w:cs="Times New Roman"/>
                <w:color w:val="000000"/>
              </w:rPr>
            </w:pPr>
            <w:r>
              <w:rPr>
                <w:rFonts w:ascii="宋体" w:hAnsi="宋体" w:eastAsia="宋体" w:cs="Times New Roman"/>
                <w:color w:val="000000"/>
              </w:rPr>
              <w:t>三角</w:t>
            </w:r>
          </w:p>
        </w:tc>
        <w:tc>
          <w:tcPr>
            <w:tcW w:w="1080" w:type="dxa"/>
            <w:shd w:val="clear" w:color="auto" w:fill="FFFFFF"/>
          </w:tcPr>
          <w:p w14:paraId="29AD1C81">
            <w:pPr>
              <w:pStyle w:val="23"/>
              <w:rPr>
                <w:rFonts w:hint="eastAsia" w:ascii="宋体" w:hAnsi="宋体" w:eastAsia="宋体" w:cs="Times New Roman"/>
                <w:color w:val="000000"/>
              </w:rPr>
            </w:pPr>
            <w:r>
              <w:rPr>
                <w:rFonts w:ascii="宋体" w:hAnsi="宋体" w:eastAsia="宋体" w:cs="Times New Roman"/>
                <w:color w:val="000000"/>
              </w:rPr>
              <w:t>0.53</w:t>
            </w:r>
          </w:p>
        </w:tc>
        <w:tc>
          <w:tcPr>
            <w:tcW w:w="1081" w:type="dxa"/>
            <w:shd w:val="clear" w:color="auto" w:fill="FFFFFF"/>
          </w:tcPr>
          <w:p w14:paraId="3D8693BF">
            <w:pPr>
              <w:pStyle w:val="23"/>
              <w:rPr>
                <w:rFonts w:hint="eastAsia" w:ascii="宋体" w:hAnsi="宋体" w:eastAsia="宋体" w:cs="Times New Roman"/>
                <w:color w:val="000000"/>
              </w:rPr>
            </w:pPr>
            <w:r>
              <w:rPr>
                <w:rFonts w:ascii="宋体" w:hAnsi="宋体" w:eastAsia="宋体" w:cs="Times New Roman"/>
                <w:color w:val="000000"/>
              </w:rPr>
              <w:t>0.65</w:t>
            </w:r>
          </w:p>
        </w:tc>
        <w:tc>
          <w:tcPr>
            <w:tcW w:w="1081" w:type="dxa"/>
            <w:shd w:val="clear" w:color="auto" w:fill="FFFFFF"/>
          </w:tcPr>
          <w:p w14:paraId="2EC7A63A">
            <w:pPr>
              <w:pStyle w:val="23"/>
              <w:rPr>
                <w:rFonts w:hint="eastAsia" w:ascii="宋体" w:hAnsi="宋体" w:eastAsia="宋体" w:cs="Times New Roman"/>
                <w:color w:val="000000"/>
              </w:rPr>
            </w:pPr>
            <w:r>
              <w:rPr>
                <w:rFonts w:ascii="宋体" w:hAnsi="宋体" w:eastAsia="宋体" w:cs="Times New Roman"/>
                <w:color w:val="000000"/>
              </w:rPr>
              <w:t>0.83</w:t>
            </w:r>
          </w:p>
        </w:tc>
      </w:tr>
      <w:tr w14:paraId="53600B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shd w:val="clear" w:color="auto" w:fill="FFFFFF"/>
          </w:tcPr>
          <w:p w14:paraId="109925E6">
            <w:pPr>
              <w:pStyle w:val="23"/>
              <w:rPr>
                <w:rFonts w:hint="eastAsia" w:ascii="宋体" w:hAnsi="宋体" w:eastAsia="宋体" w:cs="Times New Roman"/>
                <w:color w:val="000000"/>
              </w:rPr>
            </w:pPr>
            <w:r>
              <w:rPr>
                <w:rFonts w:ascii="宋体" w:hAnsi="宋体" w:eastAsia="宋体" w:cs="Times New Roman"/>
                <w:color w:val="000000"/>
              </w:rPr>
              <w:t>户均人口</w:t>
            </w:r>
          </w:p>
        </w:tc>
        <w:tc>
          <w:tcPr>
            <w:tcW w:w="1502" w:type="dxa"/>
            <w:shd w:val="clear" w:color="auto" w:fill="FFFFFF"/>
          </w:tcPr>
          <w:p w14:paraId="2C816EC4">
            <w:pPr>
              <w:pStyle w:val="23"/>
              <w:rPr>
                <w:rFonts w:hint="eastAsia" w:ascii="宋体" w:hAnsi="宋体" w:eastAsia="宋体" w:cs="Times New Roman"/>
                <w:color w:val="000000"/>
              </w:rPr>
            </w:pPr>
            <w:r>
              <w:rPr>
                <w:rFonts w:ascii="宋体" w:hAnsi="宋体" w:eastAsia="宋体" w:cs="Times New Roman"/>
                <w:color w:val="000000"/>
              </w:rPr>
              <w:t>人/户</w:t>
            </w:r>
          </w:p>
        </w:tc>
        <w:tc>
          <w:tcPr>
            <w:tcW w:w="1145" w:type="dxa"/>
            <w:shd w:val="clear" w:color="auto" w:fill="FFFFFF"/>
          </w:tcPr>
          <w:p w14:paraId="79A98421">
            <w:pPr>
              <w:pStyle w:val="23"/>
              <w:rPr>
                <w:rFonts w:hint="eastAsia" w:ascii="宋体" w:hAnsi="宋体" w:eastAsia="宋体" w:cs="Times New Roman"/>
                <w:color w:val="000000"/>
              </w:rPr>
            </w:pPr>
            <w:r>
              <w:rPr>
                <w:rFonts w:ascii="宋体" w:hAnsi="宋体" w:eastAsia="宋体" w:cs="Times New Roman"/>
                <w:color w:val="000000"/>
              </w:rPr>
              <w:t>—</w:t>
            </w:r>
          </w:p>
        </w:tc>
        <w:tc>
          <w:tcPr>
            <w:tcW w:w="1080" w:type="dxa"/>
            <w:shd w:val="clear" w:color="auto" w:fill="FFFFFF"/>
          </w:tcPr>
          <w:p w14:paraId="2D7E9B5E">
            <w:pPr>
              <w:pStyle w:val="23"/>
              <w:rPr>
                <w:rFonts w:hint="eastAsia" w:ascii="宋体" w:hAnsi="宋体" w:eastAsia="宋体" w:cs="Times New Roman"/>
                <w:color w:val="000000"/>
              </w:rPr>
            </w:pPr>
            <w:r>
              <w:rPr>
                <w:rFonts w:ascii="宋体" w:hAnsi="宋体" w:eastAsia="宋体" w:cs="Times New Roman"/>
                <w:color w:val="000000"/>
              </w:rPr>
              <w:t>—</w:t>
            </w:r>
          </w:p>
        </w:tc>
        <w:tc>
          <w:tcPr>
            <w:tcW w:w="1081" w:type="dxa"/>
            <w:shd w:val="clear" w:color="auto" w:fill="FFFFFF"/>
          </w:tcPr>
          <w:p w14:paraId="3445962D">
            <w:pPr>
              <w:pStyle w:val="23"/>
              <w:rPr>
                <w:rFonts w:hint="eastAsia" w:ascii="宋体" w:hAnsi="宋体" w:eastAsia="宋体" w:cs="Times New Roman"/>
                <w:color w:val="000000"/>
              </w:rPr>
            </w:pPr>
            <w:r>
              <w:rPr>
                <w:rFonts w:ascii="宋体" w:hAnsi="宋体" w:eastAsia="宋体" w:cs="Times New Roman"/>
                <w:color w:val="000000"/>
              </w:rPr>
              <w:t>2.51</w:t>
            </w:r>
          </w:p>
        </w:tc>
        <w:tc>
          <w:tcPr>
            <w:tcW w:w="1081" w:type="dxa"/>
            <w:shd w:val="clear" w:color="auto" w:fill="FFFFFF"/>
          </w:tcPr>
          <w:p w14:paraId="34A50E93">
            <w:pPr>
              <w:pStyle w:val="23"/>
              <w:rPr>
                <w:rFonts w:hint="eastAsia" w:ascii="宋体" w:hAnsi="宋体" w:eastAsia="宋体" w:cs="Times New Roman"/>
                <w:color w:val="000000"/>
              </w:rPr>
            </w:pPr>
            <w:r>
              <w:rPr>
                <w:rFonts w:ascii="宋体" w:hAnsi="宋体" w:eastAsia="宋体" w:cs="Times New Roman"/>
                <w:color w:val="000000"/>
              </w:rPr>
              <w:t>—</w:t>
            </w:r>
          </w:p>
        </w:tc>
      </w:tr>
      <w:tr w14:paraId="2FE260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861" w:type="dxa"/>
            <w:tcBorders>
              <w:bottom w:val="single" w:color="000000" w:sz="12" w:space="0"/>
            </w:tcBorders>
            <w:shd w:val="clear" w:color="auto" w:fill="FFFFFF"/>
          </w:tcPr>
          <w:p w14:paraId="649C79AA">
            <w:pPr>
              <w:pStyle w:val="23"/>
              <w:rPr>
                <w:rFonts w:hint="eastAsia" w:ascii="宋体" w:hAnsi="宋体" w:eastAsia="宋体" w:cs="Times New Roman"/>
                <w:color w:val="000000"/>
              </w:rPr>
            </w:pPr>
            <w:r>
              <w:rPr>
                <w:rFonts w:ascii="宋体" w:hAnsi="宋体" w:eastAsia="宋体" w:cs="Times New Roman"/>
                <w:color w:val="000000"/>
              </w:rPr>
              <w:t>电网碳排放因子</w:t>
            </w:r>
          </w:p>
        </w:tc>
        <w:tc>
          <w:tcPr>
            <w:tcW w:w="1502" w:type="dxa"/>
            <w:tcBorders>
              <w:bottom w:val="single" w:color="000000" w:sz="12" w:space="0"/>
            </w:tcBorders>
            <w:shd w:val="clear" w:color="auto" w:fill="FFFFFF"/>
          </w:tcPr>
          <w:p w14:paraId="15EDE7F5">
            <w:pPr>
              <w:pStyle w:val="23"/>
              <w:rPr>
                <w:rFonts w:hint="eastAsia" w:ascii="宋体" w:hAnsi="宋体" w:eastAsia="宋体" w:cs="Times New Roman"/>
                <w:color w:val="000000"/>
              </w:rPr>
            </w:pPr>
            <w:r>
              <w:rPr>
                <w:rFonts w:ascii="宋体" w:hAnsi="宋体" w:eastAsia="宋体" w:cs="Times New Roman"/>
                <w:color w:val="000000"/>
              </w:rPr>
              <w:t>kgCO</w:t>
            </w:r>
            <w:r>
              <w:rPr>
                <w:rFonts w:ascii="Cambria Math" w:hAnsi="Cambria Math" w:eastAsia="宋体" w:cs="Cambria Math"/>
                <w:color w:val="000000"/>
              </w:rPr>
              <w:t>₂</w:t>
            </w:r>
            <w:r>
              <w:rPr>
                <w:rFonts w:ascii="宋体" w:hAnsi="宋体" w:eastAsia="宋体" w:cs="Times New Roman"/>
                <w:color w:val="000000"/>
              </w:rPr>
              <w:t>e/kWh</w:t>
            </w:r>
          </w:p>
        </w:tc>
        <w:tc>
          <w:tcPr>
            <w:tcW w:w="1145" w:type="dxa"/>
            <w:tcBorders>
              <w:bottom w:val="single" w:color="000000" w:sz="12" w:space="0"/>
            </w:tcBorders>
            <w:shd w:val="clear" w:color="auto" w:fill="FFFFFF"/>
          </w:tcPr>
          <w:p w14:paraId="3698C58C">
            <w:pPr>
              <w:pStyle w:val="23"/>
              <w:rPr>
                <w:rFonts w:hint="eastAsia" w:ascii="宋体" w:hAnsi="宋体" w:eastAsia="宋体" w:cs="Times New Roman"/>
                <w:color w:val="000000"/>
              </w:rPr>
            </w:pPr>
            <w:r>
              <w:rPr>
                <w:rFonts w:ascii="宋体" w:hAnsi="宋体" w:eastAsia="宋体" w:cs="Times New Roman"/>
                <w:color w:val="000000"/>
              </w:rPr>
              <w:t>—</w:t>
            </w:r>
          </w:p>
        </w:tc>
        <w:tc>
          <w:tcPr>
            <w:tcW w:w="1080" w:type="dxa"/>
            <w:tcBorders>
              <w:bottom w:val="single" w:color="000000" w:sz="12" w:space="0"/>
            </w:tcBorders>
            <w:shd w:val="clear" w:color="auto" w:fill="FFFFFF"/>
          </w:tcPr>
          <w:p w14:paraId="1AE10537">
            <w:pPr>
              <w:pStyle w:val="23"/>
              <w:rPr>
                <w:rFonts w:hint="eastAsia" w:ascii="宋体" w:hAnsi="宋体" w:eastAsia="宋体" w:cs="Times New Roman"/>
                <w:color w:val="000000"/>
              </w:rPr>
            </w:pPr>
            <w:r>
              <w:rPr>
                <w:rFonts w:ascii="宋体" w:hAnsi="宋体" w:eastAsia="宋体" w:cs="Times New Roman"/>
                <w:color w:val="000000"/>
              </w:rPr>
              <w:t>—</w:t>
            </w:r>
          </w:p>
        </w:tc>
        <w:tc>
          <w:tcPr>
            <w:tcW w:w="1081" w:type="dxa"/>
            <w:tcBorders>
              <w:bottom w:val="single" w:color="000000" w:sz="12" w:space="0"/>
            </w:tcBorders>
            <w:shd w:val="clear" w:color="auto" w:fill="FFFFFF"/>
          </w:tcPr>
          <w:p w14:paraId="275A5158">
            <w:pPr>
              <w:pStyle w:val="23"/>
              <w:rPr>
                <w:rFonts w:hint="eastAsia" w:ascii="宋体" w:hAnsi="宋体" w:eastAsia="宋体" w:cs="Times New Roman"/>
                <w:color w:val="000000"/>
              </w:rPr>
            </w:pPr>
            <w:r>
              <w:rPr>
                <w:rFonts w:ascii="宋体" w:hAnsi="宋体" w:eastAsia="宋体" w:cs="Times New Roman"/>
                <w:color w:val="000000"/>
              </w:rPr>
              <w:t>0.5703</w:t>
            </w:r>
          </w:p>
        </w:tc>
        <w:tc>
          <w:tcPr>
            <w:tcW w:w="1081" w:type="dxa"/>
            <w:tcBorders>
              <w:bottom w:val="single" w:color="000000" w:sz="12" w:space="0"/>
            </w:tcBorders>
            <w:shd w:val="clear" w:color="auto" w:fill="FFFFFF"/>
          </w:tcPr>
          <w:p w14:paraId="1776FA3B">
            <w:pPr>
              <w:pStyle w:val="23"/>
              <w:rPr>
                <w:rFonts w:hint="eastAsia" w:ascii="宋体" w:hAnsi="宋体" w:eastAsia="宋体" w:cs="Times New Roman"/>
                <w:color w:val="000000"/>
              </w:rPr>
            </w:pPr>
            <w:r>
              <w:rPr>
                <w:rFonts w:ascii="宋体" w:hAnsi="宋体" w:eastAsia="宋体" w:cs="Times New Roman"/>
                <w:color w:val="000000"/>
              </w:rPr>
              <w:t>—</w:t>
            </w:r>
          </w:p>
        </w:tc>
      </w:tr>
    </w:tbl>
    <w:p w14:paraId="60E431FC">
      <w:pPr>
        <w:pStyle w:val="23"/>
        <w:jc w:val="both"/>
      </w:pPr>
    </w:p>
    <w:p w14:paraId="232772C6">
      <w:pPr>
        <w:pStyle w:val="5"/>
        <w:ind w:firstLine="562"/>
        <w:rPr>
          <w:rFonts w:cs="Times New Roman"/>
        </w:rPr>
      </w:pPr>
      <w:r>
        <w:rPr>
          <w:rFonts w:hint="eastAsia" w:cs="Times New Roman"/>
        </w:rPr>
        <w:t>D.</w:t>
      </w:r>
      <w:r>
        <w:rPr>
          <w:rFonts w:cs="Times New Roman"/>
        </w:rPr>
        <w:t>2.4 参数设置</w:t>
      </w:r>
    </w:p>
    <w:p w14:paraId="4638006D">
      <w:pPr>
        <w:ind w:firstLine="0" w:firstLineChars="0"/>
        <w:jc w:val="center"/>
        <w:rPr>
          <w:rFonts w:cs="Times New Roman"/>
        </w:rPr>
      </w:pPr>
      <w:r>
        <w:rPr>
          <w:rFonts w:hint="eastAsia" w:cs="Times New Roman"/>
        </w:rPr>
        <w:t>附表</w:t>
      </w:r>
      <w:r>
        <w:rPr>
          <w:rFonts w:hint="eastAsia"/>
        </w:rPr>
        <w:t>D-</w:t>
      </w:r>
      <w:r>
        <w:t>4</w:t>
      </w:r>
    </w:p>
    <w:p w14:paraId="27D58ABB">
      <w:pPr>
        <w:ind w:firstLine="0" w:firstLineChars="0"/>
        <w:jc w:val="center"/>
        <w:rPr>
          <w:rFonts w:cs="Times New Roman"/>
        </w:rPr>
      </w:pPr>
      <w:r>
        <w:rPr>
          <w:rFonts w:hint="eastAsia" w:cs="Times New Roman"/>
          <w:b/>
          <w:bCs/>
        </w:rPr>
        <w:t>Table D-4</w:t>
      </w:r>
    </w:p>
    <w:tbl>
      <w:tblPr>
        <w:tblStyle w:val="29"/>
        <w:tblpPr w:leftFromText="180" w:rightFromText="180" w:vertAnchor="text" w:horzAnchor="page" w:tblpX="1054" w:tblpY="243"/>
        <w:tblW w:w="9697"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00" w:type="dxa"/>
          <w:left w:w="100" w:type="dxa"/>
          <w:bottom w:w="100" w:type="dxa"/>
          <w:right w:w="100" w:type="dxa"/>
        </w:tblCellMar>
      </w:tblPr>
      <w:tblGrid>
        <w:gridCol w:w="1430"/>
        <w:gridCol w:w="2322"/>
        <w:gridCol w:w="1086"/>
        <w:gridCol w:w="1400"/>
        <w:gridCol w:w="1435"/>
        <w:gridCol w:w="2024"/>
      </w:tblGrid>
      <w:tr w14:paraId="1E9921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8" w:hRule="atLeast"/>
        </w:trPr>
        <w:tc>
          <w:tcPr>
            <w:tcW w:w="1452" w:type="dxa"/>
            <w:tcBorders>
              <w:top w:val="single" w:color="000000" w:sz="12" w:space="0"/>
              <w:bottom w:val="single" w:color="000000" w:sz="4" w:space="0"/>
              <w:tl2br w:val="nil"/>
            </w:tcBorders>
            <w:shd w:val="clear" w:color="auto" w:fill="FFFFFF"/>
          </w:tcPr>
          <w:p w14:paraId="42612EE6">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参数名称</w:t>
            </w:r>
          </w:p>
        </w:tc>
        <w:tc>
          <w:tcPr>
            <w:tcW w:w="2379" w:type="dxa"/>
            <w:tcBorders>
              <w:top w:val="single" w:color="000000" w:sz="12" w:space="0"/>
              <w:bottom w:val="single" w:color="000000" w:sz="4" w:space="0"/>
            </w:tcBorders>
            <w:shd w:val="clear" w:color="auto" w:fill="FFFFFF"/>
          </w:tcPr>
          <w:p w14:paraId="69E25DBC">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参数含义</w:t>
            </w:r>
          </w:p>
        </w:tc>
        <w:tc>
          <w:tcPr>
            <w:tcW w:w="1090" w:type="dxa"/>
            <w:tcBorders>
              <w:top w:val="single" w:color="000000" w:sz="12" w:space="0"/>
              <w:bottom w:val="single" w:color="000000" w:sz="4" w:space="0"/>
            </w:tcBorders>
            <w:shd w:val="clear" w:color="auto" w:fill="FFFFFF"/>
          </w:tcPr>
          <w:p w14:paraId="0E9F2480">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基准值</w:t>
            </w:r>
          </w:p>
        </w:tc>
        <w:tc>
          <w:tcPr>
            <w:tcW w:w="1285" w:type="dxa"/>
            <w:tcBorders>
              <w:top w:val="single" w:color="000000" w:sz="12" w:space="0"/>
              <w:bottom w:val="single" w:color="000000" w:sz="4" w:space="0"/>
            </w:tcBorders>
            <w:shd w:val="clear" w:color="auto" w:fill="FFFFFF"/>
          </w:tcPr>
          <w:p w14:paraId="63D48EBA">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范围/分布</w:t>
            </w:r>
          </w:p>
        </w:tc>
        <w:tc>
          <w:tcPr>
            <w:tcW w:w="1437" w:type="dxa"/>
            <w:tcBorders>
              <w:top w:val="single" w:color="000000" w:sz="12" w:space="0"/>
              <w:bottom w:val="single" w:color="000000" w:sz="4" w:space="0"/>
            </w:tcBorders>
            <w:shd w:val="clear" w:color="auto" w:fill="FFFFFF"/>
          </w:tcPr>
          <w:p w14:paraId="0B24E5E3">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单位</w:t>
            </w:r>
          </w:p>
        </w:tc>
        <w:tc>
          <w:tcPr>
            <w:tcW w:w="2054" w:type="dxa"/>
            <w:tcBorders>
              <w:top w:val="single" w:color="000000" w:sz="12" w:space="0"/>
              <w:bottom w:val="single" w:color="000000" w:sz="4" w:space="0"/>
            </w:tcBorders>
            <w:shd w:val="clear" w:color="auto" w:fill="FFFFFF"/>
          </w:tcPr>
          <w:p w14:paraId="3C7B361D">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数据来源</w:t>
            </w:r>
          </w:p>
        </w:tc>
      </w:tr>
      <w:tr w14:paraId="169834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8" w:hRule="atLeast"/>
        </w:trPr>
        <w:tc>
          <w:tcPr>
            <w:tcW w:w="9697" w:type="dxa"/>
            <w:gridSpan w:val="6"/>
            <w:tcBorders>
              <w:top w:val="single" w:color="000000" w:sz="12" w:space="0"/>
              <w:bottom w:val="single" w:color="000000" w:sz="4" w:space="0"/>
              <w:tl2br w:val="nil"/>
            </w:tcBorders>
            <w:shd w:val="clear" w:color="auto" w:fill="FFFFFF"/>
          </w:tcPr>
          <w:p w14:paraId="07EB4CE3">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货币成本/收益</w:t>
            </w:r>
            <w:r>
              <w:rPr>
                <w:rFonts w:hint="eastAsia" w:cs="Times New Roman" w:asciiTheme="minorEastAsia" w:hAnsiTheme="minorEastAsia" w:eastAsiaTheme="minorEastAsia"/>
                <w:color w:val="000000"/>
              </w:rPr>
              <w:t>]</w:t>
            </w:r>
          </w:p>
        </w:tc>
      </w:tr>
      <w:tr w14:paraId="097E03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tcBorders>
              <w:top w:val="single" w:color="000000" w:sz="4" w:space="0"/>
            </w:tcBorders>
            <w:shd w:val="clear" w:color="auto" w:fill="FFFFFF"/>
          </w:tcPr>
          <w:p w14:paraId="102A9B9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家庭空调拥有量（普通）</w:t>
            </w:r>
          </w:p>
        </w:tc>
        <w:tc>
          <w:tcPr>
            <w:tcW w:w="2379" w:type="dxa"/>
            <w:tcBorders>
              <w:top w:val="single" w:color="000000" w:sz="4" w:space="0"/>
            </w:tcBorders>
            <w:shd w:val="clear" w:color="auto" w:fill="FFFFFF"/>
          </w:tcPr>
          <w:p w14:paraId="0518BCA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人均家庭持有空调台数（最低端机型）</w:t>
            </w:r>
          </w:p>
        </w:tc>
        <w:tc>
          <w:tcPr>
            <w:tcW w:w="1090" w:type="dxa"/>
            <w:tcBorders>
              <w:top w:val="single" w:color="000000" w:sz="4" w:space="0"/>
            </w:tcBorders>
            <w:shd w:val="clear" w:color="auto" w:fill="FFFFFF"/>
          </w:tcPr>
          <w:p w14:paraId="3215A99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1.23</w:t>
            </w:r>
          </w:p>
        </w:tc>
        <w:tc>
          <w:tcPr>
            <w:tcW w:w="1285" w:type="dxa"/>
            <w:tcBorders>
              <w:top w:val="single" w:color="000000" w:sz="4" w:space="0"/>
            </w:tcBorders>
            <w:shd w:val="clear" w:color="auto" w:fill="FFFFFF"/>
          </w:tcPr>
          <w:p w14:paraId="4793BC7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1437" w:type="dxa"/>
            <w:tcBorders>
              <w:top w:val="single" w:color="000000" w:sz="4" w:space="0"/>
            </w:tcBorders>
            <w:shd w:val="clear" w:color="auto" w:fill="FFFFFF"/>
          </w:tcPr>
          <w:p w14:paraId="2826798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台/户</w:t>
            </w:r>
          </w:p>
        </w:tc>
        <w:tc>
          <w:tcPr>
            <w:tcW w:w="2054" w:type="dxa"/>
            <w:tcBorders>
              <w:top w:val="single" w:color="000000" w:sz="4" w:space="0"/>
            </w:tcBorders>
            <w:shd w:val="clear" w:color="auto" w:fill="FFFFFF"/>
          </w:tcPr>
          <w:p w14:paraId="68E186C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中国空调行业统计数据库 (2024)</w:t>
            </w:r>
          </w:p>
        </w:tc>
      </w:tr>
      <w:tr w14:paraId="53B9A4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shd w:val="clear" w:color="auto" w:fill="FFFFFF"/>
          </w:tcPr>
          <w:p w14:paraId="188E0E5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家庭空调拥有量（节能）</w:t>
            </w:r>
          </w:p>
        </w:tc>
        <w:tc>
          <w:tcPr>
            <w:tcW w:w="2379" w:type="dxa"/>
            <w:shd w:val="clear" w:color="auto" w:fill="FFFFFF"/>
          </w:tcPr>
          <w:p w14:paraId="65ABA26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人均家庭持有最节能空调台数</w:t>
            </w:r>
          </w:p>
        </w:tc>
        <w:tc>
          <w:tcPr>
            <w:tcW w:w="1090" w:type="dxa"/>
            <w:shd w:val="clear" w:color="auto" w:fill="FFFFFF"/>
          </w:tcPr>
          <w:p w14:paraId="7C83A31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0.25</w:t>
            </w:r>
          </w:p>
        </w:tc>
        <w:tc>
          <w:tcPr>
            <w:tcW w:w="1285" w:type="dxa"/>
            <w:shd w:val="clear" w:color="auto" w:fill="FFFFFF"/>
          </w:tcPr>
          <w:p w14:paraId="4998E41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1437" w:type="dxa"/>
            <w:shd w:val="clear" w:color="auto" w:fill="FFFFFF"/>
          </w:tcPr>
          <w:p w14:paraId="37384EC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台/户</w:t>
            </w:r>
          </w:p>
        </w:tc>
        <w:tc>
          <w:tcPr>
            <w:tcW w:w="2054" w:type="dxa"/>
            <w:shd w:val="clear" w:color="auto" w:fill="FFFFFF"/>
          </w:tcPr>
          <w:p w14:paraId="6524B0D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中国空调行业统计数据库 (2024)</w:t>
            </w:r>
          </w:p>
        </w:tc>
      </w:tr>
      <w:tr w14:paraId="18A5C2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shd w:val="clear" w:color="auto" w:fill="FFFFFF"/>
          </w:tcPr>
          <w:p w14:paraId="4E7B885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空调使用天数</w:t>
            </w:r>
          </w:p>
        </w:tc>
        <w:tc>
          <w:tcPr>
            <w:tcW w:w="2379" w:type="dxa"/>
            <w:shd w:val="clear" w:color="auto" w:fill="FFFFFF"/>
          </w:tcPr>
          <w:p w14:paraId="5C5277F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年均使用天数</w:t>
            </w:r>
          </w:p>
        </w:tc>
        <w:tc>
          <w:tcPr>
            <w:tcW w:w="1090" w:type="dxa"/>
            <w:shd w:val="clear" w:color="auto" w:fill="FFFFFF"/>
          </w:tcPr>
          <w:p w14:paraId="2067F65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96.75</w:t>
            </w:r>
          </w:p>
        </w:tc>
        <w:tc>
          <w:tcPr>
            <w:tcW w:w="1285" w:type="dxa"/>
            <w:shd w:val="clear" w:color="auto" w:fill="FFFFFF"/>
          </w:tcPr>
          <w:p w14:paraId="6B2F35F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60–130</w:t>
            </w:r>
          </w:p>
        </w:tc>
        <w:tc>
          <w:tcPr>
            <w:tcW w:w="1437" w:type="dxa"/>
            <w:shd w:val="clear" w:color="auto" w:fill="FFFFFF"/>
          </w:tcPr>
          <w:p w14:paraId="78842E0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天/年</w:t>
            </w:r>
          </w:p>
        </w:tc>
        <w:tc>
          <w:tcPr>
            <w:tcW w:w="2054" w:type="dxa"/>
            <w:shd w:val="clear" w:color="auto" w:fill="FFFFFF"/>
          </w:tcPr>
          <w:p w14:paraId="19AD124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中国气象局气候统计 (2024)</w:t>
            </w:r>
          </w:p>
        </w:tc>
      </w:tr>
      <w:tr w14:paraId="0BA125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shd w:val="clear" w:color="auto" w:fill="FFFFFF"/>
          </w:tcPr>
          <w:p w14:paraId="1E741CC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空调日均使用时长</w:t>
            </w:r>
          </w:p>
        </w:tc>
        <w:tc>
          <w:tcPr>
            <w:tcW w:w="2379" w:type="dxa"/>
            <w:shd w:val="clear" w:color="auto" w:fill="FFFFFF"/>
          </w:tcPr>
          <w:p w14:paraId="0CEA9B8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每日使用时长</w:t>
            </w:r>
          </w:p>
        </w:tc>
        <w:tc>
          <w:tcPr>
            <w:tcW w:w="1090" w:type="dxa"/>
            <w:shd w:val="clear" w:color="auto" w:fill="FFFFFF"/>
          </w:tcPr>
          <w:p w14:paraId="02481E6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6.1</w:t>
            </w:r>
          </w:p>
        </w:tc>
        <w:tc>
          <w:tcPr>
            <w:tcW w:w="1285" w:type="dxa"/>
            <w:shd w:val="clear" w:color="auto" w:fill="FFFFFF"/>
          </w:tcPr>
          <w:p w14:paraId="10446EE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2–10</w:t>
            </w:r>
          </w:p>
        </w:tc>
        <w:tc>
          <w:tcPr>
            <w:tcW w:w="1437" w:type="dxa"/>
            <w:shd w:val="clear" w:color="auto" w:fill="FFFFFF"/>
          </w:tcPr>
          <w:p w14:paraId="365725C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小时/天</w:t>
            </w:r>
          </w:p>
        </w:tc>
        <w:tc>
          <w:tcPr>
            <w:tcW w:w="2054" w:type="dxa"/>
            <w:shd w:val="clear" w:color="auto" w:fill="FFFFFF"/>
          </w:tcPr>
          <w:p w14:paraId="34985AE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家电使用调研 (2024)</w:t>
            </w:r>
          </w:p>
        </w:tc>
      </w:tr>
      <w:tr w14:paraId="194958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shd w:val="clear" w:color="auto" w:fill="FFFFFF"/>
          </w:tcPr>
          <w:p w14:paraId="1BEBFD2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能耗（最低端机型）</w:t>
            </w:r>
          </w:p>
        </w:tc>
        <w:tc>
          <w:tcPr>
            <w:tcW w:w="2379" w:type="dxa"/>
            <w:shd w:val="clear" w:color="auto" w:fill="FFFFFF"/>
          </w:tcPr>
          <w:p w14:paraId="66A079F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最低端机型每小时耗电量</w:t>
            </w:r>
          </w:p>
        </w:tc>
        <w:tc>
          <w:tcPr>
            <w:tcW w:w="1090" w:type="dxa"/>
            <w:shd w:val="clear" w:color="auto" w:fill="FFFFFF"/>
          </w:tcPr>
          <w:p w14:paraId="30A9C6D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0.345</w:t>
            </w:r>
          </w:p>
        </w:tc>
        <w:tc>
          <w:tcPr>
            <w:tcW w:w="1285" w:type="dxa"/>
            <w:shd w:val="clear" w:color="auto" w:fill="FFFFFF"/>
          </w:tcPr>
          <w:p w14:paraId="30531E9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0.28–0.42</w:t>
            </w:r>
          </w:p>
        </w:tc>
        <w:tc>
          <w:tcPr>
            <w:tcW w:w="1437" w:type="dxa"/>
            <w:shd w:val="clear" w:color="auto" w:fill="FFFFFF"/>
          </w:tcPr>
          <w:p w14:paraId="183C4FF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kWh/小时</w:t>
            </w:r>
          </w:p>
        </w:tc>
        <w:tc>
          <w:tcPr>
            <w:tcW w:w="2054" w:type="dxa"/>
            <w:shd w:val="clear" w:color="auto" w:fill="FFFFFF"/>
          </w:tcPr>
          <w:p w14:paraId="4E5A03D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中国家电研究院能效数据库 (2024)</w:t>
            </w:r>
          </w:p>
        </w:tc>
      </w:tr>
      <w:tr w14:paraId="74F477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shd w:val="clear" w:color="auto" w:fill="FFFFFF"/>
          </w:tcPr>
          <w:p w14:paraId="19530A9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能耗（最节能机型）</w:t>
            </w:r>
          </w:p>
        </w:tc>
        <w:tc>
          <w:tcPr>
            <w:tcW w:w="2379" w:type="dxa"/>
            <w:shd w:val="clear" w:color="auto" w:fill="FFFFFF"/>
          </w:tcPr>
          <w:p w14:paraId="638F33D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最节能机型每小时耗电量</w:t>
            </w:r>
          </w:p>
        </w:tc>
        <w:tc>
          <w:tcPr>
            <w:tcW w:w="1090" w:type="dxa"/>
            <w:shd w:val="clear" w:color="auto" w:fill="FFFFFF"/>
          </w:tcPr>
          <w:p w14:paraId="0E39E75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0.265</w:t>
            </w:r>
          </w:p>
        </w:tc>
        <w:tc>
          <w:tcPr>
            <w:tcW w:w="1285" w:type="dxa"/>
            <w:shd w:val="clear" w:color="auto" w:fill="FFFFFF"/>
          </w:tcPr>
          <w:p w14:paraId="21592C8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0.20–0.32</w:t>
            </w:r>
          </w:p>
        </w:tc>
        <w:tc>
          <w:tcPr>
            <w:tcW w:w="1437" w:type="dxa"/>
            <w:shd w:val="clear" w:color="auto" w:fill="FFFFFF"/>
          </w:tcPr>
          <w:p w14:paraId="4216C9D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kWh/小时</w:t>
            </w:r>
          </w:p>
        </w:tc>
        <w:tc>
          <w:tcPr>
            <w:tcW w:w="2054" w:type="dxa"/>
            <w:shd w:val="clear" w:color="auto" w:fill="FFFFFF"/>
          </w:tcPr>
          <w:p w14:paraId="40E8160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中国家电研究院能效数据库 (2024)</w:t>
            </w:r>
          </w:p>
        </w:tc>
      </w:tr>
      <w:tr w14:paraId="70A18F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8" w:hRule="atLeast"/>
        </w:trPr>
        <w:tc>
          <w:tcPr>
            <w:tcW w:w="1452" w:type="dxa"/>
            <w:shd w:val="clear" w:color="auto" w:fill="FFFFFF"/>
          </w:tcPr>
          <w:p w14:paraId="5255744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购置成本（最低端）</w:t>
            </w:r>
          </w:p>
        </w:tc>
        <w:tc>
          <w:tcPr>
            <w:tcW w:w="2379" w:type="dxa"/>
            <w:shd w:val="clear" w:color="auto" w:fill="FFFFFF"/>
          </w:tcPr>
          <w:p w14:paraId="429C936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最低端空调折旧后年均成本</w:t>
            </w:r>
          </w:p>
        </w:tc>
        <w:tc>
          <w:tcPr>
            <w:tcW w:w="1090" w:type="dxa"/>
            <w:shd w:val="clear" w:color="auto" w:fill="FFFFFF"/>
          </w:tcPr>
          <w:p w14:paraId="310355A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128.32</w:t>
            </w:r>
          </w:p>
        </w:tc>
        <w:tc>
          <w:tcPr>
            <w:tcW w:w="1285" w:type="dxa"/>
            <w:shd w:val="clear" w:color="auto" w:fill="FFFFFF"/>
          </w:tcPr>
          <w:p w14:paraId="26A33F5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80–200</w:t>
            </w:r>
          </w:p>
        </w:tc>
        <w:tc>
          <w:tcPr>
            <w:tcW w:w="1437" w:type="dxa"/>
            <w:shd w:val="clear" w:color="auto" w:fill="FFFFFF"/>
          </w:tcPr>
          <w:p w14:paraId="2D360B7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元/年·台</w:t>
            </w:r>
          </w:p>
        </w:tc>
        <w:tc>
          <w:tcPr>
            <w:tcW w:w="2054" w:type="dxa"/>
            <w:shd w:val="clear" w:color="auto" w:fill="FFFFFF"/>
          </w:tcPr>
          <w:p w14:paraId="5458EB1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淘宝/京东平台 (2024)，自行计算</w:t>
            </w:r>
          </w:p>
        </w:tc>
      </w:tr>
      <w:tr w14:paraId="600654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shd w:val="clear" w:color="auto" w:fill="FFFFFF"/>
          </w:tcPr>
          <w:p w14:paraId="438445E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购置成本（最节能）</w:t>
            </w:r>
          </w:p>
        </w:tc>
        <w:tc>
          <w:tcPr>
            <w:tcW w:w="2379" w:type="dxa"/>
            <w:shd w:val="clear" w:color="auto" w:fill="FFFFFF"/>
          </w:tcPr>
          <w:p w14:paraId="158E336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最节能空调折旧后年均成本</w:t>
            </w:r>
          </w:p>
        </w:tc>
        <w:tc>
          <w:tcPr>
            <w:tcW w:w="1090" w:type="dxa"/>
            <w:shd w:val="clear" w:color="auto" w:fill="FFFFFF"/>
          </w:tcPr>
          <w:p w14:paraId="3A26B20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203.85</w:t>
            </w:r>
          </w:p>
        </w:tc>
        <w:tc>
          <w:tcPr>
            <w:tcW w:w="1285" w:type="dxa"/>
            <w:shd w:val="clear" w:color="auto" w:fill="FFFFFF"/>
          </w:tcPr>
          <w:p w14:paraId="4D8D35B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130–300</w:t>
            </w:r>
          </w:p>
        </w:tc>
        <w:tc>
          <w:tcPr>
            <w:tcW w:w="1437" w:type="dxa"/>
            <w:shd w:val="clear" w:color="auto" w:fill="FFFFFF"/>
          </w:tcPr>
          <w:p w14:paraId="6D568DA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元/年·台</w:t>
            </w:r>
          </w:p>
        </w:tc>
        <w:tc>
          <w:tcPr>
            <w:tcW w:w="2054" w:type="dxa"/>
            <w:shd w:val="clear" w:color="auto" w:fill="FFFFFF"/>
          </w:tcPr>
          <w:p w14:paraId="5AACAE3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淘宝/京东平台 (2024)，自行计算</w:t>
            </w:r>
          </w:p>
        </w:tc>
      </w:tr>
      <w:tr w14:paraId="171A1F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shd w:val="clear" w:color="auto" w:fill="FFFFFF"/>
          </w:tcPr>
          <w:p w14:paraId="5E939F0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居民电价</w:t>
            </w:r>
          </w:p>
        </w:tc>
        <w:tc>
          <w:tcPr>
            <w:tcW w:w="2379" w:type="dxa"/>
            <w:shd w:val="clear" w:color="auto" w:fill="FFFFFF"/>
          </w:tcPr>
          <w:p w14:paraId="2F43368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家庭平均用电价格</w:t>
            </w:r>
          </w:p>
        </w:tc>
        <w:tc>
          <w:tcPr>
            <w:tcW w:w="1090" w:type="dxa"/>
            <w:shd w:val="clear" w:color="auto" w:fill="FFFFFF"/>
          </w:tcPr>
          <w:p w14:paraId="73340BD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0.647</w:t>
            </w:r>
          </w:p>
        </w:tc>
        <w:tc>
          <w:tcPr>
            <w:tcW w:w="1285" w:type="dxa"/>
            <w:shd w:val="clear" w:color="auto" w:fill="FFFFFF"/>
          </w:tcPr>
          <w:p w14:paraId="7EE6F53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0.50–0.80</w:t>
            </w:r>
          </w:p>
        </w:tc>
        <w:tc>
          <w:tcPr>
            <w:tcW w:w="1437" w:type="dxa"/>
            <w:shd w:val="clear" w:color="auto" w:fill="FFFFFF"/>
          </w:tcPr>
          <w:p w14:paraId="768B3E9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元/kWh</w:t>
            </w:r>
          </w:p>
        </w:tc>
        <w:tc>
          <w:tcPr>
            <w:tcW w:w="2054" w:type="dxa"/>
            <w:shd w:val="clear" w:color="auto" w:fill="FFFFFF"/>
          </w:tcPr>
          <w:p w14:paraId="16A53F8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国家能源局居民用电价格统计 (2024)</w:t>
            </w:r>
          </w:p>
        </w:tc>
      </w:tr>
      <w:tr w14:paraId="56945A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8" w:hRule="atLeast"/>
        </w:trPr>
        <w:tc>
          <w:tcPr>
            <w:tcW w:w="1452" w:type="dxa"/>
            <w:tcBorders>
              <w:bottom w:val="single" w:color="000000" w:sz="12" w:space="0"/>
            </w:tcBorders>
            <w:shd w:val="clear" w:color="auto" w:fill="FFFFFF"/>
          </w:tcPr>
          <w:p w14:paraId="011E137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家庭人口规模</w:t>
            </w:r>
          </w:p>
        </w:tc>
        <w:tc>
          <w:tcPr>
            <w:tcW w:w="2379" w:type="dxa"/>
            <w:tcBorders>
              <w:bottom w:val="single" w:color="000000" w:sz="12" w:space="0"/>
            </w:tcBorders>
            <w:shd w:val="clear" w:color="auto" w:fill="FFFFFF"/>
          </w:tcPr>
          <w:p w14:paraId="7EACDA6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平均每户人数</w:t>
            </w:r>
          </w:p>
        </w:tc>
        <w:tc>
          <w:tcPr>
            <w:tcW w:w="1090" w:type="dxa"/>
            <w:tcBorders>
              <w:bottom w:val="single" w:color="000000" w:sz="12" w:space="0"/>
            </w:tcBorders>
            <w:shd w:val="clear" w:color="auto" w:fill="FFFFFF"/>
          </w:tcPr>
          <w:p w14:paraId="0DA99D2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2.69</w:t>
            </w:r>
          </w:p>
        </w:tc>
        <w:tc>
          <w:tcPr>
            <w:tcW w:w="1285" w:type="dxa"/>
            <w:tcBorders>
              <w:bottom w:val="single" w:color="000000" w:sz="12" w:space="0"/>
            </w:tcBorders>
            <w:shd w:val="clear" w:color="auto" w:fill="FFFFFF"/>
          </w:tcPr>
          <w:p w14:paraId="603B2D9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2.0–3.5</w:t>
            </w:r>
          </w:p>
        </w:tc>
        <w:tc>
          <w:tcPr>
            <w:tcW w:w="1437" w:type="dxa"/>
            <w:tcBorders>
              <w:bottom w:val="single" w:color="000000" w:sz="12" w:space="0"/>
            </w:tcBorders>
            <w:shd w:val="clear" w:color="auto" w:fill="FFFFFF"/>
          </w:tcPr>
          <w:p w14:paraId="056E4FE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人/户</w:t>
            </w:r>
          </w:p>
        </w:tc>
        <w:tc>
          <w:tcPr>
            <w:tcW w:w="2054" w:type="dxa"/>
            <w:tcBorders>
              <w:bottom w:val="single" w:color="000000" w:sz="12" w:space="0"/>
            </w:tcBorders>
            <w:shd w:val="clear" w:color="auto" w:fill="FFFFFF"/>
          </w:tcPr>
          <w:p w14:paraId="1C67762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中国统计年鉴 (2024)</w:t>
            </w:r>
          </w:p>
        </w:tc>
      </w:tr>
      <w:tr w14:paraId="31E7DE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8" w:hRule="atLeast"/>
        </w:trPr>
        <w:tc>
          <w:tcPr>
            <w:tcW w:w="9697" w:type="dxa"/>
            <w:gridSpan w:val="6"/>
            <w:tcBorders>
              <w:top w:val="single" w:color="000000" w:sz="12" w:space="0"/>
              <w:bottom w:val="single" w:color="000000" w:sz="4" w:space="0"/>
              <w:tl2br w:val="nil"/>
            </w:tcBorders>
            <w:shd w:val="clear" w:color="auto" w:fill="FFFFFF"/>
          </w:tcPr>
          <w:p w14:paraId="344E2C4F">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碳排放核算</w:t>
            </w:r>
            <w:r>
              <w:rPr>
                <w:rFonts w:hint="eastAsia" w:cs="Times New Roman" w:asciiTheme="minorEastAsia" w:hAnsiTheme="minorEastAsia" w:eastAsiaTheme="minorEastAsia"/>
                <w:color w:val="000000"/>
              </w:rPr>
              <w:t>]</w:t>
            </w:r>
          </w:p>
        </w:tc>
      </w:tr>
      <w:tr w14:paraId="057A1E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tcBorders>
              <w:top w:val="single" w:color="000000" w:sz="4" w:space="0"/>
            </w:tcBorders>
            <w:shd w:val="clear" w:color="auto" w:fill="FFFFFF"/>
          </w:tcPr>
          <w:p w14:paraId="6C2D40C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电力碳排放因子</w:t>
            </w:r>
          </w:p>
        </w:tc>
        <w:tc>
          <w:tcPr>
            <w:tcW w:w="2379" w:type="dxa"/>
            <w:tcBorders>
              <w:top w:val="single" w:color="000000" w:sz="4" w:space="0"/>
            </w:tcBorders>
            <w:shd w:val="clear" w:color="auto" w:fill="FFFFFF"/>
          </w:tcPr>
          <w:p w14:paraId="3A8870C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家庭电力消费碳排放因子</w:t>
            </w:r>
          </w:p>
        </w:tc>
        <w:tc>
          <w:tcPr>
            <w:tcW w:w="1090" w:type="dxa"/>
            <w:tcBorders>
              <w:top w:val="single" w:color="000000" w:sz="4" w:space="0"/>
            </w:tcBorders>
            <w:shd w:val="clear" w:color="auto" w:fill="FFFFFF"/>
          </w:tcPr>
          <w:p w14:paraId="7958F5F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0.5703</w:t>
            </w:r>
          </w:p>
        </w:tc>
        <w:tc>
          <w:tcPr>
            <w:tcW w:w="1285" w:type="dxa"/>
            <w:tcBorders>
              <w:top w:val="single" w:color="000000" w:sz="4" w:space="0"/>
            </w:tcBorders>
            <w:shd w:val="clear" w:color="auto" w:fill="FFFFFF"/>
          </w:tcPr>
          <w:p w14:paraId="0A23685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1437" w:type="dxa"/>
            <w:tcBorders>
              <w:top w:val="single" w:color="000000" w:sz="4" w:space="0"/>
            </w:tcBorders>
            <w:shd w:val="clear" w:color="auto" w:fill="FFFFFF"/>
          </w:tcPr>
          <w:p w14:paraId="4CE6A5C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kgCO</w:t>
            </w:r>
            <w:r>
              <w:rPr>
                <w:rFonts w:ascii="Cambria Math" w:hAnsi="Cambria Math" w:cs="Cambria Math" w:eastAsiaTheme="minorEastAsia"/>
                <w:color w:val="000000"/>
              </w:rPr>
              <w:t>₂</w:t>
            </w:r>
            <w:r>
              <w:rPr>
                <w:rFonts w:cs="Times New Roman" w:asciiTheme="minorEastAsia" w:hAnsiTheme="minorEastAsia" w:eastAsiaTheme="minorEastAsia"/>
                <w:color w:val="000000"/>
              </w:rPr>
              <w:t>e/kWh</w:t>
            </w:r>
          </w:p>
        </w:tc>
        <w:tc>
          <w:tcPr>
            <w:tcW w:w="2054" w:type="dxa"/>
            <w:tcBorders>
              <w:top w:val="single" w:color="000000" w:sz="4" w:space="0"/>
            </w:tcBorders>
            <w:shd w:val="clear" w:color="auto" w:fill="FFFFFF"/>
          </w:tcPr>
          <w:p w14:paraId="62D6D3B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生态环境部 (2022)</w:t>
            </w:r>
          </w:p>
        </w:tc>
      </w:tr>
      <w:tr w14:paraId="5FFDBB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tcBorders>
              <w:bottom w:val="single" w:color="000000" w:sz="12" w:space="0"/>
            </w:tcBorders>
            <w:shd w:val="clear" w:color="auto" w:fill="FFFFFF"/>
          </w:tcPr>
          <w:p w14:paraId="328ECC6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社会碳成本 (SCC)</w:t>
            </w:r>
          </w:p>
        </w:tc>
        <w:tc>
          <w:tcPr>
            <w:tcW w:w="2379" w:type="dxa"/>
            <w:tcBorders>
              <w:bottom w:val="single" w:color="000000" w:sz="12" w:space="0"/>
            </w:tcBorders>
            <w:shd w:val="clear" w:color="auto" w:fill="FFFFFF"/>
          </w:tcPr>
          <w:p w14:paraId="7189ADC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每吨碳当量的社会成本</w:t>
            </w:r>
          </w:p>
        </w:tc>
        <w:tc>
          <w:tcPr>
            <w:tcW w:w="1090" w:type="dxa"/>
            <w:tcBorders>
              <w:bottom w:val="single" w:color="000000" w:sz="12" w:space="0"/>
            </w:tcBorders>
            <w:shd w:val="clear" w:color="auto" w:fill="FFFFFF"/>
          </w:tcPr>
          <w:p w14:paraId="38BBB1E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185</w:t>
            </w:r>
          </w:p>
        </w:tc>
        <w:tc>
          <w:tcPr>
            <w:tcW w:w="1285" w:type="dxa"/>
            <w:tcBorders>
              <w:bottom w:val="single" w:color="000000" w:sz="12" w:space="0"/>
            </w:tcBorders>
            <w:shd w:val="clear" w:color="auto" w:fill="FFFFFF"/>
          </w:tcPr>
          <w:p w14:paraId="00156A4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44–413</w:t>
            </w:r>
          </w:p>
        </w:tc>
        <w:tc>
          <w:tcPr>
            <w:tcW w:w="1437" w:type="dxa"/>
            <w:tcBorders>
              <w:bottom w:val="single" w:color="000000" w:sz="12" w:space="0"/>
            </w:tcBorders>
            <w:shd w:val="clear" w:color="auto" w:fill="FFFFFF"/>
          </w:tcPr>
          <w:p w14:paraId="6B56D62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美元/tCO</w:t>
            </w:r>
            <w:r>
              <w:rPr>
                <w:rFonts w:ascii="Cambria Math" w:hAnsi="Cambria Math" w:cs="Cambria Math" w:eastAsiaTheme="minorEastAsia"/>
                <w:color w:val="000000"/>
              </w:rPr>
              <w:t>₂</w:t>
            </w:r>
            <w:r>
              <w:rPr>
                <w:rFonts w:cs="Times New Roman" w:asciiTheme="minorEastAsia" w:hAnsiTheme="minorEastAsia" w:eastAsiaTheme="minorEastAsia"/>
                <w:color w:val="000000"/>
              </w:rPr>
              <w:t>e</w:t>
            </w:r>
          </w:p>
        </w:tc>
        <w:tc>
          <w:tcPr>
            <w:tcW w:w="2054" w:type="dxa"/>
            <w:tcBorders>
              <w:bottom w:val="single" w:color="000000" w:sz="12" w:space="0"/>
            </w:tcBorders>
            <w:shd w:val="clear" w:color="auto" w:fill="FFFFFF"/>
          </w:tcPr>
          <w:p w14:paraId="52B4943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Rennert et al. (2022), Nature</w:t>
            </w:r>
          </w:p>
        </w:tc>
      </w:tr>
      <w:tr w14:paraId="14446C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8" w:hRule="atLeast"/>
        </w:trPr>
        <w:tc>
          <w:tcPr>
            <w:tcW w:w="9697" w:type="dxa"/>
            <w:gridSpan w:val="6"/>
            <w:tcBorders>
              <w:top w:val="single" w:color="000000" w:sz="12" w:space="0"/>
              <w:bottom w:val="single" w:color="000000" w:sz="4" w:space="0"/>
              <w:tl2br w:val="nil"/>
            </w:tcBorders>
            <w:shd w:val="clear" w:color="auto" w:fill="FFFFFF"/>
          </w:tcPr>
          <w:p w14:paraId="2BE2805A">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核算结果</w:t>
            </w:r>
            <w:r>
              <w:rPr>
                <w:rFonts w:hint="eastAsia" w:cs="Times New Roman" w:asciiTheme="minorEastAsia" w:hAnsiTheme="minorEastAsia" w:eastAsiaTheme="minorEastAsia"/>
                <w:color w:val="000000"/>
              </w:rPr>
              <w:t>]</w:t>
            </w:r>
          </w:p>
        </w:tc>
      </w:tr>
      <w:tr w14:paraId="678FB9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tcBorders>
              <w:top w:val="single" w:color="000000" w:sz="4" w:space="0"/>
            </w:tcBorders>
            <w:shd w:val="clear" w:color="auto" w:fill="FFFFFF"/>
          </w:tcPr>
          <w:p w14:paraId="5AFE5896">
            <w:pPr>
              <w:pStyle w:val="23"/>
              <w:rPr>
                <w:rFonts w:hint="eastAsia" w:cs="Times New Roman" w:asciiTheme="minorEastAsia" w:hAnsiTheme="minorEastAsia" w:eastAsiaTheme="minorEastAsia"/>
                <w:color w:val="000000"/>
              </w:rPr>
            </w:pPr>
            <w:r>
              <w:rPr>
                <w:rFonts w:cs="Cambria Math" w:asciiTheme="minorEastAsia" w:hAnsiTheme="minorEastAsia" w:eastAsiaTheme="minorEastAsia"/>
                <w:color w:val="000000"/>
              </w:rPr>
              <w:t>△</w:t>
            </w:r>
            <w:r>
              <w:rPr>
                <w:rFonts w:cs="Times New Roman" w:asciiTheme="minorEastAsia" w:hAnsiTheme="minorEastAsia" w:eastAsiaTheme="minorEastAsia"/>
                <w:color w:val="000000"/>
              </w:rPr>
              <w:t>购置成本</w:t>
            </w:r>
          </w:p>
        </w:tc>
        <w:tc>
          <w:tcPr>
            <w:tcW w:w="2379" w:type="dxa"/>
            <w:tcBorders>
              <w:top w:val="single" w:color="000000" w:sz="4" w:space="0"/>
            </w:tcBorders>
            <w:shd w:val="clear" w:color="auto" w:fill="FFFFFF"/>
          </w:tcPr>
          <w:p w14:paraId="516DCC5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最节能 vs. 最低端空调年均购置成本差额（净损失）</w:t>
            </w:r>
          </w:p>
        </w:tc>
        <w:tc>
          <w:tcPr>
            <w:tcW w:w="1090" w:type="dxa"/>
            <w:tcBorders>
              <w:top w:val="single" w:color="000000" w:sz="4" w:space="0"/>
            </w:tcBorders>
            <w:shd w:val="clear" w:color="auto" w:fill="FFFFFF"/>
          </w:tcPr>
          <w:p w14:paraId="694971A2">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27.57</w:t>
            </w:r>
          </w:p>
        </w:tc>
        <w:tc>
          <w:tcPr>
            <w:tcW w:w="1285" w:type="dxa"/>
            <w:tcBorders>
              <w:top w:val="single" w:color="000000" w:sz="4" w:space="0"/>
            </w:tcBorders>
            <w:shd w:val="clear" w:color="auto" w:fill="FFFFFF"/>
          </w:tcPr>
          <w:p w14:paraId="2730D45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1437" w:type="dxa"/>
            <w:tcBorders>
              <w:top w:val="single" w:color="000000" w:sz="4" w:space="0"/>
            </w:tcBorders>
            <w:shd w:val="clear" w:color="auto" w:fill="FFFFFF"/>
          </w:tcPr>
          <w:p w14:paraId="192F5CF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2054" w:type="dxa"/>
            <w:tcBorders>
              <w:top w:val="single" w:color="000000" w:sz="4" w:space="0"/>
            </w:tcBorders>
            <w:shd w:val="clear" w:color="auto" w:fill="FFFFFF"/>
          </w:tcPr>
          <w:p w14:paraId="4728723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47D939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shd w:val="clear" w:color="auto" w:fill="FFFFFF"/>
          </w:tcPr>
          <w:p w14:paraId="29F14616">
            <w:pPr>
              <w:pStyle w:val="23"/>
              <w:rPr>
                <w:rFonts w:hint="eastAsia" w:cs="Times New Roman" w:asciiTheme="minorEastAsia" w:hAnsiTheme="minorEastAsia" w:eastAsiaTheme="minorEastAsia"/>
                <w:color w:val="000000"/>
              </w:rPr>
            </w:pPr>
            <w:r>
              <w:rPr>
                <w:rFonts w:cs="Cambria Math" w:asciiTheme="minorEastAsia" w:hAnsiTheme="minorEastAsia" w:eastAsiaTheme="minorEastAsia"/>
                <w:color w:val="000000"/>
              </w:rPr>
              <w:t>△</w:t>
            </w:r>
            <w:r>
              <w:rPr>
                <w:rFonts w:cs="Times New Roman" w:asciiTheme="minorEastAsia" w:hAnsiTheme="minorEastAsia" w:eastAsiaTheme="minorEastAsia"/>
                <w:color w:val="000000"/>
              </w:rPr>
              <w:t>电力消费成本</w:t>
            </w:r>
          </w:p>
        </w:tc>
        <w:tc>
          <w:tcPr>
            <w:tcW w:w="2379" w:type="dxa"/>
            <w:shd w:val="clear" w:color="auto" w:fill="FFFFFF"/>
          </w:tcPr>
          <w:p w14:paraId="29E1EB4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能效提升带来的年均电费节约（净收益）</w:t>
            </w:r>
          </w:p>
        </w:tc>
        <w:tc>
          <w:tcPr>
            <w:tcW w:w="1090" w:type="dxa"/>
            <w:shd w:val="clear" w:color="auto" w:fill="FFFFFF"/>
          </w:tcPr>
          <w:p w14:paraId="2FC9F48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+11.15</w:t>
            </w:r>
          </w:p>
        </w:tc>
        <w:tc>
          <w:tcPr>
            <w:tcW w:w="1285" w:type="dxa"/>
            <w:shd w:val="clear" w:color="auto" w:fill="FFFFFF"/>
          </w:tcPr>
          <w:p w14:paraId="4728493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1437" w:type="dxa"/>
            <w:shd w:val="clear" w:color="auto" w:fill="FFFFFF"/>
          </w:tcPr>
          <w:p w14:paraId="594495B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2054" w:type="dxa"/>
            <w:shd w:val="clear" w:color="auto" w:fill="FFFFFF"/>
          </w:tcPr>
          <w:p w14:paraId="3326BC2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16CBC3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shd w:val="clear" w:color="auto" w:fill="FFFFFF"/>
          </w:tcPr>
          <w:p w14:paraId="4984AD1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个人福利净变化</w:t>
            </w:r>
          </w:p>
        </w:tc>
        <w:tc>
          <w:tcPr>
            <w:tcW w:w="2379" w:type="dxa"/>
            <w:shd w:val="clear" w:color="auto" w:fill="FFFFFF"/>
          </w:tcPr>
          <w:p w14:paraId="4B14C2B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个人层面综合福利变化</w:t>
            </w:r>
          </w:p>
        </w:tc>
        <w:tc>
          <w:tcPr>
            <w:tcW w:w="1090" w:type="dxa"/>
            <w:shd w:val="clear" w:color="auto" w:fill="FFFFFF"/>
          </w:tcPr>
          <w:p w14:paraId="78E53C61">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16.43</w:t>
            </w:r>
          </w:p>
        </w:tc>
        <w:tc>
          <w:tcPr>
            <w:tcW w:w="1285" w:type="dxa"/>
            <w:shd w:val="clear" w:color="auto" w:fill="FFFFFF"/>
          </w:tcPr>
          <w:p w14:paraId="7F4EB71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1437" w:type="dxa"/>
            <w:shd w:val="clear" w:color="auto" w:fill="FFFFFF"/>
          </w:tcPr>
          <w:p w14:paraId="3E239D1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2054" w:type="dxa"/>
            <w:shd w:val="clear" w:color="auto" w:fill="FFFFFF"/>
          </w:tcPr>
          <w:p w14:paraId="70194CA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0EB651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8" w:hRule="atLeast"/>
        </w:trPr>
        <w:tc>
          <w:tcPr>
            <w:tcW w:w="1452" w:type="dxa"/>
            <w:shd w:val="clear" w:color="auto" w:fill="FFFFFF"/>
          </w:tcPr>
          <w:p w14:paraId="63A3BD9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年减排量</w:t>
            </w:r>
          </w:p>
        </w:tc>
        <w:tc>
          <w:tcPr>
            <w:tcW w:w="2379" w:type="dxa"/>
            <w:shd w:val="clear" w:color="auto" w:fill="FFFFFF"/>
          </w:tcPr>
          <w:p w14:paraId="26A3F79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每人每年节约的碳排放量</w:t>
            </w:r>
          </w:p>
        </w:tc>
        <w:tc>
          <w:tcPr>
            <w:tcW w:w="1090" w:type="dxa"/>
            <w:shd w:val="clear" w:color="auto" w:fill="FFFFFF"/>
          </w:tcPr>
          <w:p w14:paraId="4A2F2E5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9.83</w:t>
            </w:r>
          </w:p>
        </w:tc>
        <w:tc>
          <w:tcPr>
            <w:tcW w:w="1285" w:type="dxa"/>
            <w:shd w:val="clear" w:color="auto" w:fill="FFFFFF"/>
          </w:tcPr>
          <w:p w14:paraId="6665A6D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1437" w:type="dxa"/>
            <w:shd w:val="clear" w:color="auto" w:fill="FFFFFF"/>
          </w:tcPr>
          <w:p w14:paraId="018DC3F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kgCO</w:t>
            </w:r>
            <w:r>
              <w:rPr>
                <w:rFonts w:ascii="Cambria Math" w:hAnsi="Cambria Math" w:cs="Cambria Math" w:eastAsiaTheme="minorEastAsia"/>
                <w:color w:val="000000"/>
              </w:rPr>
              <w:t>₂</w:t>
            </w:r>
            <w:r>
              <w:rPr>
                <w:rFonts w:cs="Times New Roman" w:asciiTheme="minorEastAsia" w:hAnsiTheme="minorEastAsia" w:eastAsiaTheme="minorEastAsia"/>
                <w:color w:val="000000"/>
              </w:rPr>
              <w:t>e/人·年</w:t>
            </w:r>
          </w:p>
        </w:tc>
        <w:tc>
          <w:tcPr>
            <w:tcW w:w="2054" w:type="dxa"/>
            <w:shd w:val="clear" w:color="auto" w:fill="FFFFFF"/>
          </w:tcPr>
          <w:p w14:paraId="00A3B45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195327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3" w:hRule="atLeast"/>
        </w:trPr>
        <w:tc>
          <w:tcPr>
            <w:tcW w:w="1452" w:type="dxa"/>
            <w:shd w:val="clear" w:color="auto" w:fill="FFFFFF"/>
          </w:tcPr>
          <w:p w14:paraId="19BEC97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社会福利净变化</w:t>
            </w:r>
          </w:p>
        </w:tc>
        <w:tc>
          <w:tcPr>
            <w:tcW w:w="2379" w:type="dxa"/>
            <w:shd w:val="clear" w:color="auto" w:fill="FFFFFF"/>
          </w:tcPr>
          <w:p w14:paraId="70B2BA2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含碳减排收益的社会层面福利变化</w:t>
            </w:r>
          </w:p>
        </w:tc>
        <w:tc>
          <w:tcPr>
            <w:tcW w:w="1090" w:type="dxa"/>
            <w:shd w:val="clear" w:color="auto" w:fill="FFFFFF"/>
          </w:tcPr>
          <w:p w14:paraId="10054377">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3.70</w:t>
            </w:r>
          </w:p>
        </w:tc>
        <w:tc>
          <w:tcPr>
            <w:tcW w:w="1285" w:type="dxa"/>
            <w:shd w:val="clear" w:color="auto" w:fill="FFFFFF"/>
          </w:tcPr>
          <w:p w14:paraId="13867B0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1437" w:type="dxa"/>
            <w:shd w:val="clear" w:color="auto" w:fill="FFFFFF"/>
          </w:tcPr>
          <w:p w14:paraId="168A38F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2054" w:type="dxa"/>
            <w:shd w:val="clear" w:color="auto" w:fill="FFFFFF"/>
          </w:tcPr>
          <w:p w14:paraId="5EBCB81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2BEC2B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28" w:hRule="atLeast"/>
        </w:trPr>
        <w:tc>
          <w:tcPr>
            <w:tcW w:w="1452" w:type="dxa"/>
            <w:tcBorders>
              <w:bottom w:val="single" w:color="000000" w:sz="12" w:space="0"/>
            </w:tcBorders>
            <w:shd w:val="clear" w:color="auto" w:fill="FFFFFF"/>
          </w:tcPr>
          <w:p w14:paraId="540960F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减排成本</w:t>
            </w:r>
          </w:p>
        </w:tc>
        <w:tc>
          <w:tcPr>
            <w:tcW w:w="2379" w:type="dxa"/>
            <w:tcBorders>
              <w:bottom w:val="single" w:color="000000" w:sz="12" w:space="0"/>
            </w:tcBorders>
            <w:shd w:val="clear" w:color="auto" w:fill="FFFFFF"/>
          </w:tcPr>
          <w:p w14:paraId="391B4C3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单位减排量的私人成本</w:t>
            </w:r>
          </w:p>
        </w:tc>
        <w:tc>
          <w:tcPr>
            <w:tcW w:w="1090" w:type="dxa"/>
            <w:tcBorders>
              <w:bottom w:val="single" w:color="000000" w:sz="12" w:space="0"/>
            </w:tcBorders>
            <w:shd w:val="clear" w:color="auto" w:fill="FFFFFF"/>
          </w:tcPr>
          <w:p w14:paraId="6C01B62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1,671</w:t>
            </w:r>
          </w:p>
        </w:tc>
        <w:tc>
          <w:tcPr>
            <w:tcW w:w="1285" w:type="dxa"/>
            <w:tcBorders>
              <w:bottom w:val="single" w:color="000000" w:sz="12" w:space="0"/>
            </w:tcBorders>
            <w:shd w:val="clear" w:color="auto" w:fill="FFFFFF"/>
          </w:tcPr>
          <w:p w14:paraId="43101BA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1437" w:type="dxa"/>
            <w:tcBorders>
              <w:bottom w:val="single" w:color="000000" w:sz="12" w:space="0"/>
            </w:tcBorders>
            <w:shd w:val="clear" w:color="auto" w:fill="FFFFFF"/>
          </w:tcPr>
          <w:p w14:paraId="03A0E40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元/tCO</w:t>
            </w:r>
            <w:r>
              <w:rPr>
                <w:rFonts w:ascii="Cambria Math" w:hAnsi="Cambria Math" w:cs="Cambria Math" w:eastAsiaTheme="minorEastAsia"/>
                <w:color w:val="000000"/>
              </w:rPr>
              <w:t>₂</w:t>
            </w:r>
            <w:r>
              <w:rPr>
                <w:rFonts w:cs="Times New Roman" w:asciiTheme="minorEastAsia" w:hAnsiTheme="minorEastAsia" w:eastAsiaTheme="minorEastAsia"/>
                <w:color w:val="000000"/>
              </w:rPr>
              <w:t>e</w:t>
            </w:r>
          </w:p>
        </w:tc>
        <w:tc>
          <w:tcPr>
            <w:tcW w:w="2054" w:type="dxa"/>
            <w:tcBorders>
              <w:bottom w:val="single" w:color="000000" w:sz="12" w:space="0"/>
            </w:tcBorders>
            <w:shd w:val="clear" w:color="auto" w:fill="FFFFFF"/>
          </w:tcPr>
          <w:p w14:paraId="19EF848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bl>
    <w:p w14:paraId="5F63B0F8">
      <w:pPr>
        <w:ind w:firstLine="0" w:firstLineChars="0"/>
        <w:rPr>
          <w:rFonts w:cs="Times New Roman"/>
        </w:rPr>
      </w:pPr>
    </w:p>
    <w:p w14:paraId="57165913">
      <w:pPr>
        <w:ind w:firstLine="480"/>
      </w:pPr>
      <w:r>
        <w:br w:type="page"/>
      </w:r>
    </w:p>
    <w:p w14:paraId="736BEB75">
      <w:pPr>
        <w:pStyle w:val="4"/>
        <w:bidi w:val="0"/>
        <w:rPr>
          <w:rFonts w:hint="default"/>
        </w:rPr>
      </w:pPr>
      <w:bookmarkStart w:id="51" w:name="_Toc3368"/>
      <w:r>
        <w:t>D.</w:t>
      </w:r>
      <w:r>
        <w:rPr>
          <w:rFonts w:hint="default"/>
        </w:rPr>
        <w:t>3 最大化垃圾分类与回收</w:t>
      </w:r>
      <w:bookmarkEnd w:id="51"/>
    </w:p>
    <w:p w14:paraId="76A59BBB">
      <w:pPr>
        <w:pStyle w:val="5"/>
        <w:ind w:firstLine="562"/>
        <w:rPr>
          <w:rFonts w:cs="Times New Roman"/>
        </w:rPr>
      </w:pPr>
      <w:r>
        <w:rPr>
          <w:rFonts w:hint="eastAsia" w:cs="Times New Roman"/>
        </w:rPr>
        <w:t>D.</w:t>
      </w:r>
      <w:r>
        <w:rPr>
          <w:rFonts w:cs="Times New Roman"/>
        </w:rPr>
        <w:t>3.1 定义</w:t>
      </w:r>
    </w:p>
    <w:p w14:paraId="0582B7F4">
      <w:pPr>
        <w:ind w:firstLine="480"/>
        <w:rPr>
          <w:rFonts w:cs="Times New Roman"/>
        </w:rPr>
      </w:pPr>
      <w:r>
        <w:rPr>
          <w:rFonts w:cs="Times New Roman"/>
        </w:rPr>
        <w:t>本行为情景假设居民从完全不进行垃圾分类，转变为对全部生活垃圾实施分类与回收。行为改变带来的额外成本主要为时间成本——包括寻找回收点和按分类要求投放垃圾所需的时间。额外购置分类垃圾袋的费用因金额微小而忽略不计。</w:t>
      </w:r>
    </w:p>
    <w:p w14:paraId="3871D62A">
      <w:pPr>
        <w:pStyle w:val="5"/>
        <w:ind w:firstLine="562"/>
        <w:rPr>
          <w:rFonts w:cs="Times New Roman"/>
        </w:rPr>
      </w:pPr>
      <w:r>
        <w:rPr>
          <w:rFonts w:hint="eastAsia" w:cs="Times New Roman"/>
        </w:rPr>
        <w:t>D.</w:t>
      </w:r>
      <w:r>
        <w:rPr>
          <w:rFonts w:cs="Times New Roman"/>
        </w:rPr>
        <w:t>3.2 测量</w:t>
      </w:r>
    </w:p>
    <w:p w14:paraId="3371AD1D">
      <w:pPr>
        <w:ind w:firstLine="480"/>
        <w:rPr>
          <w:rFonts w:cs="Times New Roman"/>
        </w:rPr>
      </w:pPr>
      <w:r>
        <w:rPr>
          <w:rFonts w:cs="Times New Roman"/>
        </w:rPr>
        <w:t>本行为净福利变化等于垃圾分类年均成本与不分类年均成本之差。不分类情景下成本为零（基准情景），因此：</w:t>
      </w:r>
    </w:p>
    <w:p w14:paraId="5E269FEE">
      <w:pPr>
        <w:ind w:firstLine="480"/>
        <w:rPr>
          <w:rFonts w:cs="Times New Roman"/>
        </w:rPr>
      </w:pPr>
      <w:r>
        <w:rPr>
          <w:rFonts w:cs="Times New Roman"/>
        </w:rPr>
        <w:t>ΔWelfare = −(TimeCost) = −(FreqDisposal − FreqRecycling) × SortTime × OTC × (52/HouseholdSize)</w:t>
      </w:r>
    </w:p>
    <w:p w14:paraId="46186880">
      <w:pPr>
        <w:ind w:firstLine="480"/>
        <w:rPr>
          <w:rFonts w:cs="Times New Roman"/>
        </w:rPr>
      </w:pPr>
      <w:r>
        <w:rPr>
          <w:rFonts w:cs="Times New Roman"/>
        </w:rPr>
        <w:t>其中，FreqDisposal 为家庭每周垃圾处置频率；FreqRecycling 为已有垃圾回收频率（即当前已分类的次数）；SortTime 为每次分类所用时间；OTC 为时间机会成本；HouseholdSize 为户均人口（用于从户级转换至人均）。</w:t>
      </w:r>
    </w:p>
    <w:p w14:paraId="73690654">
      <w:pPr>
        <w:pStyle w:val="5"/>
        <w:ind w:firstLine="562"/>
        <w:rPr>
          <w:rFonts w:cs="Times New Roman"/>
        </w:rPr>
      </w:pPr>
      <w:r>
        <w:rPr>
          <w:rFonts w:hint="eastAsia" w:cs="Times New Roman"/>
        </w:rPr>
        <w:t>D.</w:t>
      </w:r>
      <w:r>
        <w:rPr>
          <w:rFonts w:cs="Times New Roman"/>
        </w:rPr>
        <w:t>3.3 数据来源</w:t>
      </w:r>
    </w:p>
    <w:p w14:paraId="5037F765">
      <w:pPr>
        <w:ind w:firstLine="480"/>
        <w:rPr>
          <w:rFonts w:cs="Times New Roman"/>
        </w:rPr>
      </w:pPr>
      <w:r>
        <w:rPr>
          <w:rFonts w:cs="Times New Roman"/>
        </w:rPr>
        <w:t>（1）垃圾处置频率：参照赵（2021）上海居民调查数据，家庭每周干垃圾投放频率约4.95次，湿垃圾投放频率约5.42次，取均值约5.185次/周。</w:t>
      </w:r>
    </w:p>
    <w:p w14:paraId="41408DB7">
      <w:pPr>
        <w:ind w:firstLine="480"/>
        <w:rPr>
          <w:rFonts w:cs="Times New Roman"/>
        </w:rPr>
      </w:pPr>
      <w:r>
        <w:rPr>
          <w:rFonts w:cs="Times New Roman"/>
        </w:rPr>
        <w:t>（2）垃圾分类频率：综合住房和城乡建设部2020–2024年垃圾分类参与率数据（30.5%、38.2%、45%、51.3%、55%），取均值约44.0%，乘以处置频率，得当前已分类频率约2.28次/周。</w:t>
      </w:r>
    </w:p>
    <w:p w14:paraId="4B642662">
      <w:pPr>
        <w:ind w:firstLine="480"/>
        <w:rPr>
          <w:rFonts w:cs="Times New Roman"/>
        </w:rPr>
      </w:pPr>
      <w:r>
        <w:rPr>
          <w:rFonts w:cs="Times New Roman"/>
        </w:rPr>
        <w:t>（3）每日垃圾产生量：取住房和城乡建设部2020–2024年统计数据（0.71、0.74、0.73、0.75、0.77 kg/人·天）的均值，约0.74 kg/人·天。</w:t>
      </w:r>
    </w:p>
    <w:p w14:paraId="6497DF05">
      <w:pPr>
        <w:ind w:firstLine="480"/>
        <w:rPr>
          <w:rFonts w:cs="Times New Roman"/>
        </w:rPr>
      </w:pPr>
      <w:r>
        <w:rPr>
          <w:rFonts w:cs="Times New Roman"/>
        </w:rPr>
        <w:t>（4）垃圾分类时间：参照赵（2021）上海居民调查，居民普遍反映强制垃圾分类未明显增加额外时间。本研究设每次分类时间为5分钟。</w:t>
      </w:r>
    </w:p>
    <w:p w14:paraId="6C015F0B">
      <w:pPr>
        <w:ind w:firstLine="480"/>
        <w:rPr>
          <w:rFonts w:cs="Times New Roman"/>
        </w:rPr>
      </w:pPr>
      <w:r>
        <w:rPr>
          <w:rFonts w:cs="Times New Roman"/>
        </w:rPr>
        <w:t>（5）垃圾分类减排量：综合傅等（2023，460.29 kgCO₂e/吨）、何等（2022，138 kgCO₂e/吨）和陈等（2022，230.3 kgCO₂e/吨）研究，取平均值276.20 kgCO₂e/吨。</w:t>
      </w:r>
    </w:p>
    <w:p w14:paraId="79CC82BA">
      <w:pPr>
        <w:pStyle w:val="5"/>
        <w:ind w:firstLine="562"/>
        <w:rPr>
          <w:rFonts w:cs="Times New Roman"/>
        </w:rPr>
      </w:pPr>
      <w:r>
        <w:rPr>
          <w:rFonts w:hint="eastAsia" w:cs="Times New Roman"/>
        </w:rPr>
        <w:t>D.</w:t>
      </w:r>
      <w:r>
        <w:rPr>
          <w:rFonts w:cs="Times New Roman"/>
        </w:rPr>
        <w:t>3.4 参数设置</w:t>
      </w:r>
    </w:p>
    <w:p w14:paraId="28178E10">
      <w:pPr>
        <w:ind w:firstLine="0" w:firstLineChars="0"/>
        <w:jc w:val="center"/>
      </w:pPr>
      <w:r>
        <w:rPr>
          <w:rFonts w:hint="eastAsia" w:cs="Times New Roman"/>
        </w:rPr>
        <w:t>附表</w:t>
      </w:r>
      <w:r>
        <w:rPr>
          <w:rFonts w:hint="eastAsia"/>
        </w:rPr>
        <w:t>D-</w:t>
      </w:r>
      <w:r>
        <w:t>5</w:t>
      </w:r>
    </w:p>
    <w:p w14:paraId="1480B11E">
      <w:pPr>
        <w:ind w:firstLine="0" w:firstLineChars="0"/>
        <w:jc w:val="center"/>
        <w:rPr>
          <w:rFonts w:cs="Times New Roman"/>
        </w:rPr>
      </w:pPr>
      <w:r>
        <w:rPr>
          <w:rFonts w:hint="eastAsia" w:cs="Times New Roman"/>
          <w:b/>
          <w:bCs/>
        </w:rPr>
        <w:t>Table D-5</w:t>
      </w:r>
    </w:p>
    <w:tbl>
      <w:tblPr>
        <w:tblStyle w:val="13"/>
        <w:tblW w:w="8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350"/>
        <w:gridCol w:w="1200"/>
        <w:gridCol w:w="1100"/>
        <w:gridCol w:w="1100"/>
        <w:gridCol w:w="1100"/>
      </w:tblGrid>
      <w:tr w14:paraId="7A3D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5BD104F8">
            <w:pPr>
              <w:pStyle w:val="23"/>
              <w:keepNext w:val="0"/>
              <w:keepLines w:val="0"/>
              <w:suppressLineNumbers w:val="0"/>
              <w:spacing w:before="0" w:beforeAutospacing="0" w:after="0" w:afterAutospacing="0"/>
              <w:ind w:left="0" w:right="0"/>
              <w:rPr>
                <w:rFonts w:hint="eastAsia" w:asciiTheme="minorEastAsia" w:hAnsiTheme="minorEastAsia" w:eastAsiaTheme="minorEastAsia"/>
                <w:bCs/>
                <w:color w:val="000000"/>
              </w:rPr>
            </w:pPr>
            <w:r>
              <w:rPr>
                <w:rFonts w:hint="eastAsia" w:asciiTheme="minorEastAsia" w:hAnsiTheme="minorEastAsia" w:eastAsiaTheme="minorEastAsia"/>
                <w:bCs/>
                <w:color w:val="000000"/>
              </w:rPr>
              <w:t>参数</w:t>
            </w:r>
          </w:p>
        </w:tc>
        <w:tc>
          <w:tcPr>
            <w:tcW w:w="135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5EB8397">
            <w:pPr>
              <w:pStyle w:val="23"/>
              <w:keepNext w:val="0"/>
              <w:keepLines w:val="0"/>
              <w:suppressLineNumbers w:val="0"/>
              <w:spacing w:before="0" w:beforeAutospacing="0" w:after="0" w:afterAutospacing="0"/>
              <w:ind w:left="0" w:right="0"/>
              <w:rPr>
                <w:rFonts w:hint="eastAsia" w:asciiTheme="minorEastAsia" w:hAnsiTheme="minorEastAsia" w:eastAsiaTheme="minorEastAsia"/>
                <w:bCs/>
                <w:color w:val="000000"/>
              </w:rPr>
            </w:pPr>
            <w:r>
              <w:rPr>
                <w:rFonts w:hint="eastAsia" w:asciiTheme="minorEastAsia" w:hAnsiTheme="minorEastAsia" w:eastAsiaTheme="minorEastAsia"/>
                <w:bCs/>
                <w:color w:val="000000"/>
              </w:rPr>
              <w:t>单位</w:t>
            </w:r>
          </w:p>
        </w:tc>
        <w:tc>
          <w:tcPr>
            <w:tcW w:w="12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695E2A3">
            <w:pPr>
              <w:pStyle w:val="23"/>
              <w:keepNext w:val="0"/>
              <w:keepLines w:val="0"/>
              <w:suppressLineNumbers w:val="0"/>
              <w:spacing w:before="0" w:beforeAutospacing="0" w:after="0" w:afterAutospacing="0"/>
              <w:ind w:left="0" w:right="0"/>
              <w:rPr>
                <w:rFonts w:hint="eastAsia" w:asciiTheme="minorEastAsia" w:hAnsiTheme="minorEastAsia" w:eastAsiaTheme="minorEastAsia"/>
                <w:bCs/>
                <w:color w:val="000000"/>
              </w:rPr>
            </w:pPr>
            <w:r>
              <w:rPr>
                <w:rFonts w:hint="eastAsia" w:asciiTheme="minorEastAsia" w:hAnsiTheme="minorEastAsia" w:eastAsiaTheme="minorEastAsia"/>
                <w:bCs/>
                <w:color w:val="000000"/>
              </w:rPr>
              <w:t>分布</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BF402D6">
            <w:pPr>
              <w:pStyle w:val="23"/>
              <w:keepNext w:val="0"/>
              <w:keepLines w:val="0"/>
              <w:suppressLineNumbers w:val="0"/>
              <w:spacing w:before="0" w:beforeAutospacing="0" w:after="0" w:afterAutospacing="0"/>
              <w:ind w:left="0" w:right="0"/>
              <w:rPr>
                <w:rFonts w:hint="eastAsia" w:asciiTheme="minorEastAsia" w:hAnsiTheme="minorEastAsia" w:eastAsiaTheme="minorEastAsia"/>
                <w:bCs/>
                <w:color w:val="000000"/>
              </w:rPr>
            </w:pPr>
            <w:r>
              <w:rPr>
                <w:rFonts w:hint="eastAsia" w:asciiTheme="minorEastAsia" w:hAnsiTheme="minorEastAsia" w:eastAsiaTheme="minorEastAsia"/>
                <w:bCs/>
                <w:color w:val="000000"/>
              </w:rPr>
              <w:t>第10百分位</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69D03F82">
            <w:pPr>
              <w:pStyle w:val="23"/>
              <w:keepNext w:val="0"/>
              <w:keepLines w:val="0"/>
              <w:suppressLineNumbers w:val="0"/>
              <w:spacing w:before="0" w:beforeAutospacing="0" w:after="0" w:afterAutospacing="0"/>
              <w:ind w:left="0" w:right="0"/>
              <w:rPr>
                <w:rFonts w:hint="eastAsia" w:asciiTheme="minorEastAsia" w:hAnsiTheme="minorEastAsia" w:eastAsiaTheme="minorEastAsia"/>
                <w:bCs/>
                <w:color w:val="000000"/>
              </w:rPr>
            </w:pPr>
            <w:r>
              <w:rPr>
                <w:rFonts w:hint="eastAsia" w:asciiTheme="minorEastAsia" w:hAnsiTheme="minorEastAsia" w:eastAsiaTheme="minorEastAsia"/>
                <w:bCs/>
                <w:color w:val="000000"/>
              </w:rPr>
              <w:t>均值</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D64F9F3">
            <w:pPr>
              <w:pStyle w:val="23"/>
              <w:keepNext w:val="0"/>
              <w:keepLines w:val="0"/>
              <w:suppressLineNumbers w:val="0"/>
              <w:spacing w:before="0" w:beforeAutospacing="0" w:after="0" w:afterAutospacing="0"/>
              <w:ind w:left="0" w:right="0"/>
              <w:rPr>
                <w:rFonts w:hint="eastAsia" w:asciiTheme="minorEastAsia" w:hAnsiTheme="minorEastAsia" w:eastAsiaTheme="minorEastAsia"/>
                <w:bCs/>
                <w:color w:val="000000"/>
              </w:rPr>
            </w:pPr>
            <w:r>
              <w:rPr>
                <w:rFonts w:hint="eastAsia" w:asciiTheme="minorEastAsia" w:hAnsiTheme="minorEastAsia" w:eastAsiaTheme="minorEastAsia"/>
                <w:bCs/>
                <w:color w:val="000000"/>
              </w:rPr>
              <w:t>第90百分位</w:t>
            </w:r>
          </w:p>
        </w:tc>
      </w:tr>
      <w:tr w14:paraId="21DD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F0EE526">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 xml:space="preserve">垃圾处置频率 </w:t>
            </w:r>
          </w:p>
        </w:tc>
        <w:tc>
          <w:tcPr>
            <w:tcW w:w="135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BD8CD96">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次/周</w:t>
            </w:r>
          </w:p>
        </w:tc>
        <w:tc>
          <w:tcPr>
            <w:tcW w:w="12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956ED03">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均匀</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D0322BD">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3.25</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02153A8">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5.185</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9ACB7A0">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9.25</w:t>
            </w:r>
          </w:p>
        </w:tc>
      </w:tr>
      <w:tr w14:paraId="163A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55D17038">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 xml:space="preserve">垃圾回收频率 </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3CFEB395">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次/周</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55D31438">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三角</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42E74BA2">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1.51</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0A6E3F9E">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2.28</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0E60A08">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2.85</w:t>
            </w:r>
          </w:p>
        </w:tc>
      </w:tr>
      <w:tr w14:paraId="7A8B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10CE9274">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垃圾分类时间</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00899CDC">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分钟/次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7872F0BF">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三角</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097715B8">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2.90</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6901299A">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5.00</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66B3CBF9">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8.10</w:t>
            </w:r>
          </w:p>
        </w:tc>
      </w:tr>
      <w:tr w14:paraId="5B21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77FAC193">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时间价值(OTC)</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759BAFF4">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元/小时</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7804122C">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均匀</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38E8221">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12.28</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7DF6183">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30.69</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23E7180C">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49.11</w:t>
            </w:r>
          </w:p>
        </w:tc>
      </w:tr>
      <w:tr w14:paraId="66CB1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377E01CC">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垃圾产生量</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7FAFC6DA">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kg/人·天</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5B285C00">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0996808">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CFFF76C">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0.74</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8569EC5">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w:t>
            </w:r>
          </w:p>
        </w:tc>
      </w:tr>
      <w:tr w14:paraId="625B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6C883487">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分类减排因子</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6CACCEE5">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kgCO</w:t>
            </w:r>
            <w:r>
              <w:rPr>
                <w:rFonts w:hint="eastAsia" w:ascii="Cambria Math" w:hAnsi="Cambria Math" w:cs="Cambria Math" w:eastAsiaTheme="minorEastAsia"/>
                <w:color w:val="000000"/>
              </w:rPr>
              <w:t>₂</w:t>
            </w:r>
            <w:r>
              <w:rPr>
                <w:rFonts w:hint="eastAsia" w:asciiTheme="minorEastAsia" w:hAnsiTheme="minorEastAsia" w:eastAsiaTheme="minorEastAsia"/>
                <w:color w:val="000000"/>
              </w:rPr>
              <w:t>e/吨</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6D4F9F3B">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三角</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1977A5B">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138</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2AE5F37C">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276.20</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AABFEB8">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460.29</w:t>
            </w:r>
          </w:p>
        </w:tc>
      </w:tr>
      <w:tr w14:paraId="4A37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8DE4C8A">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户均人口</w:t>
            </w:r>
          </w:p>
        </w:tc>
        <w:tc>
          <w:tcPr>
            <w:tcW w:w="135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722506A">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人/户</w:t>
            </w:r>
          </w:p>
        </w:tc>
        <w:tc>
          <w:tcPr>
            <w:tcW w:w="12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CAED902">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3FBFE78">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A7F4E5E">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2.51</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24D8D01">
            <w:pPr>
              <w:pStyle w:val="23"/>
              <w:keepNext w:val="0"/>
              <w:keepLines w:val="0"/>
              <w:suppressLineNumbers w:val="0"/>
              <w:spacing w:before="0" w:beforeAutospacing="0" w:after="0" w:afterAutospacing="0"/>
              <w:ind w:left="0" w:right="0"/>
              <w:rPr>
                <w:rFonts w:hint="eastAsia" w:asciiTheme="minorEastAsia" w:hAnsiTheme="minorEastAsia" w:eastAsiaTheme="minorEastAsia"/>
                <w:color w:val="000000"/>
              </w:rPr>
            </w:pPr>
            <w:r>
              <w:rPr>
                <w:rFonts w:hint="eastAsia" w:asciiTheme="minorEastAsia" w:hAnsiTheme="minorEastAsia" w:eastAsiaTheme="minorEastAsia"/>
                <w:color w:val="000000"/>
              </w:rPr>
              <w:t>—</w:t>
            </w:r>
          </w:p>
        </w:tc>
      </w:tr>
    </w:tbl>
    <w:p w14:paraId="175A8DA5">
      <w:pPr>
        <w:ind w:firstLine="0" w:firstLineChars="0"/>
        <w:rPr>
          <w:rFonts w:cs="Times New Roman"/>
        </w:rPr>
      </w:pPr>
    </w:p>
    <w:p w14:paraId="01B72A1E">
      <w:pPr>
        <w:ind w:firstLine="0" w:firstLineChars="0"/>
        <w:jc w:val="center"/>
      </w:pPr>
      <w:r>
        <w:rPr>
          <w:rFonts w:hint="eastAsia" w:cs="Times New Roman"/>
        </w:rPr>
        <w:t>附表</w:t>
      </w:r>
      <w:r>
        <w:rPr>
          <w:rFonts w:hint="eastAsia"/>
        </w:rPr>
        <w:t>D-</w:t>
      </w:r>
      <w:r>
        <w:t>6</w:t>
      </w:r>
    </w:p>
    <w:p w14:paraId="237BC0C6">
      <w:pPr>
        <w:ind w:firstLine="0" w:firstLineChars="0"/>
        <w:jc w:val="center"/>
        <w:rPr>
          <w:rFonts w:cs="Times New Roman"/>
        </w:rPr>
      </w:pPr>
      <w:r>
        <w:rPr>
          <w:rFonts w:hint="eastAsia" w:cs="Times New Roman"/>
          <w:b/>
          <w:bCs/>
        </w:rPr>
        <w:t>Table D-6</w:t>
      </w:r>
    </w:p>
    <w:tbl>
      <w:tblPr>
        <w:tblStyle w:val="29"/>
        <w:tblW w:w="8698"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00" w:type="dxa"/>
          <w:left w:w="100" w:type="dxa"/>
          <w:bottom w:w="100" w:type="dxa"/>
          <w:right w:w="100" w:type="dxa"/>
        </w:tblCellMar>
      </w:tblPr>
      <w:tblGrid>
        <w:gridCol w:w="1032"/>
        <w:gridCol w:w="1338"/>
        <w:gridCol w:w="1100"/>
        <w:gridCol w:w="1640"/>
        <w:gridCol w:w="1134"/>
        <w:gridCol w:w="2454"/>
      </w:tblGrid>
      <w:tr w14:paraId="6325B0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4" w:hRule="atLeast"/>
        </w:trPr>
        <w:tc>
          <w:tcPr>
            <w:tcW w:w="1231" w:type="dxa"/>
            <w:tcBorders>
              <w:top w:val="single" w:color="000000" w:sz="12" w:space="0"/>
              <w:bottom w:val="single" w:color="000000" w:sz="4" w:space="0"/>
              <w:tl2br w:val="nil"/>
            </w:tcBorders>
            <w:shd w:val="clear" w:color="auto" w:fill="FFFFFF"/>
          </w:tcPr>
          <w:p w14:paraId="00844152">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参数名称</w:t>
            </w:r>
          </w:p>
        </w:tc>
        <w:tc>
          <w:tcPr>
            <w:tcW w:w="1763" w:type="dxa"/>
            <w:tcBorders>
              <w:top w:val="single" w:color="000000" w:sz="12" w:space="0"/>
              <w:bottom w:val="single" w:color="000000" w:sz="4" w:space="0"/>
            </w:tcBorders>
            <w:shd w:val="clear" w:color="auto" w:fill="FFFFFF"/>
          </w:tcPr>
          <w:p w14:paraId="2D3ED6C2">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参数含义</w:t>
            </w:r>
          </w:p>
        </w:tc>
        <w:tc>
          <w:tcPr>
            <w:tcW w:w="1015" w:type="dxa"/>
            <w:tcBorders>
              <w:top w:val="single" w:color="000000" w:sz="12" w:space="0"/>
              <w:bottom w:val="single" w:color="000000" w:sz="4" w:space="0"/>
            </w:tcBorders>
            <w:shd w:val="clear" w:color="auto" w:fill="FFFFFF"/>
          </w:tcPr>
          <w:p w14:paraId="2952DA63">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基准值</w:t>
            </w:r>
          </w:p>
        </w:tc>
        <w:tc>
          <w:tcPr>
            <w:tcW w:w="1238" w:type="dxa"/>
            <w:tcBorders>
              <w:top w:val="single" w:color="000000" w:sz="12" w:space="0"/>
              <w:bottom w:val="single" w:color="000000" w:sz="4" w:space="0"/>
            </w:tcBorders>
            <w:shd w:val="clear" w:color="auto" w:fill="FFFFFF"/>
          </w:tcPr>
          <w:p w14:paraId="08303552">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范围/分布</w:t>
            </w:r>
          </w:p>
        </w:tc>
        <w:tc>
          <w:tcPr>
            <w:tcW w:w="1138" w:type="dxa"/>
            <w:tcBorders>
              <w:top w:val="single" w:color="000000" w:sz="12" w:space="0"/>
              <w:bottom w:val="single" w:color="000000" w:sz="4" w:space="0"/>
            </w:tcBorders>
            <w:shd w:val="clear" w:color="auto" w:fill="FFFFFF"/>
          </w:tcPr>
          <w:p w14:paraId="1141C821">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单位</w:t>
            </w:r>
          </w:p>
        </w:tc>
        <w:tc>
          <w:tcPr>
            <w:tcW w:w="2313" w:type="dxa"/>
            <w:tcBorders>
              <w:top w:val="single" w:color="000000" w:sz="12" w:space="0"/>
              <w:bottom w:val="single" w:color="000000" w:sz="4" w:space="0"/>
            </w:tcBorders>
            <w:shd w:val="clear" w:color="auto" w:fill="FFFFFF"/>
          </w:tcPr>
          <w:p w14:paraId="104C3F90">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数据来源</w:t>
            </w:r>
          </w:p>
        </w:tc>
      </w:tr>
      <w:tr w14:paraId="1A2D79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4" w:hRule="atLeast"/>
        </w:trPr>
        <w:tc>
          <w:tcPr>
            <w:tcW w:w="0" w:type="auto"/>
            <w:gridSpan w:val="6"/>
            <w:tcBorders>
              <w:top w:val="single" w:color="000000" w:sz="12" w:space="0"/>
              <w:bottom w:val="single" w:color="000000" w:sz="4" w:space="0"/>
              <w:tl2br w:val="nil"/>
            </w:tcBorders>
            <w:shd w:val="clear" w:color="auto" w:fill="FFFFFF"/>
          </w:tcPr>
          <w:p w14:paraId="59FE51EC">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非货币成本</w:t>
            </w:r>
            <w:r>
              <w:rPr>
                <w:rFonts w:hint="eastAsia" w:cs="Times New Roman" w:asciiTheme="minorEastAsia" w:hAnsiTheme="minorEastAsia" w:eastAsiaTheme="minorEastAsia"/>
                <w:color w:val="000000"/>
              </w:rPr>
              <w:t>]</w:t>
            </w:r>
          </w:p>
        </w:tc>
      </w:tr>
      <w:tr w14:paraId="11ED6C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tcBorders>
              <w:top w:val="single" w:color="000000" w:sz="4" w:space="0"/>
            </w:tcBorders>
            <w:shd w:val="clear" w:color="auto" w:fill="FFFFFF"/>
          </w:tcPr>
          <w:p w14:paraId="15A8917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垃圾投放频次</w:t>
            </w:r>
          </w:p>
        </w:tc>
        <w:tc>
          <w:tcPr>
            <w:tcW w:w="0" w:type="auto"/>
            <w:tcBorders>
              <w:top w:val="single" w:color="000000" w:sz="4" w:space="0"/>
            </w:tcBorders>
            <w:shd w:val="clear" w:color="auto" w:fill="FFFFFF"/>
          </w:tcPr>
          <w:p w14:paraId="1570A52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家庭每周平均垃圾投放次数</w:t>
            </w:r>
          </w:p>
        </w:tc>
        <w:tc>
          <w:tcPr>
            <w:tcW w:w="0" w:type="auto"/>
            <w:tcBorders>
              <w:top w:val="single" w:color="000000" w:sz="4" w:space="0"/>
            </w:tcBorders>
            <w:shd w:val="clear" w:color="auto" w:fill="FFFFFF"/>
          </w:tcPr>
          <w:p w14:paraId="5382812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5.19</w:t>
            </w:r>
          </w:p>
        </w:tc>
        <w:tc>
          <w:tcPr>
            <w:tcW w:w="0" w:type="auto"/>
            <w:tcBorders>
              <w:top w:val="single" w:color="000000" w:sz="4" w:space="0"/>
            </w:tcBorders>
            <w:shd w:val="clear" w:color="auto" w:fill="FFFFFF"/>
          </w:tcPr>
          <w:p w14:paraId="0BBA776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4.95–5.42</w:t>
            </w:r>
          </w:p>
        </w:tc>
        <w:tc>
          <w:tcPr>
            <w:tcW w:w="0" w:type="auto"/>
            <w:tcBorders>
              <w:top w:val="single" w:color="000000" w:sz="4" w:space="0"/>
            </w:tcBorders>
            <w:shd w:val="clear" w:color="auto" w:fill="FFFFFF"/>
          </w:tcPr>
          <w:p w14:paraId="768D4C0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次/周</w:t>
            </w:r>
          </w:p>
        </w:tc>
        <w:tc>
          <w:tcPr>
            <w:tcW w:w="0" w:type="auto"/>
            <w:tcBorders>
              <w:top w:val="single" w:color="000000" w:sz="4" w:space="0"/>
            </w:tcBorders>
            <w:shd w:val="clear" w:color="auto" w:fill="FFFFFF"/>
          </w:tcPr>
          <w:p w14:paraId="665245F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Zhao (2021)，上海市垃圾分类调研</w:t>
            </w:r>
          </w:p>
        </w:tc>
      </w:tr>
      <w:tr w14:paraId="6596F5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shd w:val="clear" w:color="auto" w:fill="FFFFFF"/>
          </w:tcPr>
          <w:p w14:paraId="1445A4D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垃圾分类/回收频次</w:t>
            </w:r>
          </w:p>
        </w:tc>
        <w:tc>
          <w:tcPr>
            <w:tcW w:w="0" w:type="auto"/>
            <w:shd w:val="clear" w:color="auto" w:fill="FFFFFF"/>
          </w:tcPr>
          <w:p w14:paraId="08F1874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家庭每周平均进行分类回收的次数（基准）</w:t>
            </w:r>
          </w:p>
        </w:tc>
        <w:tc>
          <w:tcPr>
            <w:tcW w:w="0" w:type="auto"/>
            <w:shd w:val="clear" w:color="auto" w:fill="FFFFFF"/>
          </w:tcPr>
          <w:p w14:paraId="548535F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2.28</w:t>
            </w:r>
          </w:p>
        </w:tc>
        <w:tc>
          <w:tcPr>
            <w:tcW w:w="0" w:type="auto"/>
            <w:shd w:val="clear" w:color="auto" w:fill="FFFFFF"/>
          </w:tcPr>
          <w:p w14:paraId="716EF65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1.58–2.85</w:t>
            </w:r>
          </w:p>
        </w:tc>
        <w:tc>
          <w:tcPr>
            <w:tcW w:w="0" w:type="auto"/>
            <w:shd w:val="clear" w:color="auto" w:fill="FFFFFF"/>
          </w:tcPr>
          <w:p w14:paraId="1F12276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次/周</w:t>
            </w:r>
          </w:p>
        </w:tc>
        <w:tc>
          <w:tcPr>
            <w:tcW w:w="0" w:type="auto"/>
            <w:shd w:val="clear" w:color="auto" w:fill="FFFFFF"/>
          </w:tcPr>
          <w:p w14:paraId="749C246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住房和城乡建设部分类统计 (2020–2024)</w:t>
            </w:r>
          </w:p>
        </w:tc>
      </w:tr>
      <w:tr w14:paraId="5ED7DF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shd w:val="clear" w:color="auto" w:fill="FFFFFF"/>
          </w:tcPr>
          <w:p w14:paraId="32F74C8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人均日产垃圾量</w:t>
            </w:r>
          </w:p>
        </w:tc>
        <w:tc>
          <w:tcPr>
            <w:tcW w:w="0" w:type="auto"/>
            <w:shd w:val="clear" w:color="auto" w:fill="FFFFFF"/>
          </w:tcPr>
          <w:p w14:paraId="1D2A6DC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每人每天产生的生活垃圾量</w:t>
            </w:r>
          </w:p>
        </w:tc>
        <w:tc>
          <w:tcPr>
            <w:tcW w:w="0" w:type="auto"/>
            <w:shd w:val="clear" w:color="auto" w:fill="FFFFFF"/>
          </w:tcPr>
          <w:p w14:paraId="1E54222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0.74</w:t>
            </w:r>
          </w:p>
        </w:tc>
        <w:tc>
          <w:tcPr>
            <w:tcW w:w="0" w:type="auto"/>
            <w:shd w:val="clear" w:color="auto" w:fill="FFFFFF"/>
          </w:tcPr>
          <w:p w14:paraId="5220B76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0.50–1.00</w:t>
            </w:r>
          </w:p>
        </w:tc>
        <w:tc>
          <w:tcPr>
            <w:tcW w:w="0" w:type="auto"/>
            <w:shd w:val="clear" w:color="auto" w:fill="FFFFFF"/>
          </w:tcPr>
          <w:p w14:paraId="04C326C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kg/人·天</w:t>
            </w:r>
          </w:p>
        </w:tc>
        <w:tc>
          <w:tcPr>
            <w:tcW w:w="0" w:type="auto"/>
            <w:shd w:val="clear" w:color="auto" w:fill="FFFFFF"/>
          </w:tcPr>
          <w:p w14:paraId="10DB53F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国家统计局城市生活垃圾统计 (2023)</w:t>
            </w:r>
          </w:p>
        </w:tc>
      </w:tr>
      <w:tr w14:paraId="49F135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shd w:val="clear" w:color="auto" w:fill="FFFFFF"/>
          </w:tcPr>
          <w:p w14:paraId="563BD5E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每次分类耗时</w:t>
            </w:r>
          </w:p>
        </w:tc>
        <w:tc>
          <w:tcPr>
            <w:tcW w:w="0" w:type="auto"/>
            <w:shd w:val="clear" w:color="auto" w:fill="FFFFFF"/>
          </w:tcPr>
          <w:p w14:paraId="65B462E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每次垃圾分类平均花费时间</w:t>
            </w:r>
          </w:p>
        </w:tc>
        <w:tc>
          <w:tcPr>
            <w:tcW w:w="0" w:type="auto"/>
            <w:shd w:val="clear" w:color="auto" w:fill="FFFFFF"/>
          </w:tcPr>
          <w:p w14:paraId="137F267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5</w:t>
            </w:r>
          </w:p>
        </w:tc>
        <w:tc>
          <w:tcPr>
            <w:tcW w:w="0" w:type="auto"/>
            <w:shd w:val="clear" w:color="auto" w:fill="FFFFFF"/>
          </w:tcPr>
          <w:p w14:paraId="526FE1F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3–10</w:t>
            </w:r>
          </w:p>
        </w:tc>
        <w:tc>
          <w:tcPr>
            <w:tcW w:w="0" w:type="auto"/>
            <w:shd w:val="clear" w:color="auto" w:fill="FFFFFF"/>
          </w:tcPr>
          <w:p w14:paraId="58A8BC1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分钟/次</w:t>
            </w:r>
          </w:p>
        </w:tc>
        <w:tc>
          <w:tcPr>
            <w:tcW w:w="0" w:type="auto"/>
            <w:shd w:val="clear" w:color="auto" w:fill="FFFFFF"/>
          </w:tcPr>
          <w:p w14:paraId="3BD1685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作者估算</w:t>
            </w:r>
          </w:p>
        </w:tc>
      </w:tr>
      <w:tr w14:paraId="04EB35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706" w:hRule="atLeast"/>
        </w:trPr>
        <w:tc>
          <w:tcPr>
            <w:tcW w:w="0" w:type="auto"/>
            <w:shd w:val="clear" w:color="auto" w:fill="FFFFFF"/>
          </w:tcPr>
          <w:p w14:paraId="25CA257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时间机会成本</w:t>
            </w:r>
          </w:p>
        </w:tc>
        <w:tc>
          <w:tcPr>
            <w:tcW w:w="0" w:type="auto"/>
            <w:shd w:val="clear" w:color="auto" w:fill="FFFFFF"/>
          </w:tcPr>
          <w:p w14:paraId="525F659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单位时间的机会成本（时薪）</w:t>
            </w:r>
          </w:p>
        </w:tc>
        <w:tc>
          <w:tcPr>
            <w:tcW w:w="0" w:type="auto"/>
            <w:shd w:val="clear" w:color="auto" w:fill="FFFFFF"/>
          </w:tcPr>
          <w:p w14:paraId="7A0A24A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30.69</w:t>
            </w:r>
          </w:p>
        </w:tc>
        <w:tc>
          <w:tcPr>
            <w:tcW w:w="0" w:type="auto"/>
            <w:shd w:val="clear" w:color="auto" w:fill="FFFFFF"/>
          </w:tcPr>
          <w:p w14:paraId="0B6703E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12.28–49.11</w:t>
            </w:r>
          </w:p>
        </w:tc>
        <w:tc>
          <w:tcPr>
            <w:tcW w:w="0" w:type="auto"/>
            <w:shd w:val="clear" w:color="auto" w:fill="FFFFFF"/>
          </w:tcPr>
          <w:p w14:paraId="2237AC9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元/小时</w:t>
            </w:r>
          </w:p>
        </w:tc>
        <w:tc>
          <w:tcPr>
            <w:tcW w:w="0" w:type="auto"/>
            <w:shd w:val="clear" w:color="auto" w:fill="FFFFFF"/>
          </w:tcPr>
          <w:p w14:paraId="747D7FC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中国统计年鉴 (2024)；中国人口与就业统计年鉴 (2021)</w:t>
            </w:r>
          </w:p>
        </w:tc>
      </w:tr>
      <w:tr w14:paraId="78B193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tcBorders>
              <w:bottom w:val="single" w:color="000000" w:sz="12" w:space="0"/>
            </w:tcBorders>
            <w:shd w:val="clear" w:color="auto" w:fill="FFFFFF"/>
          </w:tcPr>
          <w:p w14:paraId="780BB38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家庭人口规模</w:t>
            </w:r>
          </w:p>
        </w:tc>
        <w:tc>
          <w:tcPr>
            <w:tcW w:w="0" w:type="auto"/>
            <w:tcBorders>
              <w:bottom w:val="single" w:color="000000" w:sz="12" w:space="0"/>
            </w:tcBorders>
            <w:shd w:val="clear" w:color="auto" w:fill="FFFFFF"/>
          </w:tcPr>
          <w:p w14:paraId="71513D4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平均每户人数</w:t>
            </w:r>
          </w:p>
        </w:tc>
        <w:tc>
          <w:tcPr>
            <w:tcW w:w="0" w:type="auto"/>
            <w:tcBorders>
              <w:bottom w:val="single" w:color="000000" w:sz="12" w:space="0"/>
            </w:tcBorders>
            <w:shd w:val="clear" w:color="auto" w:fill="FFFFFF"/>
          </w:tcPr>
          <w:p w14:paraId="7BE730F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2.69</w:t>
            </w:r>
          </w:p>
        </w:tc>
        <w:tc>
          <w:tcPr>
            <w:tcW w:w="0" w:type="auto"/>
            <w:tcBorders>
              <w:bottom w:val="single" w:color="000000" w:sz="12" w:space="0"/>
            </w:tcBorders>
            <w:shd w:val="clear" w:color="auto" w:fill="FFFFFF"/>
          </w:tcPr>
          <w:p w14:paraId="33DE5D6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2.0–3.5</w:t>
            </w:r>
          </w:p>
        </w:tc>
        <w:tc>
          <w:tcPr>
            <w:tcW w:w="0" w:type="auto"/>
            <w:tcBorders>
              <w:bottom w:val="single" w:color="000000" w:sz="12" w:space="0"/>
            </w:tcBorders>
            <w:shd w:val="clear" w:color="auto" w:fill="FFFFFF"/>
          </w:tcPr>
          <w:p w14:paraId="4BBE9A7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人/户</w:t>
            </w:r>
          </w:p>
        </w:tc>
        <w:tc>
          <w:tcPr>
            <w:tcW w:w="0" w:type="auto"/>
            <w:tcBorders>
              <w:bottom w:val="single" w:color="000000" w:sz="12" w:space="0"/>
            </w:tcBorders>
            <w:shd w:val="clear" w:color="auto" w:fill="FFFFFF"/>
          </w:tcPr>
          <w:p w14:paraId="3F156DF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中国统计年鉴 (2024)</w:t>
            </w:r>
          </w:p>
        </w:tc>
      </w:tr>
      <w:tr w14:paraId="73B06A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4" w:hRule="atLeast"/>
        </w:trPr>
        <w:tc>
          <w:tcPr>
            <w:tcW w:w="0" w:type="auto"/>
            <w:gridSpan w:val="6"/>
            <w:tcBorders>
              <w:top w:val="single" w:color="000000" w:sz="12" w:space="0"/>
              <w:bottom w:val="single" w:color="000000" w:sz="4" w:space="0"/>
              <w:tl2br w:val="nil"/>
            </w:tcBorders>
            <w:shd w:val="clear" w:color="auto" w:fill="FFFFFF"/>
          </w:tcPr>
          <w:p w14:paraId="080DE94A">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碳排放核算</w:t>
            </w:r>
            <w:r>
              <w:rPr>
                <w:rFonts w:hint="eastAsia" w:cs="Times New Roman" w:asciiTheme="minorEastAsia" w:hAnsiTheme="minorEastAsia" w:eastAsiaTheme="minorEastAsia"/>
                <w:color w:val="000000"/>
              </w:rPr>
              <w:t>]</w:t>
            </w:r>
          </w:p>
        </w:tc>
      </w:tr>
      <w:tr w14:paraId="559EA9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tcBorders>
              <w:top w:val="single" w:color="000000" w:sz="4" w:space="0"/>
            </w:tcBorders>
            <w:shd w:val="clear" w:color="auto" w:fill="FFFFFF"/>
          </w:tcPr>
          <w:p w14:paraId="3DB1532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垃圾分类减排因子</w:t>
            </w:r>
          </w:p>
        </w:tc>
        <w:tc>
          <w:tcPr>
            <w:tcW w:w="0" w:type="auto"/>
            <w:tcBorders>
              <w:top w:val="single" w:color="000000" w:sz="4" w:space="0"/>
            </w:tcBorders>
            <w:shd w:val="clear" w:color="auto" w:fill="FFFFFF"/>
          </w:tcPr>
          <w:p w14:paraId="37174CD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每吨垃圾分类回收的碳当量减排量（均值）</w:t>
            </w:r>
          </w:p>
        </w:tc>
        <w:tc>
          <w:tcPr>
            <w:tcW w:w="0" w:type="auto"/>
            <w:tcBorders>
              <w:top w:val="single" w:color="000000" w:sz="4" w:space="0"/>
            </w:tcBorders>
            <w:shd w:val="clear" w:color="auto" w:fill="FFFFFF"/>
          </w:tcPr>
          <w:p w14:paraId="52C9F45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276.20</w:t>
            </w:r>
          </w:p>
        </w:tc>
        <w:tc>
          <w:tcPr>
            <w:tcW w:w="0" w:type="auto"/>
            <w:tcBorders>
              <w:top w:val="single" w:color="000000" w:sz="4" w:space="0"/>
            </w:tcBorders>
            <w:shd w:val="clear" w:color="auto" w:fill="FFFFFF"/>
          </w:tcPr>
          <w:p w14:paraId="417EBA4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138–460</w:t>
            </w:r>
          </w:p>
        </w:tc>
        <w:tc>
          <w:tcPr>
            <w:tcW w:w="0" w:type="auto"/>
            <w:tcBorders>
              <w:top w:val="single" w:color="000000" w:sz="4" w:space="0"/>
            </w:tcBorders>
            <w:shd w:val="clear" w:color="auto" w:fill="FFFFFF"/>
          </w:tcPr>
          <w:p w14:paraId="3C62FB6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kgCO</w:t>
            </w:r>
            <w:r>
              <w:rPr>
                <w:rFonts w:ascii="Cambria Math" w:hAnsi="Cambria Math" w:cs="Cambria Math" w:eastAsiaTheme="minorEastAsia"/>
                <w:color w:val="000000"/>
              </w:rPr>
              <w:t>₂</w:t>
            </w:r>
            <w:r>
              <w:rPr>
                <w:rFonts w:cs="Times New Roman" w:asciiTheme="minorEastAsia" w:hAnsiTheme="minorEastAsia" w:eastAsiaTheme="minorEastAsia"/>
                <w:color w:val="000000"/>
              </w:rPr>
              <w:t>e/吨</w:t>
            </w:r>
          </w:p>
        </w:tc>
        <w:tc>
          <w:tcPr>
            <w:tcW w:w="0" w:type="auto"/>
            <w:tcBorders>
              <w:top w:val="single" w:color="000000" w:sz="4" w:space="0"/>
            </w:tcBorders>
            <w:shd w:val="clear" w:color="auto" w:fill="FFFFFF"/>
          </w:tcPr>
          <w:p w14:paraId="4EE51A7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Fu et al. (2023)；He et al. (2022)；Chen et al. (2022)</w:t>
            </w:r>
          </w:p>
        </w:tc>
      </w:tr>
      <w:tr w14:paraId="0F4C1F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tcBorders>
              <w:bottom w:val="single" w:color="000000" w:sz="12" w:space="0"/>
            </w:tcBorders>
            <w:shd w:val="clear" w:color="auto" w:fill="FFFFFF"/>
          </w:tcPr>
          <w:p w14:paraId="44E69C1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社会碳成本 (SCC)</w:t>
            </w:r>
          </w:p>
        </w:tc>
        <w:tc>
          <w:tcPr>
            <w:tcW w:w="0" w:type="auto"/>
            <w:tcBorders>
              <w:bottom w:val="single" w:color="000000" w:sz="12" w:space="0"/>
            </w:tcBorders>
            <w:shd w:val="clear" w:color="auto" w:fill="FFFFFF"/>
          </w:tcPr>
          <w:p w14:paraId="1964A62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每吨碳当量的社会成本</w:t>
            </w:r>
          </w:p>
        </w:tc>
        <w:tc>
          <w:tcPr>
            <w:tcW w:w="0" w:type="auto"/>
            <w:tcBorders>
              <w:bottom w:val="single" w:color="000000" w:sz="12" w:space="0"/>
            </w:tcBorders>
            <w:shd w:val="clear" w:color="auto" w:fill="FFFFFF"/>
          </w:tcPr>
          <w:p w14:paraId="150EFF5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185</w:t>
            </w:r>
          </w:p>
        </w:tc>
        <w:tc>
          <w:tcPr>
            <w:tcW w:w="0" w:type="auto"/>
            <w:tcBorders>
              <w:bottom w:val="single" w:color="000000" w:sz="12" w:space="0"/>
            </w:tcBorders>
            <w:shd w:val="clear" w:color="auto" w:fill="FFFFFF"/>
          </w:tcPr>
          <w:p w14:paraId="5AFE970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44–413</w:t>
            </w:r>
          </w:p>
        </w:tc>
        <w:tc>
          <w:tcPr>
            <w:tcW w:w="0" w:type="auto"/>
            <w:tcBorders>
              <w:bottom w:val="single" w:color="000000" w:sz="12" w:space="0"/>
            </w:tcBorders>
            <w:shd w:val="clear" w:color="auto" w:fill="FFFFFF"/>
          </w:tcPr>
          <w:p w14:paraId="696B793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美元/tCO</w:t>
            </w:r>
            <w:r>
              <w:rPr>
                <w:rFonts w:ascii="Cambria Math" w:hAnsi="Cambria Math" w:cs="Cambria Math" w:eastAsiaTheme="minorEastAsia"/>
                <w:color w:val="000000"/>
              </w:rPr>
              <w:t>₂</w:t>
            </w:r>
            <w:r>
              <w:rPr>
                <w:rFonts w:cs="Times New Roman" w:asciiTheme="minorEastAsia" w:hAnsiTheme="minorEastAsia" w:eastAsiaTheme="minorEastAsia"/>
                <w:color w:val="000000"/>
              </w:rPr>
              <w:t>e</w:t>
            </w:r>
          </w:p>
        </w:tc>
        <w:tc>
          <w:tcPr>
            <w:tcW w:w="0" w:type="auto"/>
            <w:tcBorders>
              <w:bottom w:val="single" w:color="000000" w:sz="12" w:space="0"/>
            </w:tcBorders>
            <w:shd w:val="clear" w:color="auto" w:fill="FFFFFF"/>
          </w:tcPr>
          <w:p w14:paraId="4A62F2D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Rennert et al. (2022), Nature</w:t>
            </w:r>
          </w:p>
        </w:tc>
      </w:tr>
      <w:tr w14:paraId="183D95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14" w:hRule="atLeast"/>
        </w:trPr>
        <w:tc>
          <w:tcPr>
            <w:tcW w:w="0" w:type="auto"/>
            <w:gridSpan w:val="6"/>
            <w:tcBorders>
              <w:top w:val="single" w:color="000000" w:sz="12" w:space="0"/>
              <w:bottom w:val="single" w:color="000000" w:sz="4" w:space="0"/>
              <w:tl2br w:val="nil"/>
            </w:tcBorders>
            <w:shd w:val="clear" w:color="auto" w:fill="FFFFFF"/>
          </w:tcPr>
          <w:p w14:paraId="7F1D7A1F">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核算结果</w:t>
            </w:r>
            <w:r>
              <w:rPr>
                <w:rFonts w:hint="eastAsia" w:cs="Times New Roman" w:asciiTheme="minorEastAsia" w:hAnsiTheme="minorEastAsia" w:eastAsiaTheme="minorEastAsia"/>
                <w:color w:val="000000"/>
              </w:rPr>
              <w:t>]</w:t>
            </w:r>
          </w:p>
        </w:tc>
      </w:tr>
      <w:tr w14:paraId="2F01F7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tcBorders>
              <w:top w:val="single" w:color="000000" w:sz="4" w:space="0"/>
            </w:tcBorders>
            <w:shd w:val="clear" w:color="auto" w:fill="FFFFFF"/>
          </w:tcPr>
          <w:p w14:paraId="1F16EBFD">
            <w:pPr>
              <w:pStyle w:val="23"/>
              <w:rPr>
                <w:rFonts w:hint="eastAsia" w:cs="Times New Roman" w:asciiTheme="minorEastAsia" w:hAnsiTheme="minorEastAsia" w:eastAsiaTheme="minorEastAsia"/>
                <w:color w:val="000000"/>
              </w:rPr>
            </w:pPr>
            <w:r>
              <w:rPr>
                <w:rFonts w:cs="Cambria Math" w:asciiTheme="minorEastAsia" w:hAnsiTheme="minorEastAsia" w:eastAsiaTheme="minorEastAsia"/>
                <w:color w:val="000000"/>
              </w:rPr>
              <w:t>△</w:t>
            </w:r>
            <w:r>
              <w:rPr>
                <w:rFonts w:cs="Times New Roman" w:asciiTheme="minorEastAsia" w:hAnsiTheme="minorEastAsia" w:eastAsiaTheme="minorEastAsia"/>
                <w:color w:val="000000"/>
              </w:rPr>
              <w:t>分类时间成本</w:t>
            </w:r>
          </w:p>
        </w:tc>
        <w:tc>
          <w:tcPr>
            <w:tcW w:w="0" w:type="auto"/>
            <w:tcBorders>
              <w:top w:val="single" w:color="000000" w:sz="4" w:space="0"/>
            </w:tcBorders>
            <w:shd w:val="clear" w:color="auto" w:fill="FFFFFF"/>
          </w:tcPr>
          <w:p w14:paraId="391CBA7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额外垃圾分类时间的机会成本（净损失）</w:t>
            </w:r>
          </w:p>
        </w:tc>
        <w:tc>
          <w:tcPr>
            <w:tcW w:w="0" w:type="auto"/>
            <w:tcBorders>
              <w:top w:val="single" w:color="000000" w:sz="4" w:space="0"/>
            </w:tcBorders>
            <w:shd w:val="clear" w:color="auto" w:fill="FFFFFF"/>
          </w:tcPr>
          <w:p w14:paraId="00BE0E19">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143.96</w:t>
            </w:r>
          </w:p>
        </w:tc>
        <w:tc>
          <w:tcPr>
            <w:tcW w:w="0" w:type="auto"/>
            <w:tcBorders>
              <w:top w:val="single" w:color="000000" w:sz="4" w:space="0"/>
            </w:tcBorders>
            <w:shd w:val="clear" w:color="auto" w:fill="FFFFFF"/>
          </w:tcPr>
          <w:p w14:paraId="571EFB6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tcBorders>
              <w:top w:val="single" w:color="000000" w:sz="4" w:space="0"/>
            </w:tcBorders>
            <w:shd w:val="clear" w:color="auto" w:fill="FFFFFF"/>
          </w:tcPr>
          <w:p w14:paraId="2184929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tcBorders>
              <w:top w:val="single" w:color="000000" w:sz="4" w:space="0"/>
            </w:tcBorders>
            <w:shd w:val="clear" w:color="auto" w:fill="FFFFFF"/>
          </w:tcPr>
          <w:p w14:paraId="6D571D9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1C794B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shd w:val="clear" w:color="auto" w:fill="FFFFFF"/>
          </w:tcPr>
          <w:p w14:paraId="556C45C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个人福利净变化</w:t>
            </w:r>
          </w:p>
        </w:tc>
        <w:tc>
          <w:tcPr>
            <w:tcW w:w="0" w:type="auto"/>
            <w:shd w:val="clear" w:color="auto" w:fill="FFFFFF"/>
          </w:tcPr>
          <w:p w14:paraId="7C8D1BF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个人层面综合福利变化（纯时间成本）</w:t>
            </w:r>
          </w:p>
        </w:tc>
        <w:tc>
          <w:tcPr>
            <w:tcW w:w="0" w:type="auto"/>
            <w:shd w:val="clear" w:color="auto" w:fill="FFFFFF"/>
          </w:tcPr>
          <w:p w14:paraId="33D8CB86">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143.96</w:t>
            </w:r>
          </w:p>
        </w:tc>
        <w:tc>
          <w:tcPr>
            <w:tcW w:w="0" w:type="auto"/>
            <w:shd w:val="clear" w:color="auto" w:fill="FFFFFF"/>
          </w:tcPr>
          <w:p w14:paraId="14A6EC8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5F4933A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shd w:val="clear" w:color="auto" w:fill="FFFFFF"/>
          </w:tcPr>
          <w:p w14:paraId="571435C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5EE8E7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shd w:val="clear" w:color="auto" w:fill="FFFFFF"/>
          </w:tcPr>
          <w:p w14:paraId="7EFD5B6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年减排量</w:t>
            </w:r>
          </w:p>
        </w:tc>
        <w:tc>
          <w:tcPr>
            <w:tcW w:w="0" w:type="auto"/>
            <w:shd w:val="clear" w:color="auto" w:fill="FFFFFF"/>
          </w:tcPr>
          <w:p w14:paraId="573EDB0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每人每年节约的碳排放量</w:t>
            </w:r>
          </w:p>
        </w:tc>
        <w:tc>
          <w:tcPr>
            <w:tcW w:w="0" w:type="auto"/>
            <w:shd w:val="clear" w:color="auto" w:fill="FFFFFF"/>
          </w:tcPr>
          <w:p w14:paraId="098F7A8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74.60</w:t>
            </w:r>
          </w:p>
        </w:tc>
        <w:tc>
          <w:tcPr>
            <w:tcW w:w="0" w:type="auto"/>
            <w:shd w:val="clear" w:color="auto" w:fill="FFFFFF"/>
          </w:tcPr>
          <w:p w14:paraId="378B7E9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0D06A38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kgCO</w:t>
            </w:r>
            <w:r>
              <w:rPr>
                <w:rFonts w:ascii="Cambria Math" w:hAnsi="Cambria Math" w:cs="Cambria Math" w:eastAsiaTheme="minorEastAsia"/>
                <w:color w:val="000000"/>
              </w:rPr>
              <w:t>₂</w:t>
            </w:r>
            <w:r>
              <w:rPr>
                <w:rFonts w:cs="Times New Roman" w:asciiTheme="minorEastAsia" w:hAnsiTheme="minorEastAsia" w:eastAsiaTheme="minorEastAsia"/>
                <w:color w:val="000000"/>
              </w:rPr>
              <w:t>e/人·年</w:t>
            </w:r>
          </w:p>
        </w:tc>
        <w:tc>
          <w:tcPr>
            <w:tcW w:w="0" w:type="auto"/>
            <w:shd w:val="clear" w:color="auto" w:fill="FFFFFF"/>
          </w:tcPr>
          <w:p w14:paraId="43D9BAE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442ABA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6" w:hRule="atLeast"/>
        </w:trPr>
        <w:tc>
          <w:tcPr>
            <w:tcW w:w="0" w:type="auto"/>
            <w:shd w:val="clear" w:color="auto" w:fill="FFFFFF"/>
          </w:tcPr>
          <w:p w14:paraId="2395227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社会福利净变化</w:t>
            </w:r>
          </w:p>
        </w:tc>
        <w:tc>
          <w:tcPr>
            <w:tcW w:w="0" w:type="auto"/>
            <w:shd w:val="clear" w:color="auto" w:fill="FFFFFF"/>
          </w:tcPr>
          <w:p w14:paraId="2D15136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含碳减排收益的社会层面福利变化</w:t>
            </w:r>
          </w:p>
        </w:tc>
        <w:tc>
          <w:tcPr>
            <w:tcW w:w="0" w:type="auto"/>
            <w:shd w:val="clear" w:color="auto" w:fill="FFFFFF"/>
          </w:tcPr>
          <w:p w14:paraId="42A0FBB0">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47.35</w:t>
            </w:r>
          </w:p>
        </w:tc>
        <w:tc>
          <w:tcPr>
            <w:tcW w:w="0" w:type="auto"/>
            <w:shd w:val="clear" w:color="auto" w:fill="FFFFFF"/>
          </w:tcPr>
          <w:p w14:paraId="6874E2B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447255C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shd w:val="clear" w:color="auto" w:fill="FFFFFF"/>
          </w:tcPr>
          <w:p w14:paraId="107ABD8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7062CE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5" w:hRule="atLeast"/>
        </w:trPr>
        <w:tc>
          <w:tcPr>
            <w:tcW w:w="0" w:type="auto"/>
            <w:tcBorders>
              <w:bottom w:val="single" w:color="000000" w:sz="12" w:space="0"/>
            </w:tcBorders>
            <w:shd w:val="clear" w:color="auto" w:fill="FFFFFF"/>
          </w:tcPr>
          <w:p w14:paraId="3A5D3AF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减排成本</w:t>
            </w:r>
          </w:p>
        </w:tc>
        <w:tc>
          <w:tcPr>
            <w:tcW w:w="0" w:type="auto"/>
            <w:tcBorders>
              <w:bottom w:val="single" w:color="000000" w:sz="12" w:space="0"/>
            </w:tcBorders>
            <w:shd w:val="clear" w:color="auto" w:fill="FFFFFF"/>
          </w:tcPr>
          <w:p w14:paraId="638EEB5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单位减排量的私人成本</w:t>
            </w:r>
          </w:p>
        </w:tc>
        <w:tc>
          <w:tcPr>
            <w:tcW w:w="0" w:type="auto"/>
            <w:tcBorders>
              <w:bottom w:val="single" w:color="000000" w:sz="12" w:space="0"/>
            </w:tcBorders>
            <w:shd w:val="clear" w:color="auto" w:fill="FFFFFF"/>
          </w:tcPr>
          <w:p w14:paraId="7299806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1,930</w:t>
            </w:r>
          </w:p>
        </w:tc>
        <w:tc>
          <w:tcPr>
            <w:tcW w:w="0" w:type="auto"/>
            <w:tcBorders>
              <w:bottom w:val="single" w:color="000000" w:sz="12" w:space="0"/>
            </w:tcBorders>
            <w:shd w:val="clear" w:color="auto" w:fill="FFFFFF"/>
          </w:tcPr>
          <w:p w14:paraId="484B293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tcBorders>
              <w:bottom w:val="single" w:color="000000" w:sz="12" w:space="0"/>
            </w:tcBorders>
            <w:shd w:val="clear" w:color="auto" w:fill="FFFFFF"/>
          </w:tcPr>
          <w:p w14:paraId="2BEA6F0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元/tCO</w:t>
            </w:r>
            <w:r>
              <w:rPr>
                <w:rFonts w:ascii="Cambria Math" w:hAnsi="Cambria Math" w:cs="Cambria Math" w:eastAsiaTheme="minorEastAsia"/>
                <w:color w:val="000000"/>
              </w:rPr>
              <w:t>₂</w:t>
            </w:r>
            <w:r>
              <w:rPr>
                <w:rFonts w:cs="Times New Roman" w:asciiTheme="minorEastAsia" w:hAnsiTheme="minorEastAsia" w:eastAsiaTheme="minorEastAsia"/>
                <w:color w:val="000000"/>
              </w:rPr>
              <w:t>e</w:t>
            </w:r>
          </w:p>
        </w:tc>
        <w:tc>
          <w:tcPr>
            <w:tcW w:w="0" w:type="auto"/>
            <w:tcBorders>
              <w:bottom w:val="single" w:color="000000" w:sz="12" w:space="0"/>
            </w:tcBorders>
            <w:shd w:val="clear" w:color="auto" w:fill="FFFFFF"/>
          </w:tcPr>
          <w:p w14:paraId="1D979EA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bl>
    <w:p w14:paraId="38DB4B69">
      <w:pPr>
        <w:ind w:firstLine="0" w:firstLineChars="0"/>
        <w:rPr>
          <w:rFonts w:cs="Times New Roman"/>
        </w:rPr>
      </w:pPr>
    </w:p>
    <w:p w14:paraId="52EDEB68">
      <w:pPr>
        <w:ind w:firstLine="480"/>
      </w:pPr>
      <w:r>
        <w:br w:type="page"/>
      </w:r>
    </w:p>
    <w:p w14:paraId="1C088AC7">
      <w:pPr>
        <w:pStyle w:val="4"/>
        <w:bidi w:val="0"/>
        <w:rPr>
          <w:rFonts w:hint="default"/>
        </w:rPr>
      </w:pPr>
      <w:bookmarkStart w:id="52" w:name="_Toc28164"/>
      <w:r>
        <w:t>D.</w:t>
      </w:r>
      <w:r>
        <w:rPr>
          <w:rFonts w:hint="default"/>
        </w:rPr>
        <w:t>4 短途航班改乘高速铁路</w:t>
      </w:r>
      <w:bookmarkEnd w:id="52"/>
    </w:p>
    <w:p w14:paraId="5CA031C4">
      <w:pPr>
        <w:pStyle w:val="5"/>
        <w:ind w:firstLine="562"/>
        <w:rPr>
          <w:rFonts w:cs="Times New Roman"/>
        </w:rPr>
      </w:pPr>
      <w:r>
        <w:rPr>
          <w:rFonts w:hint="eastAsia" w:cs="Times New Roman"/>
        </w:rPr>
        <w:t>D.</w:t>
      </w:r>
      <w:r>
        <w:rPr>
          <w:rFonts w:cs="Times New Roman"/>
        </w:rPr>
        <w:t>4.1 定义</w:t>
      </w:r>
    </w:p>
    <w:p w14:paraId="087AE572">
      <w:pPr>
        <w:spacing w:before="60" w:after="60"/>
        <w:ind w:firstLine="480"/>
        <w:rPr>
          <w:rFonts w:cs="Times New Roman"/>
        </w:rPr>
      </w:pPr>
      <w:r>
        <w:rPr>
          <w:rFonts w:cs="Times New Roman"/>
        </w:rPr>
        <w:t>本分析将距离在1,500公里以下或飞行时长在3小时以内的航班界定为短途航班。行为情景假设居民的短途航空出行需求全部由高铁替代，以相同出发地与目的地为标准，若存在多条高铁线路则取均值。由于飞机与高铁同属公共交通方式，假设两者之间不存在显著的心理障碍成本。</w:t>
      </w:r>
    </w:p>
    <w:p w14:paraId="64021C92">
      <w:pPr>
        <w:pStyle w:val="5"/>
        <w:ind w:firstLine="562"/>
        <w:rPr>
          <w:rFonts w:cs="Times New Roman"/>
        </w:rPr>
      </w:pPr>
      <w:r>
        <w:rPr>
          <w:rFonts w:hint="eastAsia" w:cs="Times New Roman"/>
        </w:rPr>
        <w:t>D.</w:t>
      </w:r>
      <w:r>
        <w:rPr>
          <w:rFonts w:cs="Times New Roman"/>
        </w:rPr>
        <w:t>4.2 测量</w:t>
      </w:r>
    </w:p>
    <w:p w14:paraId="79A392CB">
      <w:pPr>
        <w:ind w:firstLine="480"/>
        <w:rPr>
          <w:rFonts w:cs="Times New Roman"/>
        </w:rPr>
      </w:pPr>
      <w:r>
        <w:rPr>
          <w:rFonts w:cs="Times New Roman"/>
        </w:rPr>
        <w:t>本行为净福利变化等于高铁出行年均成本与航空出行年均成本之差：</w:t>
      </w:r>
    </w:p>
    <w:p w14:paraId="414B2EF4">
      <w:pPr>
        <w:ind w:firstLine="480"/>
        <w:rPr>
          <w:rFonts w:cs="Times New Roman"/>
        </w:rPr>
      </w:pPr>
      <w:r>
        <w:rPr>
          <w:rFonts w:cs="Times New Roman"/>
        </w:rPr>
        <w:t>ΔWelfare = Trips × [(TravelTime_HSR − TravelTime_Air) × OTC/60 + (TicketCost_HSR − TicketCost_Air) + (DelayCost_HSR − DelayCost_Air)]</w:t>
      </w:r>
    </w:p>
    <w:p w14:paraId="66AEF60E">
      <w:pPr>
        <w:ind w:firstLine="480"/>
        <w:rPr>
          <w:rFonts w:cs="Times New Roman"/>
        </w:rPr>
      </w:pPr>
      <w:r>
        <w:rPr>
          <w:rFonts w:cs="Times New Roman"/>
        </w:rPr>
        <w:t>其中，Trips 为个人年均短途航班次数；TravelTime 为单次行程时间（分钟）；OTC 为时间机会成本（元/小时）；TicketCost 为单次出行票务费用；DelayCost 为延误与取消产生的时间成本。</w:t>
      </w:r>
    </w:p>
    <w:p w14:paraId="7F3212EB">
      <w:pPr>
        <w:pStyle w:val="5"/>
        <w:ind w:firstLine="562"/>
        <w:rPr>
          <w:rFonts w:cs="Times New Roman"/>
        </w:rPr>
      </w:pPr>
      <w:r>
        <w:rPr>
          <w:rFonts w:hint="eastAsia" w:cs="Times New Roman"/>
        </w:rPr>
        <w:t>D.</w:t>
      </w:r>
      <w:r>
        <w:rPr>
          <w:rFonts w:cs="Times New Roman"/>
        </w:rPr>
        <w:t>4.3 数据来源</w:t>
      </w:r>
    </w:p>
    <w:p w14:paraId="12DA1FE8">
      <w:pPr>
        <w:ind w:firstLine="480"/>
        <w:rPr>
          <w:rFonts w:cs="Times New Roman"/>
        </w:rPr>
      </w:pPr>
      <w:r>
        <w:rPr>
          <w:rFonts w:cs="Times New Roman"/>
        </w:rPr>
        <w:t>（1）年均短途航班次数：综合中国民用航空局2020–2024年统计公报及民航旅客量数据，估算个人年均民航出行约为2.60次短途航班（利用总旅客周转量/旅客人数×67.96%短途比例，分5年平均）。</w:t>
      </w:r>
    </w:p>
    <w:p w14:paraId="27224A06">
      <w:pPr>
        <w:ind w:firstLine="480"/>
        <w:rPr>
          <w:rFonts w:cs="Times New Roman"/>
        </w:rPr>
      </w:pPr>
      <w:r>
        <w:rPr>
          <w:rFonts w:cs="Times New Roman"/>
        </w:rPr>
        <w:t>（2）行程距离与时间：数据来源于中国研究数据服务（CNRDS）中国高铁与航空数据库，涵盖11,341对城市路线。短途航班平均距离984.4 km（S.D.=303.39），飞行时间129.04分钟（S.D.=37.61），对应高铁行程454.25分钟（S.D.=145.73）。</w:t>
      </w:r>
    </w:p>
    <w:p w14:paraId="4F44F524">
      <w:pPr>
        <w:ind w:firstLine="480"/>
        <w:rPr>
          <w:rFonts w:cs="Times New Roman"/>
        </w:rPr>
      </w:pPr>
      <w:r>
        <w:rPr>
          <w:rFonts w:cs="Times New Roman"/>
        </w:rPr>
        <w:t>（3）票价：航空票价参照CNRDS数据库，取基准票价及机场建设费和燃油附加费，均值658.47元/次（S.D.=200.7）。高铁票价来自中国铁路12306官方票价数据，均值585.18元/次（S.D.=183.94）。</w:t>
      </w:r>
    </w:p>
    <w:p w14:paraId="56D0D56F">
      <w:pPr>
        <w:ind w:firstLine="480"/>
        <w:rPr>
          <w:rFonts w:cs="Times New Roman"/>
        </w:rPr>
      </w:pPr>
      <w:r>
        <w:rPr>
          <w:rFonts w:cs="Times New Roman"/>
        </w:rPr>
        <w:t>（4）延误与取消成本：综合中国民航局2020–2024年数据，航班延误概率均值7.73%，取消概率均值3.13%；高铁延误概率均值1.00%，取消概率均值0.44%。延误成本按单次延误时间×时间价值计算，取消成本按24小时×时间价值计算。</w:t>
      </w:r>
    </w:p>
    <w:p w14:paraId="4371572C">
      <w:pPr>
        <w:ind w:firstLine="480"/>
        <w:rPr>
          <w:rFonts w:cs="Times New Roman"/>
        </w:rPr>
      </w:pPr>
      <w:r>
        <w:rPr>
          <w:rFonts w:cs="Times New Roman"/>
        </w:rPr>
        <w:t>（5）时间价值：使用上界时间价值（全额工资率）49.11元/小时，以反映商务出行的机会成本。</w:t>
      </w:r>
    </w:p>
    <w:p w14:paraId="0B7E4CA6">
      <w:pPr>
        <w:pStyle w:val="5"/>
        <w:ind w:firstLine="562"/>
        <w:rPr>
          <w:rFonts w:cs="Times New Roman"/>
        </w:rPr>
      </w:pPr>
      <w:r>
        <w:rPr>
          <w:rFonts w:hint="eastAsia" w:cs="Times New Roman"/>
        </w:rPr>
        <w:t>D.</w:t>
      </w:r>
      <w:r>
        <w:rPr>
          <w:rFonts w:cs="Times New Roman"/>
        </w:rPr>
        <w:t>4.4 参数设置</w:t>
      </w:r>
    </w:p>
    <w:p w14:paraId="1BC68AB7">
      <w:pPr>
        <w:ind w:firstLine="0" w:firstLineChars="0"/>
        <w:jc w:val="center"/>
      </w:pPr>
      <w:r>
        <w:rPr>
          <w:rFonts w:hint="eastAsia" w:cs="Times New Roman"/>
        </w:rPr>
        <w:t>附表</w:t>
      </w:r>
      <w:r>
        <w:rPr>
          <w:rFonts w:hint="eastAsia"/>
        </w:rPr>
        <w:t>D-</w:t>
      </w:r>
      <w:r>
        <w:t>7</w:t>
      </w:r>
    </w:p>
    <w:p w14:paraId="02479AC4">
      <w:pPr>
        <w:ind w:firstLine="0" w:firstLineChars="0"/>
        <w:jc w:val="center"/>
      </w:pPr>
      <w:r>
        <w:rPr>
          <w:rFonts w:hint="eastAsia" w:cs="Times New Roman"/>
          <w:b/>
          <w:bCs/>
        </w:rPr>
        <w:t>Table D-7</w:t>
      </w:r>
    </w:p>
    <w:tbl>
      <w:tblPr>
        <w:tblStyle w:val="13"/>
        <w:tblpPr w:leftFromText="180" w:rightFromText="180" w:vertAnchor="text" w:horzAnchor="page" w:tblpX="1787" w:tblpY="312"/>
        <w:tblOverlap w:val="never"/>
        <w:tblW w:w="8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4"/>
        <w:gridCol w:w="1360"/>
        <w:gridCol w:w="1198"/>
        <w:gridCol w:w="1099"/>
        <w:gridCol w:w="1099"/>
        <w:gridCol w:w="1100"/>
      </w:tblGrid>
      <w:tr w14:paraId="175F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3735D9A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参数</w:t>
            </w:r>
          </w:p>
        </w:tc>
        <w:tc>
          <w:tcPr>
            <w:tcW w:w="135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6811B0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单位</w:t>
            </w:r>
          </w:p>
        </w:tc>
        <w:tc>
          <w:tcPr>
            <w:tcW w:w="12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2C16D4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分布</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25EB526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第10百分位</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032D50D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均值</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50ADB88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第90百分位</w:t>
            </w:r>
          </w:p>
        </w:tc>
      </w:tr>
      <w:tr w14:paraId="6DDC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8EB970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年均短途航班次数</w:t>
            </w:r>
          </w:p>
        </w:tc>
        <w:tc>
          <w:tcPr>
            <w:tcW w:w="135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E7A1EA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次/年</w:t>
            </w:r>
          </w:p>
        </w:tc>
        <w:tc>
          <w:tcPr>
            <w:tcW w:w="12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D0032C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对数正态</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126687E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0.98</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B78D2C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2.60</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643143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165.11</w:t>
            </w:r>
          </w:p>
        </w:tc>
      </w:tr>
      <w:tr w14:paraId="005F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41893BE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 xml:space="preserve">航班行程时间 </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4834F36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分钟/次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73F1E5F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0664E22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80.84</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AA464D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129.04</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170D6E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177.24</w:t>
            </w:r>
          </w:p>
        </w:tc>
      </w:tr>
      <w:tr w14:paraId="470D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7489DF5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 xml:space="preserve">高铁行程时间 </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5095597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分钟/次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57F8DE8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60F4D0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267.49</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64A0B2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454.25</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BFA13D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641.01</w:t>
            </w:r>
          </w:p>
        </w:tc>
      </w:tr>
      <w:tr w14:paraId="7E12C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06010C2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时间价值 (OTC)</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752F158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元/小时</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077A1E0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均匀</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A8C23E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18.77</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85D0CE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49.11</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1852CF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53.44</w:t>
            </w:r>
          </w:p>
        </w:tc>
      </w:tr>
      <w:tr w14:paraId="20BC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4AAA084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航班票价</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384FF56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12B478F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1A6D05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401.26</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6672D5F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658.47</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6EC8581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915.68</w:t>
            </w:r>
          </w:p>
        </w:tc>
      </w:tr>
      <w:tr w14:paraId="10372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0873396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高铁票价</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3296A3D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5FED31C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665C96E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349.45</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222CC55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585.18</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8C0286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820.91</w:t>
            </w:r>
          </w:p>
        </w:tc>
      </w:tr>
      <w:tr w14:paraId="109E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7BFA1D8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 xml:space="preserve">航班延误/取消成本 </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26314A5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41D494D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26363FC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03CCCCF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37.84</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85EFAC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r w14:paraId="0C7AD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2C35364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 xml:space="preserve">高铁延误/取消成本 </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66B0089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2C2D0FA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27867D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B37C3B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5.31</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0C122C5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r w14:paraId="6822D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3173D80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行程距离</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6B38AE4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km/次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7B363F9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BE1F66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9A16A9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984.4</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E8B8EF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r w14:paraId="0C58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513C141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CO</w:t>
            </w:r>
            <w:r>
              <w:rPr>
                <w:rFonts w:hint="eastAsia" w:ascii="Cambria Math" w:hAnsi="Cambria Math" w:eastAsia="宋体" w:cs="Cambria Math"/>
                <w:color w:val="000000"/>
              </w:rPr>
              <w:t>₂</w:t>
            </w:r>
            <w:r>
              <w:rPr>
                <w:rFonts w:hint="eastAsia" w:ascii="宋体" w:hAnsi="宋体" w:eastAsia="宋体" w:cs="Times New Roman"/>
                <w:color w:val="000000"/>
              </w:rPr>
              <w:t>e因子—航班</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0F37015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kgCO</w:t>
            </w:r>
            <w:r>
              <w:rPr>
                <w:rFonts w:hint="eastAsia" w:ascii="Cambria Math" w:hAnsi="Cambria Math" w:eastAsia="宋体" w:cs="Cambria Math"/>
                <w:color w:val="000000"/>
              </w:rPr>
              <w:t>₂</w:t>
            </w:r>
            <w:r>
              <w:rPr>
                <w:rFonts w:hint="eastAsia" w:ascii="宋体" w:hAnsi="宋体" w:eastAsia="宋体" w:cs="Times New Roman"/>
                <w:color w:val="000000"/>
              </w:rPr>
              <w:t>e/km</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57C9073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46F3D85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67CB37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0.255</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C46B1E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r w14:paraId="3B2B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DB04AC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CO</w:t>
            </w:r>
            <w:r>
              <w:rPr>
                <w:rFonts w:hint="eastAsia" w:ascii="Cambria Math" w:hAnsi="Cambria Math" w:eastAsia="宋体" w:cs="Cambria Math"/>
                <w:color w:val="000000"/>
              </w:rPr>
              <w:t>₂</w:t>
            </w:r>
            <w:r>
              <w:rPr>
                <w:rFonts w:hint="eastAsia" w:ascii="宋体" w:hAnsi="宋体" w:eastAsia="宋体" w:cs="Times New Roman"/>
                <w:color w:val="000000"/>
              </w:rPr>
              <w:t>e因子—高铁</w:t>
            </w:r>
          </w:p>
        </w:tc>
        <w:tc>
          <w:tcPr>
            <w:tcW w:w="135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D5C180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kgCO</w:t>
            </w:r>
            <w:r>
              <w:rPr>
                <w:rFonts w:hint="eastAsia" w:ascii="Cambria Math" w:hAnsi="Cambria Math" w:eastAsia="宋体" w:cs="Cambria Math"/>
                <w:color w:val="000000"/>
              </w:rPr>
              <w:t>₂</w:t>
            </w:r>
            <w:r>
              <w:rPr>
                <w:rFonts w:hint="eastAsia" w:ascii="宋体" w:hAnsi="宋体" w:eastAsia="宋体" w:cs="Times New Roman"/>
                <w:color w:val="000000"/>
              </w:rPr>
              <w:t>e/km</w:t>
            </w:r>
          </w:p>
        </w:tc>
        <w:tc>
          <w:tcPr>
            <w:tcW w:w="12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DA554A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3DB00B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FE1091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0.021</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D69313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bl>
    <w:p w14:paraId="3A15B5F1">
      <w:pPr>
        <w:ind w:firstLine="0" w:firstLineChars="0"/>
        <w:jc w:val="center"/>
        <w:rPr>
          <w:rFonts w:cs="Times New Roman"/>
        </w:rPr>
      </w:pPr>
    </w:p>
    <w:p w14:paraId="5BC66D73">
      <w:pPr>
        <w:ind w:firstLine="0" w:firstLineChars="0"/>
        <w:jc w:val="center"/>
      </w:pPr>
      <w:r>
        <w:rPr>
          <w:rFonts w:hint="eastAsia" w:cs="Times New Roman"/>
        </w:rPr>
        <w:t>附表</w:t>
      </w:r>
      <w:r>
        <w:rPr>
          <w:rFonts w:hint="eastAsia"/>
        </w:rPr>
        <w:t>D-8</w:t>
      </w:r>
    </w:p>
    <w:p w14:paraId="00E3279A">
      <w:pPr>
        <w:ind w:firstLine="0" w:firstLineChars="0"/>
        <w:jc w:val="center"/>
        <w:rPr>
          <w:rFonts w:cs="Times New Roman"/>
        </w:rPr>
      </w:pPr>
      <w:r>
        <w:rPr>
          <w:rFonts w:hint="eastAsia" w:cs="Times New Roman"/>
          <w:b/>
          <w:bCs/>
        </w:rPr>
        <w:t>Table D-8</w:t>
      </w:r>
    </w:p>
    <w:tbl>
      <w:tblPr>
        <w:tblStyle w:val="29"/>
        <w:tblW w:w="8857"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00" w:type="dxa"/>
          <w:left w:w="100" w:type="dxa"/>
          <w:bottom w:w="100" w:type="dxa"/>
          <w:right w:w="100" w:type="dxa"/>
        </w:tblCellMar>
      </w:tblPr>
      <w:tblGrid>
        <w:gridCol w:w="993"/>
        <w:gridCol w:w="1793"/>
        <w:gridCol w:w="1100"/>
        <w:gridCol w:w="1640"/>
        <w:gridCol w:w="1086"/>
        <w:gridCol w:w="2245"/>
      </w:tblGrid>
      <w:tr w14:paraId="2EC016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39" w:hRule="atLeast"/>
        </w:trPr>
        <w:tc>
          <w:tcPr>
            <w:tcW w:w="1248" w:type="dxa"/>
            <w:tcBorders>
              <w:top w:val="single" w:color="000000" w:sz="12" w:space="0"/>
              <w:bottom w:val="single" w:color="000000" w:sz="4" w:space="0"/>
              <w:tl2br w:val="nil"/>
            </w:tcBorders>
            <w:shd w:val="clear" w:color="auto" w:fill="FFFFFF"/>
          </w:tcPr>
          <w:p w14:paraId="0F4A3DEF">
            <w:pPr>
              <w:pStyle w:val="23"/>
              <w:rPr>
                <w:rFonts w:hint="eastAsia" w:ascii="宋体" w:hAnsi="宋体" w:eastAsia="宋体" w:cs="Times New Roman"/>
                <w:bCs/>
                <w:color w:val="000000"/>
              </w:rPr>
            </w:pPr>
            <w:r>
              <w:rPr>
                <w:rFonts w:ascii="宋体" w:hAnsi="宋体" w:eastAsia="宋体" w:cs="Times New Roman"/>
                <w:bCs/>
                <w:color w:val="000000"/>
              </w:rPr>
              <w:t>参数名称</w:t>
            </w:r>
          </w:p>
        </w:tc>
        <w:tc>
          <w:tcPr>
            <w:tcW w:w="1891" w:type="dxa"/>
            <w:tcBorders>
              <w:top w:val="single" w:color="000000" w:sz="12" w:space="0"/>
              <w:bottom w:val="single" w:color="000000" w:sz="4" w:space="0"/>
            </w:tcBorders>
            <w:shd w:val="clear" w:color="auto" w:fill="FFFFFF"/>
          </w:tcPr>
          <w:p w14:paraId="1B7BA613">
            <w:pPr>
              <w:pStyle w:val="23"/>
              <w:rPr>
                <w:rFonts w:hint="eastAsia" w:ascii="宋体" w:hAnsi="宋体" w:eastAsia="宋体" w:cs="Times New Roman"/>
                <w:bCs/>
                <w:color w:val="000000"/>
              </w:rPr>
            </w:pPr>
            <w:r>
              <w:rPr>
                <w:rFonts w:ascii="宋体" w:hAnsi="宋体" w:eastAsia="宋体" w:cs="Times New Roman"/>
                <w:bCs/>
                <w:color w:val="000000"/>
              </w:rPr>
              <w:t>参数含义</w:t>
            </w:r>
          </w:p>
        </w:tc>
        <w:tc>
          <w:tcPr>
            <w:tcW w:w="1032" w:type="dxa"/>
            <w:tcBorders>
              <w:top w:val="single" w:color="000000" w:sz="12" w:space="0"/>
              <w:bottom w:val="single" w:color="000000" w:sz="4" w:space="0"/>
            </w:tcBorders>
            <w:shd w:val="clear" w:color="auto" w:fill="FFFFFF"/>
          </w:tcPr>
          <w:p w14:paraId="069586DD">
            <w:pPr>
              <w:pStyle w:val="23"/>
              <w:rPr>
                <w:rFonts w:hint="eastAsia" w:ascii="宋体" w:hAnsi="宋体" w:eastAsia="宋体" w:cs="Times New Roman"/>
                <w:bCs/>
                <w:color w:val="000000"/>
              </w:rPr>
            </w:pPr>
            <w:r>
              <w:rPr>
                <w:rFonts w:ascii="宋体" w:hAnsi="宋体" w:eastAsia="宋体" w:cs="Times New Roman"/>
                <w:bCs/>
                <w:color w:val="000000"/>
              </w:rPr>
              <w:t>基准值</w:t>
            </w:r>
          </w:p>
        </w:tc>
        <w:tc>
          <w:tcPr>
            <w:tcW w:w="1260" w:type="dxa"/>
            <w:tcBorders>
              <w:top w:val="single" w:color="000000" w:sz="12" w:space="0"/>
              <w:bottom w:val="single" w:color="000000" w:sz="4" w:space="0"/>
            </w:tcBorders>
            <w:shd w:val="clear" w:color="auto" w:fill="FFFFFF"/>
          </w:tcPr>
          <w:p w14:paraId="64F33D85">
            <w:pPr>
              <w:pStyle w:val="23"/>
              <w:rPr>
                <w:rFonts w:hint="eastAsia" w:ascii="宋体" w:hAnsi="宋体" w:eastAsia="宋体" w:cs="Times New Roman"/>
                <w:bCs/>
                <w:color w:val="000000"/>
              </w:rPr>
            </w:pPr>
            <w:r>
              <w:rPr>
                <w:rFonts w:ascii="宋体" w:hAnsi="宋体" w:eastAsia="宋体" w:cs="Times New Roman"/>
                <w:bCs/>
                <w:color w:val="000000"/>
              </w:rPr>
              <w:t>范围/分布</w:t>
            </w:r>
          </w:p>
        </w:tc>
        <w:tc>
          <w:tcPr>
            <w:tcW w:w="1152" w:type="dxa"/>
            <w:tcBorders>
              <w:top w:val="single" w:color="000000" w:sz="12" w:space="0"/>
              <w:bottom w:val="single" w:color="000000" w:sz="4" w:space="0"/>
            </w:tcBorders>
            <w:shd w:val="clear" w:color="auto" w:fill="FFFFFF"/>
          </w:tcPr>
          <w:p w14:paraId="3CC048B2">
            <w:pPr>
              <w:pStyle w:val="23"/>
              <w:rPr>
                <w:rFonts w:hint="eastAsia" w:ascii="宋体" w:hAnsi="宋体" w:eastAsia="宋体" w:cs="Times New Roman"/>
                <w:bCs/>
                <w:color w:val="000000"/>
              </w:rPr>
            </w:pPr>
            <w:r>
              <w:rPr>
                <w:rFonts w:ascii="宋体" w:hAnsi="宋体" w:eastAsia="宋体" w:cs="Times New Roman"/>
                <w:bCs/>
                <w:color w:val="000000"/>
              </w:rPr>
              <w:t>单位</w:t>
            </w:r>
          </w:p>
        </w:tc>
        <w:tc>
          <w:tcPr>
            <w:tcW w:w="2274" w:type="dxa"/>
            <w:tcBorders>
              <w:top w:val="single" w:color="000000" w:sz="12" w:space="0"/>
              <w:bottom w:val="single" w:color="000000" w:sz="4" w:space="0"/>
            </w:tcBorders>
            <w:shd w:val="clear" w:color="auto" w:fill="FFFFFF"/>
          </w:tcPr>
          <w:p w14:paraId="114E6869">
            <w:pPr>
              <w:pStyle w:val="23"/>
              <w:rPr>
                <w:rFonts w:hint="eastAsia" w:ascii="宋体" w:hAnsi="宋体" w:eastAsia="宋体" w:cs="Times New Roman"/>
                <w:bCs/>
                <w:color w:val="000000"/>
              </w:rPr>
            </w:pPr>
            <w:r>
              <w:rPr>
                <w:rFonts w:ascii="宋体" w:hAnsi="宋体" w:eastAsia="宋体" w:cs="Times New Roman"/>
                <w:bCs/>
                <w:color w:val="000000"/>
              </w:rPr>
              <w:t>数据来源</w:t>
            </w:r>
          </w:p>
        </w:tc>
      </w:tr>
      <w:tr w14:paraId="5D1A24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39" w:hRule="atLeast"/>
        </w:trPr>
        <w:tc>
          <w:tcPr>
            <w:tcW w:w="0" w:type="auto"/>
            <w:gridSpan w:val="6"/>
            <w:tcBorders>
              <w:top w:val="single" w:color="000000" w:sz="12" w:space="0"/>
              <w:bottom w:val="single" w:color="000000" w:sz="4" w:space="0"/>
              <w:tl2br w:val="nil"/>
            </w:tcBorders>
            <w:shd w:val="clear" w:color="auto" w:fill="FFFFFF"/>
          </w:tcPr>
          <w:p w14:paraId="7B76EBD3">
            <w:pPr>
              <w:pStyle w:val="23"/>
              <w:rPr>
                <w:rFonts w:hint="eastAsia" w:ascii="宋体" w:hAnsi="宋体" w:eastAsia="宋体" w:cs="Times New Roman"/>
                <w:color w:val="000000"/>
              </w:rPr>
            </w:pPr>
            <w:r>
              <w:rPr>
                <w:rFonts w:hint="eastAsia" w:ascii="宋体" w:hAnsi="宋体" w:eastAsia="宋体" w:cs="Times New Roman"/>
                <w:color w:val="000000"/>
              </w:rPr>
              <w:t>[</w:t>
            </w:r>
            <w:r>
              <w:rPr>
                <w:rFonts w:ascii="宋体" w:hAnsi="宋体" w:eastAsia="宋体" w:cs="Times New Roman"/>
                <w:color w:val="000000"/>
              </w:rPr>
              <w:t>货币成本/收益</w:t>
            </w:r>
            <w:r>
              <w:rPr>
                <w:rFonts w:hint="eastAsia" w:ascii="宋体" w:hAnsi="宋体" w:eastAsia="宋体" w:cs="Times New Roman"/>
                <w:color w:val="000000"/>
              </w:rPr>
              <w:t>]</w:t>
            </w:r>
          </w:p>
        </w:tc>
      </w:tr>
      <w:tr w14:paraId="048937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tcBorders>
              <w:top w:val="single" w:color="000000" w:sz="4" w:space="0"/>
            </w:tcBorders>
            <w:shd w:val="clear" w:color="auto" w:fill="FFFFFF"/>
          </w:tcPr>
          <w:p w14:paraId="09A4C549">
            <w:pPr>
              <w:pStyle w:val="23"/>
              <w:rPr>
                <w:rFonts w:hint="eastAsia" w:ascii="宋体" w:hAnsi="宋体" w:eastAsia="宋体" w:cs="Times New Roman"/>
                <w:color w:val="000000"/>
              </w:rPr>
            </w:pPr>
            <w:r>
              <w:rPr>
                <w:rFonts w:ascii="宋体" w:hAnsi="宋体" w:eastAsia="宋体" w:cs="Times New Roman"/>
                <w:color w:val="000000"/>
              </w:rPr>
              <w:t>短途飞行年均次数</w:t>
            </w:r>
          </w:p>
        </w:tc>
        <w:tc>
          <w:tcPr>
            <w:tcW w:w="0" w:type="auto"/>
            <w:tcBorders>
              <w:top w:val="single" w:color="000000" w:sz="4" w:space="0"/>
            </w:tcBorders>
            <w:shd w:val="clear" w:color="auto" w:fill="FFFFFF"/>
          </w:tcPr>
          <w:p w14:paraId="1B564EEC">
            <w:pPr>
              <w:pStyle w:val="23"/>
              <w:rPr>
                <w:rFonts w:hint="eastAsia" w:ascii="宋体" w:hAnsi="宋体" w:eastAsia="宋体" w:cs="Times New Roman"/>
                <w:color w:val="000000"/>
              </w:rPr>
            </w:pPr>
            <w:r>
              <w:rPr>
                <w:rFonts w:ascii="宋体" w:hAnsi="宋体" w:eastAsia="宋体" w:cs="Times New Roman"/>
                <w:color w:val="000000"/>
              </w:rPr>
              <w:t>人均每年乘坐短途航班（&lt;1500km）次数</w:t>
            </w:r>
          </w:p>
        </w:tc>
        <w:tc>
          <w:tcPr>
            <w:tcW w:w="0" w:type="auto"/>
            <w:tcBorders>
              <w:top w:val="single" w:color="000000" w:sz="4" w:space="0"/>
            </w:tcBorders>
            <w:shd w:val="clear" w:color="auto" w:fill="FFFFFF"/>
          </w:tcPr>
          <w:p w14:paraId="7787AC02">
            <w:pPr>
              <w:pStyle w:val="23"/>
              <w:rPr>
                <w:rFonts w:hint="eastAsia" w:ascii="宋体" w:hAnsi="宋体" w:eastAsia="宋体" w:cs="Times New Roman"/>
                <w:color w:val="000000"/>
              </w:rPr>
            </w:pPr>
            <w:r>
              <w:rPr>
                <w:rFonts w:ascii="宋体" w:hAnsi="宋体" w:eastAsia="宋体" w:cs="Times New Roman"/>
                <w:color w:val="000000"/>
              </w:rPr>
              <w:t>2.60</w:t>
            </w:r>
          </w:p>
        </w:tc>
        <w:tc>
          <w:tcPr>
            <w:tcW w:w="0" w:type="auto"/>
            <w:tcBorders>
              <w:top w:val="single" w:color="000000" w:sz="4" w:space="0"/>
            </w:tcBorders>
            <w:shd w:val="clear" w:color="auto" w:fill="FFFFFF"/>
          </w:tcPr>
          <w:p w14:paraId="3708D66F">
            <w:pPr>
              <w:pStyle w:val="23"/>
              <w:rPr>
                <w:rFonts w:hint="eastAsia" w:ascii="宋体" w:hAnsi="宋体" w:eastAsia="宋体" w:cs="Times New Roman"/>
                <w:color w:val="000000"/>
              </w:rPr>
            </w:pPr>
            <w:r>
              <w:rPr>
                <w:rFonts w:ascii="宋体" w:hAnsi="宋体" w:eastAsia="宋体" w:cs="Times New Roman"/>
                <w:color w:val="000000"/>
              </w:rPr>
              <w:t>2.59–2.61</w:t>
            </w:r>
          </w:p>
        </w:tc>
        <w:tc>
          <w:tcPr>
            <w:tcW w:w="0" w:type="auto"/>
            <w:tcBorders>
              <w:top w:val="single" w:color="000000" w:sz="4" w:space="0"/>
            </w:tcBorders>
            <w:shd w:val="clear" w:color="auto" w:fill="FFFFFF"/>
          </w:tcPr>
          <w:p w14:paraId="3EB7CC75">
            <w:pPr>
              <w:pStyle w:val="23"/>
              <w:rPr>
                <w:rFonts w:hint="eastAsia" w:ascii="宋体" w:hAnsi="宋体" w:eastAsia="宋体" w:cs="Times New Roman"/>
                <w:color w:val="000000"/>
              </w:rPr>
            </w:pPr>
            <w:r>
              <w:rPr>
                <w:rFonts w:ascii="宋体" w:hAnsi="宋体" w:eastAsia="宋体" w:cs="Times New Roman"/>
                <w:color w:val="000000"/>
              </w:rPr>
              <w:t>次/年</w:t>
            </w:r>
          </w:p>
        </w:tc>
        <w:tc>
          <w:tcPr>
            <w:tcW w:w="0" w:type="auto"/>
            <w:tcBorders>
              <w:top w:val="single" w:color="000000" w:sz="4" w:space="0"/>
            </w:tcBorders>
            <w:shd w:val="clear" w:color="auto" w:fill="FFFFFF"/>
          </w:tcPr>
          <w:p w14:paraId="61ACCB29">
            <w:pPr>
              <w:pStyle w:val="23"/>
              <w:rPr>
                <w:rFonts w:hint="eastAsia" w:ascii="宋体" w:hAnsi="宋体" w:eastAsia="宋体" w:cs="Times New Roman"/>
                <w:color w:val="000000"/>
              </w:rPr>
            </w:pPr>
            <w:r>
              <w:rPr>
                <w:rFonts w:ascii="宋体" w:hAnsi="宋体" w:eastAsia="宋体" w:cs="Times New Roman"/>
                <w:color w:val="000000"/>
              </w:rPr>
              <w:t>中国民用航空局年度统计公报 (2020–2024)；CNRDS</w:t>
            </w:r>
          </w:p>
        </w:tc>
      </w:tr>
      <w:tr w14:paraId="1173C0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6732EB3B">
            <w:pPr>
              <w:pStyle w:val="23"/>
              <w:rPr>
                <w:rFonts w:hint="eastAsia" w:ascii="宋体" w:hAnsi="宋体" w:eastAsia="宋体" w:cs="Times New Roman"/>
                <w:color w:val="000000"/>
              </w:rPr>
            </w:pPr>
            <w:r>
              <w:rPr>
                <w:rFonts w:ascii="宋体" w:hAnsi="宋体" w:eastAsia="宋体" w:cs="Times New Roman"/>
                <w:color w:val="000000"/>
              </w:rPr>
              <w:t>平均出行距离（飞机）</w:t>
            </w:r>
          </w:p>
        </w:tc>
        <w:tc>
          <w:tcPr>
            <w:tcW w:w="0" w:type="auto"/>
            <w:shd w:val="clear" w:color="auto" w:fill="FFFFFF"/>
          </w:tcPr>
          <w:p w14:paraId="726E2286">
            <w:pPr>
              <w:pStyle w:val="23"/>
              <w:rPr>
                <w:rFonts w:hint="eastAsia" w:ascii="宋体" w:hAnsi="宋体" w:eastAsia="宋体" w:cs="Times New Roman"/>
                <w:color w:val="000000"/>
              </w:rPr>
            </w:pPr>
            <w:r>
              <w:rPr>
                <w:rFonts w:ascii="宋体" w:hAnsi="宋体" w:eastAsia="宋体" w:cs="Times New Roman"/>
                <w:color w:val="000000"/>
              </w:rPr>
              <w:t>短途航班平均单程距离</w:t>
            </w:r>
          </w:p>
        </w:tc>
        <w:tc>
          <w:tcPr>
            <w:tcW w:w="0" w:type="auto"/>
            <w:shd w:val="clear" w:color="auto" w:fill="FFFFFF"/>
          </w:tcPr>
          <w:p w14:paraId="226A13D1">
            <w:pPr>
              <w:pStyle w:val="23"/>
              <w:rPr>
                <w:rFonts w:hint="eastAsia" w:ascii="宋体" w:hAnsi="宋体" w:eastAsia="宋体" w:cs="Times New Roman"/>
                <w:color w:val="000000"/>
              </w:rPr>
            </w:pPr>
            <w:r>
              <w:rPr>
                <w:rFonts w:ascii="宋体" w:hAnsi="宋体" w:eastAsia="宋体" w:cs="Times New Roman"/>
                <w:color w:val="000000"/>
              </w:rPr>
              <w:t>984.4</w:t>
            </w:r>
          </w:p>
        </w:tc>
        <w:tc>
          <w:tcPr>
            <w:tcW w:w="0" w:type="auto"/>
            <w:shd w:val="clear" w:color="auto" w:fill="FFFFFF"/>
          </w:tcPr>
          <w:p w14:paraId="08DFF821">
            <w:pPr>
              <w:pStyle w:val="23"/>
              <w:rPr>
                <w:rFonts w:hint="eastAsia" w:ascii="宋体" w:hAnsi="宋体" w:eastAsia="宋体" w:cs="Times New Roman"/>
                <w:color w:val="000000"/>
              </w:rPr>
            </w:pPr>
            <w:r>
              <w:rPr>
                <w:rFonts w:ascii="宋体" w:hAnsi="宋体" w:eastAsia="宋体" w:cs="Times New Roman"/>
                <w:color w:val="000000"/>
              </w:rPr>
              <w:t>500–1500</w:t>
            </w:r>
          </w:p>
        </w:tc>
        <w:tc>
          <w:tcPr>
            <w:tcW w:w="0" w:type="auto"/>
            <w:shd w:val="clear" w:color="auto" w:fill="FFFFFF"/>
          </w:tcPr>
          <w:p w14:paraId="5B1576C1">
            <w:pPr>
              <w:pStyle w:val="23"/>
              <w:rPr>
                <w:rFonts w:hint="eastAsia" w:ascii="宋体" w:hAnsi="宋体" w:eastAsia="宋体" w:cs="Times New Roman"/>
                <w:color w:val="000000"/>
              </w:rPr>
            </w:pPr>
            <w:r>
              <w:rPr>
                <w:rFonts w:ascii="宋体" w:hAnsi="宋体" w:eastAsia="宋体" w:cs="Times New Roman"/>
                <w:color w:val="000000"/>
              </w:rPr>
              <w:t>km/次</w:t>
            </w:r>
          </w:p>
        </w:tc>
        <w:tc>
          <w:tcPr>
            <w:tcW w:w="0" w:type="auto"/>
            <w:shd w:val="clear" w:color="auto" w:fill="FFFFFF"/>
          </w:tcPr>
          <w:p w14:paraId="01A072F3">
            <w:pPr>
              <w:pStyle w:val="23"/>
              <w:rPr>
                <w:rFonts w:hint="eastAsia" w:ascii="宋体" w:hAnsi="宋体" w:eastAsia="宋体" w:cs="Times New Roman"/>
                <w:color w:val="000000"/>
              </w:rPr>
            </w:pPr>
            <w:r>
              <w:rPr>
                <w:rFonts w:ascii="宋体" w:hAnsi="宋体" w:eastAsia="宋体" w:cs="Times New Roman"/>
                <w:color w:val="000000"/>
              </w:rPr>
              <w:t>CNRDS中国高铁与航空数据库</w:t>
            </w:r>
          </w:p>
        </w:tc>
      </w:tr>
      <w:tr w14:paraId="64D844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3AB05561">
            <w:pPr>
              <w:pStyle w:val="23"/>
              <w:rPr>
                <w:rFonts w:hint="eastAsia" w:ascii="宋体" w:hAnsi="宋体" w:eastAsia="宋体" w:cs="Times New Roman"/>
                <w:color w:val="000000"/>
              </w:rPr>
            </w:pPr>
            <w:r>
              <w:rPr>
                <w:rFonts w:ascii="宋体" w:hAnsi="宋体" w:eastAsia="宋体" w:cs="Times New Roman"/>
                <w:color w:val="000000"/>
              </w:rPr>
              <w:t>飞机票价</w:t>
            </w:r>
          </w:p>
        </w:tc>
        <w:tc>
          <w:tcPr>
            <w:tcW w:w="0" w:type="auto"/>
            <w:shd w:val="clear" w:color="auto" w:fill="FFFFFF"/>
          </w:tcPr>
          <w:p w14:paraId="37CBEE85">
            <w:pPr>
              <w:pStyle w:val="23"/>
              <w:rPr>
                <w:rFonts w:hint="eastAsia" w:ascii="宋体" w:hAnsi="宋体" w:eastAsia="宋体" w:cs="Times New Roman"/>
                <w:color w:val="000000"/>
              </w:rPr>
            </w:pPr>
            <w:r>
              <w:rPr>
                <w:rFonts w:ascii="宋体" w:hAnsi="宋体" w:eastAsia="宋体" w:cs="Times New Roman"/>
                <w:color w:val="000000"/>
              </w:rPr>
              <w:t>短途航班平均单程出行费用</w:t>
            </w:r>
          </w:p>
        </w:tc>
        <w:tc>
          <w:tcPr>
            <w:tcW w:w="0" w:type="auto"/>
            <w:shd w:val="clear" w:color="auto" w:fill="FFFFFF"/>
          </w:tcPr>
          <w:p w14:paraId="5976682B">
            <w:pPr>
              <w:pStyle w:val="23"/>
              <w:rPr>
                <w:rFonts w:hint="eastAsia" w:ascii="宋体" w:hAnsi="宋体" w:eastAsia="宋体" w:cs="Times New Roman"/>
                <w:color w:val="000000"/>
              </w:rPr>
            </w:pPr>
            <w:r>
              <w:rPr>
                <w:rFonts w:ascii="宋体" w:hAnsi="宋体" w:eastAsia="宋体" w:cs="Times New Roman"/>
                <w:color w:val="000000"/>
              </w:rPr>
              <w:t>658.47</w:t>
            </w:r>
          </w:p>
        </w:tc>
        <w:tc>
          <w:tcPr>
            <w:tcW w:w="0" w:type="auto"/>
            <w:shd w:val="clear" w:color="auto" w:fill="FFFFFF"/>
          </w:tcPr>
          <w:p w14:paraId="707A2283">
            <w:pPr>
              <w:pStyle w:val="23"/>
              <w:rPr>
                <w:rFonts w:hint="eastAsia" w:ascii="宋体" w:hAnsi="宋体" w:eastAsia="宋体" w:cs="Times New Roman"/>
                <w:color w:val="000000"/>
              </w:rPr>
            </w:pPr>
            <w:r>
              <w:rPr>
                <w:rFonts w:ascii="宋体" w:hAnsi="宋体" w:eastAsia="宋体" w:cs="Times New Roman"/>
                <w:color w:val="000000"/>
              </w:rPr>
              <w:t>180–1110</w:t>
            </w:r>
          </w:p>
        </w:tc>
        <w:tc>
          <w:tcPr>
            <w:tcW w:w="0" w:type="auto"/>
            <w:shd w:val="clear" w:color="auto" w:fill="FFFFFF"/>
          </w:tcPr>
          <w:p w14:paraId="331B9961">
            <w:pPr>
              <w:pStyle w:val="23"/>
              <w:rPr>
                <w:rFonts w:hint="eastAsia" w:ascii="宋体" w:hAnsi="宋体" w:eastAsia="宋体" w:cs="Times New Roman"/>
                <w:color w:val="000000"/>
              </w:rPr>
            </w:pPr>
            <w:r>
              <w:rPr>
                <w:rFonts w:ascii="宋体" w:hAnsi="宋体" w:eastAsia="宋体" w:cs="Times New Roman"/>
                <w:color w:val="000000"/>
              </w:rPr>
              <w:t>元/次</w:t>
            </w:r>
          </w:p>
        </w:tc>
        <w:tc>
          <w:tcPr>
            <w:tcW w:w="0" w:type="auto"/>
            <w:shd w:val="clear" w:color="auto" w:fill="FFFFFF"/>
          </w:tcPr>
          <w:p w14:paraId="56211C11">
            <w:pPr>
              <w:pStyle w:val="23"/>
              <w:rPr>
                <w:rFonts w:hint="eastAsia" w:ascii="宋体" w:hAnsi="宋体" w:eastAsia="宋体" w:cs="Times New Roman"/>
                <w:color w:val="000000"/>
              </w:rPr>
            </w:pPr>
            <w:r>
              <w:rPr>
                <w:rFonts w:ascii="宋体" w:hAnsi="宋体" w:eastAsia="宋体" w:cs="Times New Roman"/>
                <w:color w:val="000000"/>
              </w:rPr>
              <w:t>CNRDS (N=11,341)</w:t>
            </w:r>
          </w:p>
        </w:tc>
      </w:tr>
      <w:tr w14:paraId="5CE4F1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12FCAF79">
            <w:pPr>
              <w:pStyle w:val="23"/>
              <w:rPr>
                <w:rFonts w:hint="eastAsia" w:ascii="宋体" w:hAnsi="宋体" w:eastAsia="宋体" w:cs="Times New Roman"/>
                <w:color w:val="000000"/>
              </w:rPr>
            </w:pPr>
            <w:r>
              <w:rPr>
                <w:rFonts w:ascii="宋体" w:hAnsi="宋体" w:eastAsia="宋体" w:cs="Times New Roman"/>
                <w:color w:val="000000"/>
              </w:rPr>
              <w:t>高铁票价</w:t>
            </w:r>
          </w:p>
        </w:tc>
        <w:tc>
          <w:tcPr>
            <w:tcW w:w="0" w:type="auto"/>
            <w:shd w:val="clear" w:color="auto" w:fill="FFFFFF"/>
          </w:tcPr>
          <w:p w14:paraId="2FCCA602">
            <w:pPr>
              <w:pStyle w:val="23"/>
              <w:rPr>
                <w:rFonts w:hint="eastAsia" w:ascii="宋体" w:hAnsi="宋体" w:eastAsia="宋体" w:cs="Times New Roman"/>
                <w:color w:val="000000"/>
              </w:rPr>
            </w:pPr>
            <w:r>
              <w:rPr>
                <w:rFonts w:ascii="宋体" w:hAnsi="宋体" w:eastAsia="宋体" w:cs="Times New Roman"/>
                <w:color w:val="000000"/>
              </w:rPr>
              <w:t>相应线路高铁平均单程出行费用</w:t>
            </w:r>
          </w:p>
        </w:tc>
        <w:tc>
          <w:tcPr>
            <w:tcW w:w="0" w:type="auto"/>
            <w:shd w:val="clear" w:color="auto" w:fill="FFFFFF"/>
          </w:tcPr>
          <w:p w14:paraId="78AFE09C">
            <w:pPr>
              <w:pStyle w:val="23"/>
              <w:rPr>
                <w:rFonts w:hint="eastAsia" w:ascii="宋体" w:hAnsi="宋体" w:eastAsia="宋体" w:cs="Times New Roman"/>
                <w:color w:val="000000"/>
              </w:rPr>
            </w:pPr>
            <w:r>
              <w:rPr>
                <w:rFonts w:ascii="宋体" w:hAnsi="宋体" w:eastAsia="宋体" w:cs="Times New Roman"/>
                <w:color w:val="000000"/>
              </w:rPr>
              <w:t>585.18</w:t>
            </w:r>
          </w:p>
        </w:tc>
        <w:tc>
          <w:tcPr>
            <w:tcW w:w="0" w:type="auto"/>
            <w:shd w:val="clear" w:color="auto" w:fill="FFFFFF"/>
          </w:tcPr>
          <w:p w14:paraId="59232F8F">
            <w:pPr>
              <w:pStyle w:val="23"/>
              <w:rPr>
                <w:rFonts w:hint="eastAsia" w:ascii="宋体" w:hAnsi="宋体" w:eastAsia="宋体" w:cs="Times New Roman"/>
                <w:color w:val="000000"/>
              </w:rPr>
            </w:pPr>
            <w:r>
              <w:rPr>
                <w:rFonts w:ascii="宋体" w:hAnsi="宋体" w:eastAsia="宋体" w:cs="Times New Roman"/>
                <w:color w:val="000000"/>
              </w:rPr>
              <w:t>85.88–1034</w:t>
            </w:r>
          </w:p>
        </w:tc>
        <w:tc>
          <w:tcPr>
            <w:tcW w:w="0" w:type="auto"/>
            <w:shd w:val="clear" w:color="auto" w:fill="FFFFFF"/>
          </w:tcPr>
          <w:p w14:paraId="1417FFEA">
            <w:pPr>
              <w:pStyle w:val="23"/>
              <w:rPr>
                <w:rFonts w:hint="eastAsia" w:ascii="宋体" w:hAnsi="宋体" w:eastAsia="宋体" w:cs="Times New Roman"/>
                <w:color w:val="000000"/>
              </w:rPr>
            </w:pPr>
            <w:r>
              <w:rPr>
                <w:rFonts w:ascii="宋体" w:hAnsi="宋体" w:eastAsia="宋体" w:cs="Times New Roman"/>
                <w:color w:val="000000"/>
              </w:rPr>
              <w:t>元/次</w:t>
            </w:r>
          </w:p>
        </w:tc>
        <w:tc>
          <w:tcPr>
            <w:tcW w:w="0" w:type="auto"/>
            <w:shd w:val="clear" w:color="auto" w:fill="FFFFFF"/>
          </w:tcPr>
          <w:p w14:paraId="638CB33C">
            <w:pPr>
              <w:pStyle w:val="23"/>
              <w:rPr>
                <w:rFonts w:hint="eastAsia" w:ascii="宋体" w:hAnsi="宋体" w:eastAsia="宋体" w:cs="Times New Roman"/>
                <w:color w:val="000000"/>
              </w:rPr>
            </w:pPr>
            <w:r>
              <w:rPr>
                <w:rFonts w:ascii="宋体" w:hAnsi="宋体" w:eastAsia="宋体" w:cs="Times New Roman"/>
                <w:color w:val="000000"/>
              </w:rPr>
              <w:t>CNRDS (N=11,341)</w:t>
            </w:r>
          </w:p>
        </w:tc>
      </w:tr>
      <w:tr w14:paraId="58A67F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6A543040">
            <w:pPr>
              <w:pStyle w:val="23"/>
              <w:rPr>
                <w:rFonts w:hint="eastAsia" w:ascii="宋体" w:hAnsi="宋体" w:eastAsia="宋体" w:cs="Times New Roman"/>
                <w:color w:val="000000"/>
              </w:rPr>
            </w:pPr>
            <w:r>
              <w:rPr>
                <w:rFonts w:ascii="宋体" w:hAnsi="宋体" w:eastAsia="宋体" w:cs="Times New Roman"/>
                <w:color w:val="000000"/>
              </w:rPr>
              <w:t>飞机延误/取消成本</w:t>
            </w:r>
          </w:p>
        </w:tc>
        <w:tc>
          <w:tcPr>
            <w:tcW w:w="0" w:type="auto"/>
            <w:shd w:val="clear" w:color="auto" w:fill="FFFFFF"/>
          </w:tcPr>
          <w:p w14:paraId="1E7BA759">
            <w:pPr>
              <w:pStyle w:val="23"/>
              <w:rPr>
                <w:rFonts w:hint="eastAsia" w:ascii="宋体" w:hAnsi="宋体" w:eastAsia="宋体" w:cs="Times New Roman"/>
                <w:color w:val="000000"/>
              </w:rPr>
            </w:pPr>
            <w:r>
              <w:rPr>
                <w:rFonts w:ascii="宋体" w:hAnsi="宋体" w:eastAsia="宋体" w:cs="Times New Roman"/>
                <w:color w:val="000000"/>
              </w:rPr>
              <w:t>航班延误或取消的平均额外成本</w:t>
            </w:r>
          </w:p>
        </w:tc>
        <w:tc>
          <w:tcPr>
            <w:tcW w:w="0" w:type="auto"/>
            <w:shd w:val="clear" w:color="auto" w:fill="FFFFFF"/>
          </w:tcPr>
          <w:p w14:paraId="13417EFE">
            <w:pPr>
              <w:pStyle w:val="23"/>
              <w:rPr>
                <w:rFonts w:hint="eastAsia" w:ascii="宋体" w:hAnsi="宋体" w:eastAsia="宋体" w:cs="Times New Roman"/>
                <w:color w:val="000000"/>
              </w:rPr>
            </w:pPr>
            <w:r>
              <w:rPr>
                <w:rFonts w:ascii="宋体" w:hAnsi="宋体" w:eastAsia="宋体" w:cs="Times New Roman"/>
                <w:color w:val="000000"/>
              </w:rPr>
              <w:t>98.43</w:t>
            </w:r>
          </w:p>
        </w:tc>
        <w:tc>
          <w:tcPr>
            <w:tcW w:w="0" w:type="auto"/>
            <w:shd w:val="clear" w:color="auto" w:fill="FFFFFF"/>
          </w:tcPr>
          <w:p w14:paraId="61BDEA2D">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shd w:val="clear" w:color="auto" w:fill="FFFFFF"/>
          </w:tcPr>
          <w:p w14:paraId="53B3C18E">
            <w:pPr>
              <w:pStyle w:val="23"/>
              <w:rPr>
                <w:rFonts w:hint="eastAsia" w:ascii="宋体" w:hAnsi="宋体" w:eastAsia="宋体" w:cs="Times New Roman"/>
                <w:color w:val="000000"/>
              </w:rPr>
            </w:pPr>
            <w:r>
              <w:rPr>
                <w:rFonts w:ascii="宋体" w:hAnsi="宋体" w:eastAsia="宋体" w:cs="Times New Roman"/>
                <w:color w:val="000000"/>
              </w:rPr>
              <w:t>元/次</w:t>
            </w:r>
          </w:p>
        </w:tc>
        <w:tc>
          <w:tcPr>
            <w:tcW w:w="0" w:type="auto"/>
            <w:shd w:val="clear" w:color="auto" w:fill="FFFFFF"/>
          </w:tcPr>
          <w:p w14:paraId="60568302">
            <w:pPr>
              <w:pStyle w:val="23"/>
              <w:rPr>
                <w:rFonts w:hint="eastAsia" w:ascii="宋体" w:hAnsi="宋体" w:eastAsia="宋体" w:cs="Times New Roman"/>
                <w:color w:val="000000"/>
              </w:rPr>
            </w:pPr>
            <w:r>
              <w:rPr>
                <w:rFonts w:ascii="宋体" w:hAnsi="宋体" w:eastAsia="宋体" w:cs="Times New Roman"/>
                <w:color w:val="000000"/>
              </w:rPr>
              <w:t>CNRDS延误统计；作者计算</w:t>
            </w:r>
          </w:p>
        </w:tc>
      </w:tr>
      <w:tr w14:paraId="7257EA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tcBorders>
              <w:bottom w:val="single" w:color="000000" w:sz="12" w:space="0"/>
            </w:tcBorders>
            <w:shd w:val="clear" w:color="auto" w:fill="FFFFFF"/>
          </w:tcPr>
          <w:p w14:paraId="24C52A89">
            <w:pPr>
              <w:pStyle w:val="23"/>
              <w:rPr>
                <w:rFonts w:hint="eastAsia" w:ascii="宋体" w:hAnsi="宋体" w:eastAsia="宋体" w:cs="Times New Roman"/>
                <w:color w:val="000000"/>
              </w:rPr>
            </w:pPr>
            <w:r>
              <w:rPr>
                <w:rFonts w:ascii="宋体" w:hAnsi="宋体" w:eastAsia="宋体" w:cs="Times New Roman"/>
                <w:color w:val="000000"/>
              </w:rPr>
              <w:t>高铁延误/取消成本</w:t>
            </w:r>
          </w:p>
        </w:tc>
        <w:tc>
          <w:tcPr>
            <w:tcW w:w="0" w:type="auto"/>
            <w:tcBorders>
              <w:bottom w:val="single" w:color="000000" w:sz="12" w:space="0"/>
            </w:tcBorders>
            <w:shd w:val="clear" w:color="auto" w:fill="FFFFFF"/>
          </w:tcPr>
          <w:p w14:paraId="5805AF8A">
            <w:pPr>
              <w:pStyle w:val="23"/>
              <w:rPr>
                <w:rFonts w:hint="eastAsia" w:ascii="宋体" w:hAnsi="宋体" w:eastAsia="宋体" w:cs="Times New Roman"/>
                <w:color w:val="000000"/>
              </w:rPr>
            </w:pPr>
            <w:r>
              <w:rPr>
                <w:rFonts w:ascii="宋体" w:hAnsi="宋体" w:eastAsia="宋体" w:cs="Times New Roman"/>
                <w:color w:val="000000"/>
              </w:rPr>
              <w:t>高铁晚点的平均额外成本</w:t>
            </w:r>
          </w:p>
        </w:tc>
        <w:tc>
          <w:tcPr>
            <w:tcW w:w="0" w:type="auto"/>
            <w:tcBorders>
              <w:bottom w:val="single" w:color="000000" w:sz="12" w:space="0"/>
            </w:tcBorders>
            <w:shd w:val="clear" w:color="auto" w:fill="FFFFFF"/>
          </w:tcPr>
          <w:p w14:paraId="41FC8171">
            <w:pPr>
              <w:pStyle w:val="23"/>
              <w:rPr>
                <w:rFonts w:hint="eastAsia" w:ascii="宋体" w:hAnsi="宋体" w:eastAsia="宋体" w:cs="Times New Roman"/>
                <w:color w:val="000000"/>
              </w:rPr>
            </w:pPr>
            <w:r>
              <w:rPr>
                <w:rFonts w:ascii="宋体" w:hAnsi="宋体" w:eastAsia="宋体" w:cs="Times New Roman"/>
                <w:color w:val="000000"/>
              </w:rPr>
              <w:t>13.81</w:t>
            </w:r>
          </w:p>
        </w:tc>
        <w:tc>
          <w:tcPr>
            <w:tcW w:w="0" w:type="auto"/>
            <w:tcBorders>
              <w:bottom w:val="single" w:color="000000" w:sz="12" w:space="0"/>
            </w:tcBorders>
            <w:shd w:val="clear" w:color="auto" w:fill="FFFFFF"/>
          </w:tcPr>
          <w:p w14:paraId="498B97A4">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tcBorders>
              <w:bottom w:val="single" w:color="000000" w:sz="12" w:space="0"/>
            </w:tcBorders>
            <w:shd w:val="clear" w:color="auto" w:fill="FFFFFF"/>
          </w:tcPr>
          <w:p w14:paraId="362A86FB">
            <w:pPr>
              <w:pStyle w:val="23"/>
              <w:rPr>
                <w:rFonts w:hint="eastAsia" w:ascii="宋体" w:hAnsi="宋体" w:eastAsia="宋体" w:cs="Times New Roman"/>
                <w:color w:val="000000"/>
              </w:rPr>
            </w:pPr>
            <w:r>
              <w:rPr>
                <w:rFonts w:ascii="宋体" w:hAnsi="宋体" w:eastAsia="宋体" w:cs="Times New Roman"/>
                <w:color w:val="000000"/>
              </w:rPr>
              <w:t>元/次</w:t>
            </w:r>
          </w:p>
        </w:tc>
        <w:tc>
          <w:tcPr>
            <w:tcW w:w="0" w:type="auto"/>
            <w:tcBorders>
              <w:bottom w:val="single" w:color="000000" w:sz="12" w:space="0"/>
            </w:tcBorders>
            <w:shd w:val="clear" w:color="auto" w:fill="FFFFFF"/>
          </w:tcPr>
          <w:p w14:paraId="77F5AAC4">
            <w:pPr>
              <w:pStyle w:val="23"/>
              <w:rPr>
                <w:rFonts w:hint="eastAsia" w:ascii="宋体" w:hAnsi="宋体" w:eastAsia="宋体" w:cs="Times New Roman"/>
                <w:color w:val="000000"/>
              </w:rPr>
            </w:pPr>
            <w:r>
              <w:rPr>
                <w:rFonts w:ascii="宋体" w:hAnsi="宋体" w:eastAsia="宋体" w:cs="Times New Roman"/>
                <w:color w:val="000000"/>
              </w:rPr>
              <w:t>中国铁路统计；作者计算</w:t>
            </w:r>
          </w:p>
        </w:tc>
      </w:tr>
      <w:tr w14:paraId="0BC61D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39" w:hRule="atLeast"/>
        </w:trPr>
        <w:tc>
          <w:tcPr>
            <w:tcW w:w="0" w:type="auto"/>
            <w:gridSpan w:val="6"/>
            <w:tcBorders>
              <w:top w:val="single" w:color="000000" w:sz="12" w:space="0"/>
              <w:bottom w:val="single" w:color="000000" w:sz="4" w:space="0"/>
              <w:tl2br w:val="nil"/>
            </w:tcBorders>
            <w:shd w:val="clear" w:color="auto" w:fill="FFFFFF"/>
          </w:tcPr>
          <w:p w14:paraId="72A3D131">
            <w:pPr>
              <w:pStyle w:val="23"/>
              <w:rPr>
                <w:rFonts w:hint="eastAsia" w:ascii="宋体" w:hAnsi="宋体" w:eastAsia="宋体" w:cs="Times New Roman"/>
                <w:color w:val="000000"/>
              </w:rPr>
            </w:pPr>
            <w:r>
              <w:rPr>
                <w:rFonts w:hint="eastAsia" w:ascii="宋体" w:hAnsi="宋体" w:eastAsia="宋体" w:cs="Times New Roman"/>
                <w:color w:val="000000"/>
              </w:rPr>
              <w:t>[</w:t>
            </w:r>
            <w:r>
              <w:rPr>
                <w:rFonts w:ascii="宋体" w:hAnsi="宋体" w:eastAsia="宋体" w:cs="Times New Roman"/>
                <w:color w:val="000000"/>
              </w:rPr>
              <w:t>非货币成本</w:t>
            </w:r>
            <w:r>
              <w:rPr>
                <w:rFonts w:hint="eastAsia" w:ascii="宋体" w:hAnsi="宋体" w:eastAsia="宋体" w:cs="Times New Roman"/>
                <w:color w:val="000000"/>
              </w:rPr>
              <w:t>]</w:t>
            </w:r>
          </w:p>
        </w:tc>
      </w:tr>
      <w:tr w14:paraId="6F54D6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tcBorders>
              <w:top w:val="single" w:color="000000" w:sz="4" w:space="0"/>
            </w:tcBorders>
            <w:shd w:val="clear" w:color="auto" w:fill="FFFFFF"/>
          </w:tcPr>
          <w:p w14:paraId="023C8EB6">
            <w:pPr>
              <w:pStyle w:val="23"/>
              <w:rPr>
                <w:rFonts w:hint="eastAsia" w:ascii="宋体" w:hAnsi="宋体" w:eastAsia="宋体" w:cs="Times New Roman"/>
                <w:color w:val="000000"/>
              </w:rPr>
            </w:pPr>
            <w:r>
              <w:rPr>
                <w:rFonts w:ascii="宋体" w:hAnsi="宋体" w:eastAsia="宋体" w:cs="Times New Roman"/>
                <w:color w:val="000000"/>
              </w:rPr>
              <w:t>飞机出行时间（门到门）</w:t>
            </w:r>
          </w:p>
        </w:tc>
        <w:tc>
          <w:tcPr>
            <w:tcW w:w="0" w:type="auto"/>
            <w:tcBorders>
              <w:top w:val="single" w:color="000000" w:sz="4" w:space="0"/>
            </w:tcBorders>
            <w:shd w:val="clear" w:color="auto" w:fill="FFFFFF"/>
          </w:tcPr>
          <w:p w14:paraId="427D9378">
            <w:pPr>
              <w:pStyle w:val="23"/>
              <w:rPr>
                <w:rFonts w:hint="eastAsia" w:ascii="宋体" w:hAnsi="宋体" w:eastAsia="宋体" w:cs="Times New Roman"/>
                <w:color w:val="000000"/>
              </w:rPr>
            </w:pPr>
            <w:r>
              <w:rPr>
                <w:rFonts w:ascii="宋体" w:hAnsi="宋体" w:eastAsia="宋体" w:cs="Times New Roman"/>
                <w:color w:val="000000"/>
              </w:rPr>
              <w:t>乘飞机全程时间（含安检、候机）</w:t>
            </w:r>
          </w:p>
        </w:tc>
        <w:tc>
          <w:tcPr>
            <w:tcW w:w="0" w:type="auto"/>
            <w:tcBorders>
              <w:top w:val="single" w:color="000000" w:sz="4" w:space="0"/>
            </w:tcBorders>
            <w:shd w:val="clear" w:color="auto" w:fill="FFFFFF"/>
          </w:tcPr>
          <w:p w14:paraId="4A5DE43E">
            <w:pPr>
              <w:pStyle w:val="23"/>
              <w:rPr>
                <w:rFonts w:hint="eastAsia" w:ascii="宋体" w:hAnsi="宋体" w:eastAsia="宋体" w:cs="Times New Roman"/>
                <w:color w:val="000000"/>
              </w:rPr>
            </w:pPr>
            <w:r>
              <w:rPr>
                <w:rFonts w:ascii="宋体" w:hAnsi="宋体" w:eastAsia="宋体" w:cs="Times New Roman"/>
                <w:color w:val="000000"/>
              </w:rPr>
              <w:t>129.04</w:t>
            </w:r>
          </w:p>
        </w:tc>
        <w:tc>
          <w:tcPr>
            <w:tcW w:w="0" w:type="auto"/>
            <w:tcBorders>
              <w:top w:val="single" w:color="000000" w:sz="4" w:space="0"/>
            </w:tcBorders>
            <w:shd w:val="clear" w:color="auto" w:fill="FFFFFF"/>
          </w:tcPr>
          <w:p w14:paraId="21A239F1">
            <w:pPr>
              <w:pStyle w:val="23"/>
              <w:rPr>
                <w:rFonts w:hint="eastAsia" w:ascii="宋体" w:hAnsi="宋体" w:eastAsia="宋体" w:cs="Times New Roman"/>
                <w:color w:val="000000"/>
              </w:rPr>
            </w:pPr>
            <w:r>
              <w:rPr>
                <w:rFonts w:ascii="宋体" w:hAnsi="宋体" w:eastAsia="宋体" w:cs="Times New Roman"/>
                <w:color w:val="000000"/>
              </w:rPr>
              <w:t>60–240</w:t>
            </w:r>
          </w:p>
        </w:tc>
        <w:tc>
          <w:tcPr>
            <w:tcW w:w="0" w:type="auto"/>
            <w:tcBorders>
              <w:top w:val="single" w:color="000000" w:sz="4" w:space="0"/>
            </w:tcBorders>
            <w:shd w:val="clear" w:color="auto" w:fill="FFFFFF"/>
          </w:tcPr>
          <w:p w14:paraId="7FC9ED8C">
            <w:pPr>
              <w:pStyle w:val="23"/>
              <w:rPr>
                <w:rFonts w:hint="eastAsia" w:ascii="宋体" w:hAnsi="宋体" w:eastAsia="宋体" w:cs="Times New Roman"/>
                <w:color w:val="000000"/>
              </w:rPr>
            </w:pPr>
            <w:r>
              <w:rPr>
                <w:rFonts w:ascii="宋体" w:hAnsi="宋体" w:eastAsia="宋体" w:cs="Times New Roman"/>
                <w:color w:val="000000"/>
              </w:rPr>
              <w:t>分钟/次</w:t>
            </w:r>
          </w:p>
        </w:tc>
        <w:tc>
          <w:tcPr>
            <w:tcW w:w="0" w:type="auto"/>
            <w:tcBorders>
              <w:top w:val="single" w:color="000000" w:sz="4" w:space="0"/>
            </w:tcBorders>
            <w:shd w:val="clear" w:color="auto" w:fill="FFFFFF"/>
          </w:tcPr>
          <w:p w14:paraId="6E8108D0">
            <w:pPr>
              <w:pStyle w:val="23"/>
              <w:rPr>
                <w:rFonts w:hint="eastAsia" w:ascii="宋体" w:hAnsi="宋体" w:eastAsia="宋体" w:cs="Times New Roman"/>
                <w:color w:val="000000"/>
              </w:rPr>
            </w:pPr>
            <w:r>
              <w:rPr>
                <w:rFonts w:ascii="宋体" w:hAnsi="宋体" w:eastAsia="宋体" w:cs="Times New Roman"/>
                <w:color w:val="000000"/>
              </w:rPr>
              <w:t>CNRDS数据库；作者测算</w:t>
            </w:r>
          </w:p>
        </w:tc>
      </w:tr>
      <w:tr w14:paraId="419954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260B9CAC">
            <w:pPr>
              <w:pStyle w:val="23"/>
              <w:rPr>
                <w:rFonts w:hint="eastAsia" w:ascii="宋体" w:hAnsi="宋体" w:eastAsia="宋体" w:cs="Times New Roman"/>
                <w:color w:val="000000"/>
              </w:rPr>
            </w:pPr>
            <w:r>
              <w:rPr>
                <w:rFonts w:ascii="宋体" w:hAnsi="宋体" w:eastAsia="宋体" w:cs="Times New Roman"/>
                <w:color w:val="000000"/>
              </w:rPr>
              <w:t>高铁出行时间（门到门）</w:t>
            </w:r>
          </w:p>
        </w:tc>
        <w:tc>
          <w:tcPr>
            <w:tcW w:w="0" w:type="auto"/>
            <w:shd w:val="clear" w:color="auto" w:fill="FFFFFF"/>
          </w:tcPr>
          <w:p w14:paraId="037EA84D">
            <w:pPr>
              <w:pStyle w:val="23"/>
              <w:rPr>
                <w:rFonts w:hint="eastAsia" w:ascii="宋体" w:hAnsi="宋体" w:eastAsia="宋体" w:cs="Times New Roman"/>
                <w:color w:val="000000"/>
              </w:rPr>
            </w:pPr>
            <w:r>
              <w:rPr>
                <w:rFonts w:ascii="宋体" w:hAnsi="宋体" w:eastAsia="宋体" w:cs="Times New Roman"/>
                <w:color w:val="000000"/>
              </w:rPr>
              <w:t>乘高铁全程时间（含进站候车）</w:t>
            </w:r>
          </w:p>
        </w:tc>
        <w:tc>
          <w:tcPr>
            <w:tcW w:w="0" w:type="auto"/>
            <w:shd w:val="clear" w:color="auto" w:fill="FFFFFF"/>
          </w:tcPr>
          <w:p w14:paraId="10A40CAB">
            <w:pPr>
              <w:pStyle w:val="23"/>
              <w:rPr>
                <w:rFonts w:hint="eastAsia" w:ascii="宋体" w:hAnsi="宋体" w:eastAsia="宋体" w:cs="Times New Roman"/>
                <w:color w:val="000000"/>
              </w:rPr>
            </w:pPr>
            <w:r>
              <w:rPr>
                <w:rFonts w:ascii="宋体" w:hAnsi="宋体" w:eastAsia="宋体" w:cs="Times New Roman"/>
                <w:color w:val="000000"/>
              </w:rPr>
              <w:t>454.25</w:t>
            </w:r>
          </w:p>
        </w:tc>
        <w:tc>
          <w:tcPr>
            <w:tcW w:w="0" w:type="auto"/>
            <w:shd w:val="clear" w:color="auto" w:fill="FFFFFF"/>
          </w:tcPr>
          <w:p w14:paraId="7B91502C">
            <w:pPr>
              <w:pStyle w:val="23"/>
              <w:rPr>
                <w:rFonts w:hint="eastAsia" w:ascii="宋体" w:hAnsi="宋体" w:eastAsia="宋体" w:cs="Times New Roman"/>
                <w:color w:val="000000"/>
              </w:rPr>
            </w:pPr>
            <w:r>
              <w:rPr>
                <w:rFonts w:ascii="宋体" w:hAnsi="宋体" w:eastAsia="宋体" w:cs="Times New Roman"/>
                <w:color w:val="000000"/>
              </w:rPr>
              <w:t>120–900</w:t>
            </w:r>
          </w:p>
        </w:tc>
        <w:tc>
          <w:tcPr>
            <w:tcW w:w="0" w:type="auto"/>
            <w:shd w:val="clear" w:color="auto" w:fill="FFFFFF"/>
          </w:tcPr>
          <w:p w14:paraId="6C226FA0">
            <w:pPr>
              <w:pStyle w:val="23"/>
              <w:rPr>
                <w:rFonts w:hint="eastAsia" w:ascii="宋体" w:hAnsi="宋体" w:eastAsia="宋体" w:cs="Times New Roman"/>
                <w:color w:val="000000"/>
              </w:rPr>
            </w:pPr>
            <w:r>
              <w:rPr>
                <w:rFonts w:ascii="宋体" w:hAnsi="宋体" w:eastAsia="宋体" w:cs="Times New Roman"/>
                <w:color w:val="000000"/>
              </w:rPr>
              <w:t>分钟/次</w:t>
            </w:r>
          </w:p>
        </w:tc>
        <w:tc>
          <w:tcPr>
            <w:tcW w:w="0" w:type="auto"/>
            <w:shd w:val="clear" w:color="auto" w:fill="FFFFFF"/>
          </w:tcPr>
          <w:p w14:paraId="2B67CDFF">
            <w:pPr>
              <w:pStyle w:val="23"/>
              <w:rPr>
                <w:rFonts w:hint="eastAsia" w:ascii="宋体" w:hAnsi="宋体" w:eastAsia="宋体" w:cs="Times New Roman"/>
                <w:color w:val="000000"/>
              </w:rPr>
            </w:pPr>
            <w:r>
              <w:rPr>
                <w:rFonts w:ascii="宋体" w:hAnsi="宋体" w:eastAsia="宋体" w:cs="Times New Roman"/>
                <w:color w:val="000000"/>
              </w:rPr>
              <w:t>CNRDS数据库；作者测算</w:t>
            </w:r>
          </w:p>
        </w:tc>
      </w:tr>
      <w:tr w14:paraId="5F8439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tcBorders>
              <w:bottom w:val="single" w:color="000000" w:sz="12" w:space="0"/>
            </w:tcBorders>
            <w:shd w:val="clear" w:color="auto" w:fill="FFFFFF"/>
          </w:tcPr>
          <w:p w14:paraId="121449E0">
            <w:pPr>
              <w:pStyle w:val="23"/>
              <w:rPr>
                <w:rFonts w:hint="eastAsia" w:ascii="宋体" w:hAnsi="宋体" w:eastAsia="宋体" w:cs="Times New Roman"/>
                <w:color w:val="000000"/>
              </w:rPr>
            </w:pPr>
            <w:r>
              <w:rPr>
                <w:rFonts w:ascii="宋体" w:hAnsi="宋体" w:eastAsia="宋体" w:cs="Times New Roman"/>
                <w:color w:val="000000"/>
              </w:rPr>
              <w:t>时间机会成本</w:t>
            </w:r>
          </w:p>
        </w:tc>
        <w:tc>
          <w:tcPr>
            <w:tcW w:w="0" w:type="auto"/>
            <w:tcBorders>
              <w:bottom w:val="single" w:color="000000" w:sz="12" w:space="0"/>
            </w:tcBorders>
            <w:shd w:val="clear" w:color="auto" w:fill="FFFFFF"/>
          </w:tcPr>
          <w:p w14:paraId="0104970B">
            <w:pPr>
              <w:pStyle w:val="23"/>
              <w:rPr>
                <w:rFonts w:hint="eastAsia" w:ascii="宋体" w:hAnsi="宋体" w:eastAsia="宋体" w:cs="Times New Roman"/>
                <w:color w:val="000000"/>
              </w:rPr>
            </w:pPr>
            <w:r>
              <w:rPr>
                <w:rFonts w:ascii="宋体" w:hAnsi="宋体" w:eastAsia="宋体" w:cs="Times New Roman"/>
                <w:color w:val="000000"/>
              </w:rPr>
              <w:t>单位时间的机会成本（时薪，上限）</w:t>
            </w:r>
          </w:p>
        </w:tc>
        <w:tc>
          <w:tcPr>
            <w:tcW w:w="0" w:type="auto"/>
            <w:tcBorders>
              <w:bottom w:val="single" w:color="000000" w:sz="12" w:space="0"/>
            </w:tcBorders>
            <w:shd w:val="clear" w:color="auto" w:fill="FFFFFF"/>
          </w:tcPr>
          <w:p w14:paraId="51C1FE32">
            <w:pPr>
              <w:pStyle w:val="23"/>
              <w:rPr>
                <w:rFonts w:hint="eastAsia" w:ascii="宋体" w:hAnsi="宋体" w:eastAsia="宋体" w:cs="Times New Roman"/>
                <w:color w:val="000000"/>
              </w:rPr>
            </w:pPr>
            <w:r>
              <w:rPr>
                <w:rFonts w:ascii="宋体" w:hAnsi="宋体" w:eastAsia="宋体" w:cs="Times New Roman"/>
                <w:color w:val="000000"/>
              </w:rPr>
              <w:t>49.11</w:t>
            </w:r>
          </w:p>
        </w:tc>
        <w:tc>
          <w:tcPr>
            <w:tcW w:w="0" w:type="auto"/>
            <w:tcBorders>
              <w:bottom w:val="single" w:color="000000" w:sz="12" w:space="0"/>
            </w:tcBorders>
            <w:shd w:val="clear" w:color="auto" w:fill="FFFFFF"/>
          </w:tcPr>
          <w:p w14:paraId="50EC64E9">
            <w:pPr>
              <w:pStyle w:val="23"/>
              <w:rPr>
                <w:rFonts w:hint="eastAsia" w:ascii="宋体" w:hAnsi="宋体" w:eastAsia="宋体" w:cs="Times New Roman"/>
                <w:color w:val="000000"/>
              </w:rPr>
            </w:pPr>
            <w:r>
              <w:rPr>
                <w:rFonts w:ascii="宋体" w:hAnsi="宋体" w:eastAsia="宋体" w:cs="Times New Roman"/>
                <w:color w:val="000000"/>
              </w:rPr>
              <w:t>12.28–49.11</w:t>
            </w:r>
          </w:p>
        </w:tc>
        <w:tc>
          <w:tcPr>
            <w:tcW w:w="0" w:type="auto"/>
            <w:tcBorders>
              <w:bottom w:val="single" w:color="000000" w:sz="12" w:space="0"/>
            </w:tcBorders>
            <w:shd w:val="clear" w:color="auto" w:fill="FFFFFF"/>
          </w:tcPr>
          <w:p w14:paraId="0ACE4BC3">
            <w:pPr>
              <w:pStyle w:val="23"/>
              <w:rPr>
                <w:rFonts w:hint="eastAsia" w:ascii="宋体" w:hAnsi="宋体" w:eastAsia="宋体" w:cs="Times New Roman"/>
                <w:color w:val="000000"/>
              </w:rPr>
            </w:pPr>
            <w:r>
              <w:rPr>
                <w:rFonts w:ascii="宋体" w:hAnsi="宋体" w:eastAsia="宋体" w:cs="Times New Roman"/>
                <w:color w:val="000000"/>
              </w:rPr>
              <w:t>元/小时</w:t>
            </w:r>
          </w:p>
        </w:tc>
        <w:tc>
          <w:tcPr>
            <w:tcW w:w="0" w:type="auto"/>
            <w:tcBorders>
              <w:bottom w:val="single" w:color="000000" w:sz="12" w:space="0"/>
            </w:tcBorders>
            <w:shd w:val="clear" w:color="auto" w:fill="FFFFFF"/>
          </w:tcPr>
          <w:p w14:paraId="4A98E886">
            <w:pPr>
              <w:pStyle w:val="23"/>
              <w:rPr>
                <w:rFonts w:hint="eastAsia" w:ascii="宋体" w:hAnsi="宋体" w:eastAsia="宋体" w:cs="Times New Roman"/>
                <w:color w:val="000000"/>
              </w:rPr>
            </w:pPr>
            <w:r>
              <w:rPr>
                <w:rFonts w:ascii="宋体" w:hAnsi="宋体" w:eastAsia="宋体" w:cs="Times New Roman"/>
                <w:color w:val="000000"/>
              </w:rPr>
              <w:t>中国统计年鉴 (2024)</w:t>
            </w:r>
          </w:p>
        </w:tc>
      </w:tr>
      <w:tr w14:paraId="511416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39" w:hRule="atLeast"/>
        </w:trPr>
        <w:tc>
          <w:tcPr>
            <w:tcW w:w="0" w:type="auto"/>
            <w:gridSpan w:val="6"/>
            <w:tcBorders>
              <w:top w:val="single" w:color="000000" w:sz="12" w:space="0"/>
              <w:bottom w:val="single" w:color="000000" w:sz="4" w:space="0"/>
              <w:tl2br w:val="nil"/>
            </w:tcBorders>
            <w:shd w:val="clear" w:color="auto" w:fill="FFFFFF"/>
          </w:tcPr>
          <w:p w14:paraId="5BFE46BC">
            <w:pPr>
              <w:pStyle w:val="23"/>
              <w:rPr>
                <w:rFonts w:hint="eastAsia" w:ascii="宋体" w:hAnsi="宋体" w:eastAsia="宋体" w:cs="Times New Roman"/>
                <w:color w:val="000000"/>
              </w:rPr>
            </w:pPr>
            <w:r>
              <w:rPr>
                <w:rFonts w:hint="eastAsia" w:ascii="宋体" w:hAnsi="宋体" w:eastAsia="宋体" w:cs="Times New Roman"/>
                <w:color w:val="000000"/>
              </w:rPr>
              <w:t>[</w:t>
            </w:r>
            <w:r>
              <w:rPr>
                <w:rFonts w:ascii="宋体" w:hAnsi="宋体" w:eastAsia="宋体" w:cs="Times New Roman"/>
                <w:color w:val="000000"/>
              </w:rPr>
              <w:t>碳排放核算</w:t>
            </w:r>
            <w:r>
              <w:rPr>
                <w:rFonts w:hint="eastAsia" w:ascii="宋体" w:hAnsi="宋体" w:eastAsia="宋体" w:cs="Times New Roman"/>
                <w:color w:val="000000"/>
              </w:rPr>
              <w:t>]</w:t>
            </w:r>
          </w:p>
        </w:tc>
      </w:tr>
      <w:tr w14:paraId="53D289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tcBorders>
              <w:top w:val="single" w:color="000000" w:sz="4" w:space="0"/>
            </w:tcBorders>
            <w:shd w:val="clear" w:color="auto" w:fill="FFFFFF"/>
          </w:tcPr>
          <w:p w14:paraId="096BD578">
            <w:pPr>
              <w:pStyle w:val="23"/>
              <w:rPr>
                <w:rFonts w:hint="eastAsia" w:ascii="宋体" w:hAnsi="宋体" w:eastAsia="宋体" w:cs="Times New Roman"/>
                <w:color w:val="000000"/>
              </w:rPr>
            </w:pPr>
            <w:r>
              <w:rPr>
                <w:rFonts w:ascii="宋体" w:hAnsi="宋体" w:eastAsia="宋体" w:cs="Times New Roman"/>
                <w:color w:val="000000"/>
              </w:rPr>
              <w:t>飞机年碳排放量</w:t>
            </w:r>
          </w:p>
        </w:tc>
        <w:tc>
          <w:tcPr>
            <w:tcW w:w="0" w:type="auto"/>
            <w:tcBorders>
              <w:top w:val="single" w:color="000000" w:sz="4" w:space="0"/>
            </w:tcBorders>
            <w:shd w:val="clear" w:color="auto" w:fill="FFFFFF"/>
          </w:tcPr>
          <w:p w14:paraId="3BD6C84A">
            <w:pPr>
              <w:pStyle w:val="23"/>
              <w:rPr>
                <w:rFonts w:hint="eastAsia" w:ascii="宋体" w:hAnsi="宋体" w:eastAsia="宋体" w:cs="Times New Roman"/>
                <w:color w:val="000000"/>
              </w:rPr>
            </w:pPr>
            <w:r>
              <w:rPr>
                <w:rFonts w:ascii="宋体" w:hAnsi="宋体" w:eastAsia="宋体" w:cs="Times New Roman"/>
                <w:color w:val="000000"/>
              </w:rPr>
              <w:t>短途航班人均年碳排放量</w:t>
            </w:r>
          </w:p>
        </w:tc>
        <w:tc>
          <w:tcPr>
            <w:tcW w:w="0" w:type="auto"/>
            <w:tcBorders>
              <w:top w:val="single" w:color="000000" w:sz="4" w:space="0"/>
            </w:tcBorders>
            <w:shd w:val="clear" w:color="auto" w:fill="FFFFFF"/>
          </w:tcPr>
          <w:p w14:paraId="7705368E">
            <w:pPr>
              <w:pStyle w:val="23"/>
              <w:rPr>
                <w:rFonts w:hint="eastAsia" w:ascii="宋体" w:hAnsi="宋体" w:eastAsia="宋体" w:cs="Times New Roman"/>
                <w:color w:val="000000"/>
              </w:rPr>
            </w:pPr>
            <w:r>
              <w:rPr>
                <w:rFonts w:ascii="宋体" w:hAnsi="宋体" w:eastAsia="宋体" w:cs="Times New Roman"/>
                <w:color w:val="000000"/>
              </w:rPr>
              <w:t>501.16</w:t>
            </w:r>
          </w:p>
        </w:tc>
        <w:tc>
          <w:tcPr>
            <w:tcW w:w="0" w:type="auto"/>
            <w:tcBorders>
              <w:top w:val="single" w:color="000000" w:sz="4" w:space="0"/>
            </w:tcBorders>
            <w:shd w:val="clear" w:color="auto" w:fill="FFFFFF"/>
          </w:tcPr>
          <w:p w14:paraId="5509C870">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tcBorders>
              <w:top w:val="single" w:color="000000" w:sz="4" w:space="0"/>
            </w:tcBorders>
            <w:shd w:val="clear" w:color="auto" w:fill="FFFFFF"/>
          </w:tcPr>
          <w:p w14:paraId="4722603D">
            <w:pPr>
              <w:pStyle w:val="23"/>
              <w:rPr>
                <w:rFonts w:hint="eastAsia" w:ascii="宋体" w:hAnsi="宋体" w:eastAsia="宋体" w:cs="Times New Roman"/>
                <w:color w:val="000000"/>
              </w:rPr>
            </w:pPr>
            <w:r>
              <w:rPr>
                <w:rFonts w:ascii="宋体" w:hAnsi="宋体" w:eastAsia="宋体" w:cs="Times New Roman"/>
                <w:color w:val="000000"/>
              </w:rPr>
              <w:t>kgCO</w:t>
            </w:r>
            <w:r>
              <w:rPr>
                <w:rFonts w:ascii="Cambria Math" w:hAnsi="Cambria Math" w:eastAsia="宋体" w:cs="Cambria Math"/>
                <w:color w:val="000000"/>
              </w:rPr>
              <w:t>₂</w:t>
            </w:r>
            <w:r>
              <w:rPr>
                <w:rFonts w:ascii="宋体" w:hAnsi="宋体" w:eastAsia="宋体" w:cs="Times New Roman"/>
                <w:color w:val="000000"/>
              </w:rPr>
              <w:t>e/人·年</w:t>
            </w:r>
          </w:p>
        </w:tc>
        <w:tc>
          <w:tcPr>
            <w:tcW w:w="0" w:type="auto"/>
            <w:tcBorders>
              <w:top w:val="single" w:color="000000" w:sz="4" w:space="0"/>
            </w:tcBorders>
            <w:shd w:val="clear" w:color="auto" w:fill="FFFFFF"/>
          </w:tcPr>
          <w:p w14:paraId="763ED615">
            <w:pPr>
              <w:pStyle w:val="23"/>
              <w:rPr>
                <w:rFonts w:hint="eastAsia" w:ascii="宋体" w:hAnsi="宋体" w:eastAsia="宋体" w:cs="Times New Roman"/>
                <w:color w:val="000000"/>
              </w:rPr>
            </w:pPr>
            <w:r>
              <w:rPr>
                <w:rFonts w:ascii="宋体" w:hAnsi="宋体" w:eastAsia="宋体" w:cs="Times New Roman"/>
                <w:color w:val="000000"/>
              </w:rPr>
              <w:t>ICAO碳排放计算标准；作者计算</w:t>
            </w:r>
          </w:p>
        </w:tc>
      </w:tr>
      <w:tr w14:paraId="3DADAE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396449D2">
            <w:pPr>
              <w:pStyle w:val="23"/>
              <w:rPr>
                <w:rFonts w:hint="eastAsia" w:ascii="宋体" w:hAnsi="宋体" w:eastAsia="宋体" w:cs="Times New Roman"/>
                <w:color w:val="000000"/>
              </w:rPr>
            </w:pPr>
            <w:r>
              <w:rPr>
                <w:rFonts w:ascii="宋体" w:hAnsi="宋体" w:eastAsia="宋体" w:cs="Times New Roman"/>
                <w:color w:val="000000"/>
              </w:rPr>
              <w:t>高铁年碳排放量</w:t>
            </w:r>
          </w:p>
        </w:tc>
        <w:tc>
          <w:tcPr>
            <w:tcW w:w="0" w:type="auto"/>
            <w:shd w:val="clear" w:color="auto" w:fill="FFFFFF"/>
          </w:tcPr>
          <w:p w14:paraId="6DF5617F">
            <w:pPr>
              <w:pStyle w:val="23"/>
              <w:rPr>
                <w:rFonts w:hint="eastAsia" w:ascii="宋体" w:hAnsi="宋体" w:eastAsia="宋体" w:cs="Times New Roman"/>
                <w:color w:val="000000"/>
              </w:rPr>
            </w:pPr>
            <w:r>
              <w:rPr>
                <w:rFonts w:ascii="宋体" w:hAnsi="宋体" w:eastAsia="宋体" w:cs="Times New Roman"/>
                <w:color w:val="000000"/>
              </w:rPr>
              <w:t>等效高铁出行人均年碳排放量</w:t>
            </w:r>
          </w:p>
        </w:tc>
        <w:tc>
          <w:tcPr>
            <w:tcW w:w="0" w:type="auto"/>
            <w:shd w:val="clear" w:color="auto" w:fill="FFFFFF"/>
          </w:tcPr>
          <w:p w14:paraId="465047DC">
            <w:pPr>
              <w:pStyle w:val="23"/>
              <w:rPr>
                <w:rFonts w:hint="eastAsia" w:ascii="宋体" w:hAnsi="宋体" w:eastAsia="宋体" w:cs="Times New Roman"/>
                <w:color w:val="000000"/>
              </w:rPr>
            </w:pPr>
            <w:r>
              <w:rPr>
                <w:rFonts w:ascii="宋体" w:hAnsi="宋体" w:eastAsia="宋体" w:cs="Times New Roman"/>
                <w:color w:val="000000"/>
              </w:rPr>
              <w:t>129.38</w:t>
            </w:r>
          </w:p>
        </w:tc>
        <w:tc>
          <w:tcPr>
            <w:tcW w:w="0" w:type="auto"/>
            <w:shd w:val="clear" w:color="auto" w:fill="FFFFFF"/>
          </w:tcPr>
          <w:p w14:paraId="46970AB4">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shd w:val="clear" w:color="auto" w:fill="FFFFFF"/>
          </w:tcPr>
          <w:p w14:paraId="14630BE4">
            <w:pPr>
              <w:pStyle w:val="23"/>
              <w:rPr>
                <w:rFonts w:hint="eastAsia" w:ascii="宋体" w:hAnsi="宋体" w:eastAsia="宋体" w:cs="Times New Roman"/>
                <w:color w:val="000000"/>
              </w:rPr>
            </w:pPr>
            <w:r>
              <w:rPr>
                <w:rFonts w:ascii="宋体" w:hAnsi="宋体" w:eastAsia="宋体" w:cs="Times New Roman"/>
                <w:color w:val="000000"/>
              </w:rPr>
              <w:t>kgCO</w:t>
            </w:r>
            <w:r>
              <w:rPr>
                <w:rFonts w:ascii="Cambria Math" w:hAnsi="Cambria Math" w:eastAsia="宋体" w:cs="Cambria Math"/>
                <w:color w:val="000000"/>
              </w:rPr>
              <w:t>₂</w:t>
            </w:r>
            <w:r>
              <w:rPr>
                <w:rFonts w:ascii="宋体" w:hAnsi="宋体" w:eastAsia="宋体" w:cs="Times New Roman"/>
                <w:color w:val="000000"/>
              </w:rPr>
              <w:t>e/人·年</w:t>
            </w:r>
          </w:p>
        </w:tc>
        <w:tc>
          <w:tcPr>
            <w:tcW w:w="0" w:type="auto"/>
            <w:shd w:val="clear" w:color="auto" w:fill="FFFFFF"/>
          </w:tcPr>
          <w:p w14:paraId="0D53C2F7">
            <w:pPr>
              <w:pStyle w:val="23"/>
              <w:rPr>
                <w:rFonts w:hint="eastAsia" w:ascii="宋体" w:hAnsi="宋体" w:eastAsia="宋体" w:cs="Times New Roman"/>
                <w:color w:val="000000"/>
              </w:rPr>
            </w:pPr>
            <w:r>
              <w:rPr>
                <w:rFonts w:ascii="宋体" w:hAnsi="宋体" w:eastAsia="宋体" w:cs="Times New Roman"/>
                <w:color w:val="000000"/>
              </w:rPr>
              <w:t>国家铁路局电力消费统计；作者计算</w:t>
            </w:r>
          </w:p>
        </w:tc>
      </w:tr>
      <w:tr w14:paraId="022185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39" w:hRule="atLeast"/>
        </w:trPr>
        <w:tc>
          <w:tcPr>
            <w:tcW w:w="0" w:type="auto"/>
            <w:tcBorders>
              <w:bottom w:val="single" w:color="000000" w:sz="12" w:space="0"/>
            </w:tcBorders>
            <w:shd w:val="clear" w:color="auto" w:fill="FFFFFF"/>
          </w:tcPr>
          <w:p w14:paraId="2692B400">
            <w:pPr>
              <w:pStyle w:val="23"/>
              <w:rPr>
                <w:rFonts w:hint="eastAsia" w:ascii="宋体" w:hAnsi="宋体" w:eastAsia="宋体" w:cs="Times New Roman"/>
                <w:color w:val="000000"/>
              </w:rPr>
            </w:pPr>
            <w:r>
              <w:rPr>
                <w:rFonts w:ascii="宋体" w:hAnsi="宋体" w:eastAsia="宋体" w:cs="Times New Roman"/>
                <w:color w:val="000000"/>
              </w:rPr>
              <w:t>社会碳成本 (SCC)</w:t>
            </w:r>
          </w:p>
        </w:tc>
        <w:tc>
          <w:tcPr>
            <w:tcW w:w="0" w:type="auto"/>
            <w:tcBorders>
              <w:bottom w:val="single" w:color="000000" w:sz="12" w:space="0"/>
            </w:tcBorders>
            <w:shd w:val="clear" w:color="auto" w:fill="FFFFFF"/>
          </w:tcPr>
          <w:p w14:paraId="6525756E">
            <w:pPr>
              <w:pStyle w:val="23"/>
              <w:rPr>
                <w:rFonts w:hint="eastAsia" w:ascii="宋体" w:hAnsi="宋体" w:eastAsia="宋体" w:cs="Times New Roman"/>
                <w:color w:val="000000"/>
              </w:rPr>
            </w:pPr>
            <w:r>
              <w:rPr>
                <w:rFonts w:ascii="宋体" w:hAnsi="宋体" w:eastAsia="宋体" w:cs="Times New Roman"/>
                <w:color w:val="000000"/>
              </w:rPr>
              <w:t>每吨碳当量的社会成本</w:t>
            </w:r>
          </w:p>
        </w:tc>
        <w:tc>
          <w:tcPr>
            <w:tcW w:w="0" w:type="auto"/>
            <w:tcBorders>
              <w:bottom w:val="single" w:color="000000" w:sz="12" w:space="0"/>
            </w:tcBorders>
            <w:shd w:val="clear" w:color="auto" w:fill="FFFFFF"/>
          </w:tcPr>
          <w:p w14:paraId="2B0263EA">
            <w:pPr>
              <w:pStyle w:val="23"/>
              <w:rPr>
                <w:rFonts w:hint="eastAsia" w:ascii="宋体" w:hAnsi="宋体" w:eastAsia="宋体" w:cs="Times New Roman"/>
                <w:color w:val="000000"/>
              </w:rPr>
            </w:pPr>
            <w:r>
              <w:rPr>
                <w:rFonts w:ascii="宋体" w:hAnsi="宋体" w:eastAsia="宋体" w:cs="Times New Roman"/>
                <w:color w:val="000000"/>
              </w:rPr>
              <w:t>185</w:t>
            </w:r>
          </w:p>
        </w:tc>
        <w:tc>
          <w:tcPr>
            <w:tcW w:w="0" w:type="auto"/>
            <w:tcBorders>
              <w:bottom w:val="single" w:color="000000" w:sz="12" w:space="0"/>
            </w:tcBorders>
            <w:shd w:val="clear" w:color="auto" w:fill="FFFFFF"/>
          </w:tcPr>
          <w:p w14:paraId="32AB6755">
            <w:pPr>
              <w:pStyle w:val="23"/>
              <w:rPr>
                <w:rFonts w:hint="eastAsia" w:ascii="宋体" w:hAnsi="宋体" w:eastAsia="宋体" w:cs="Times New Roman"/>
                <w:color w:val="000000"/>
              </w:rPr>
            </w:pPr>
            <w:r>
              <w:rPr>
                <w:rFonts w:ascii="宋体" w:hAnsi="宋体" w:eastAsia="宋体" w:cs="Times New Roman"/>
                <w:color w:val="000000"/>
              </w:rPr>
              <w:t>44–413</w:t>
            </w:r>
          </w:p>
        </w:tc>
        <w:tc>
          <w:tcPr>
            <w:tcW w:w="0" w:type="auto"/>
            <w:tcBorders>
              <w:bottom w:val="single" w:color="000000" w:sz="12" w:space="0"/>
            </w:tcBorders>
            <w:shd w:val="clear" w:color="auto" w:fill="FFFFFF"/>
          </w:tcPr>
          <w:p w14:paraId="383DFF63">
            <w:pPr>
              <w:pStyle w:val="23"/>
              <w:rPr>
                <w:rFonts w:hint="eastAsia" w:ascii="宋体" w:hAnsi="宋体" w:eastAsia="宋体" w:cs="Times New Roman"/>
                <w:color w:val="000000"/>
              </w:rPr>
            </w:pPr>
            <w:r>
              <w:rPr>
                <w:rFonts w:ascii="宋体" w:hAnsi="宋体" w:eastAsia="宋体" w:cs="Times New Roman"/>
                <w:color w:val="000000"/>
              </w:rPr>
              <w:t>美元/tCO</w:t>
            </w:r>
            <w:r>
              <w:rPr>
                <w:rFonts w:ascii="Cambria Math" w:hAnsi="Cambria Math" w:eastAsia="宋体" w:cs="Cambria Math"/>
                <w:color w:val="000000"/>
              </w:rPr>
              <w:t>₂</w:t>
            </w:r>
            <w:r>
              <w:rPr>
                <w:rFonts w:ascii="宋体" w:hAnsi="宋体" w:eastAsia="宋体" w:cs="Times New Roman"/>
                <w:color w:val="000000"/>
              </w:rPr>
              <w:t>e</w:t>
            </w:r>
          </w:p>
        </w:tc>
        <w:tc>
          <w:tcPr>
            <w:tcW w:w="0" w:type="auto"/>
            <w:tcBorders>
              <w:bottom w:val="single" w:color="000000" w:sz="12" w:space="0"/>
            </w:tcBorders>
            <w:shd w:val="clear" w:color="auto" w:fill="FFFFFF"/>
          </w:tcPr>
          <w:p w14:paraId="47A05B39">
            <w:pPr>
              <w:pStyle w:val="23"/>
              <w:rPr>
                <w:rFonts w:hint="eastAsia" w:ascii="宋体" w:hAnsi="宋体" w:eastAsia="宋体" w:cs="Times New Roman"/>
                <w:color w:val="000000"/>
              </w:rPr>
            </w:pPr>
            <w:r>
              <w:rPr>
                <w:rFonts w:ascii="宋体" w:hAnsi="宋体" w:eastAsia="宋体" w:cs="Times New Roman"/>
                <w:color w:val="000000"/>
              </w:rPr>
              <w:t>Rennert et al. (2022), Nature</w:t>
            </w:r>
          </w:p>
        </w:tc>
      </w:tr>
      <w:tr w14:paraId="58A7F5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39" w:hRule="atLeast"/>
        </w:trPr>
        <w:tc>
          <w:tcPr>
            <w:tcW w:w="0" w:type="auto"/>
            <w:gridSpan w:val="6"/>
            <w:tcBorders>
              <w:top w:val="single" w:color="000000" w:sz="12" w:space="0"/>
              <w:bottom w:val="single" w:color="000000" w:sz="4" w:space="0"/>
              <w:tl2br w:val="nil"/>
            </w:tcBorders>
            <w:shd w:val="clear" w:color="auto" w:fill="FFFFFF"/>
          </w:tcPr>
          <w:p w14:paraId="53224C6A">
            <w:pPr>
              <w:pStyle w:val="23"/>
              <w:rPr>
                <w:rFonts w:hint="eastAsia" w:ascii="宋体" w:hAnsi="宋体" w:eastAsia="宋体" w:cs="Times New Roman"/>
                <w:color w:val="000000"/>
              </w:rPr>
            </w:pPr>
            <w:r>
              <w:rPr>
                <w:rFonts w:hint="eastAsia" w:ascii="宋体" w:hAnsi="宋体" w:eastAsia="宋体" w:cs="Times New Roman"/>
                <w:color w:val="000000"/>
              </w:rPr>
              <w:t>[</w:t>
            </w:r>
            <w:r>
              <w:rPr>
                <w:rFonts w:ascii="宋体" w:hAnsi="宋体" w:eastAsia="宋体" w:cs="Times New Roman"/>
                <w:color w:val="000000"/>
              </w:rPr>
              <w:t>核算结果</w:t>
            </w:r>
            <w:r>
              <w:rPr>
                <w:rFonts w:hint="eastAsia" w:ascii="宋体" w:hAnsi="宋体" w:eastAsia="宋体" w:cs="Times New Roman"/>
                <w:color w:val="000000"/>
              </w:rPr>
              <w:t>]</w:t>
            </w:r>
          </w:p>
        </w:tc>
      </w:tr>
      <w:tr w14:paraId="3B0DCE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tcBorders>
              <w:top w:val="single" w:color="000000" w:sz="4" w:space="0"/>
            </w:tcBorders>
            <w:shd w:val="clear" w:color="auto" w:fill="FFFFFF"/>
          </w:tcPr>
          <w:p w14:paraId="1CBDFA1F">
            <w:pPr>
              <w:pStyle w:val="23"/>
              <w:rPr>
                <w:rFonts w:hint="eastAsia" w:ascii="宋体" w:hAnsi="宋体" w:eastAsia="宋体" w:cs="Times New Roman"/>
                <w:color w:val="000000"/>
              </w:rPr>
            </w:pPr>
            <w:r>
              <w:rPr>
                <w:rFonts w:ascii="宋体" w:hAnsi="宋体" w:eastAsia="宋体" w:cs="Cambria Math"/>
                <w:color w:val="000000"/>
              </w:rPr>
              <w:t>△</w:t>
            </w:r>
            <w:r>
              <w:rPr>
                <w:rFonts w:ascii="宋体" w:hAnsi="宋体" w:eastAsia="宋体" w:cs="Times New Roman"/>
                <w:color w:val="000000"/>
              </w:rPr>
              <w:t>出行费用（票价）</w:t>
            </w:r>
          </w:p>
        </w:tc>
        <w:tc>
          <w:tcPr>
            <w:tcW w:w="0" w:type="auto"/>
            <w:tcBorders>
              <w:top w:val="single" w:color="000000" w:sz="4" w:space="0"/>
            </w:tcBorders>
            <w:shd w:val="clear" w:color="auto" w:fill="FFFFFF"/>
          </w:tcPr>
          <w:p w14:paraId="4563AAC1">
            <w:pPr>
              <w:pStyle w:val="23"/>
              <w:rPr>
                <w:rFonts w:hint="eastAsia" w:ascii="宋体" w:hAnsi="宋体" w:eastAsia="宋体" w:cs="Times New Roman"/>
                <w:color w:val="000000"/>
              </w:rPr>
            </w:pPr>
            <w:r>
              <w:rPr>
                <w:rFonts w:ascii="宋体" w:hAnsi="宋体" w:eastAsia="宋体" w:cs="Times New Roman"/>
                <w:color w:val="000000"/>
              </w:rPr>
              <w:t>高铁 vs. 飞机票价差额（净收益）</w:t>
            </w:r>
          </w:p>
        </w:tc>
        <w:tc>
          <w:tcPr>
            <w:tcW w:w="0" w:type="auto"/>
            <w:tcBorders>
              <w:top w:val="single" w:color="000000" w:sz="4" w:space="0"/>
            </w:tcBorders>
            <w:shd w:val="clear" w:color="auto" w:fill="FFFFFF"/>
          </w:tcPr>
          <w:p w14:paraId="633533A0">
            <w:pPr>
              <w:pStyle w:val="23"/>
              <w:rPr>
                <w:rFonts w:hint="eastAsia" w:ascii="宋体" w:hAnsi="宋体" w:eastAsia="宋体" w:cs="Times New Roman"/>
                <w:color w:val="000000"/>
              </w:rPr>
            </w:pPr>
            <w:r>
              <w:rPr>
                <w:rFonts w:ascii="宋体" w:hAnsi="宋体" w:eastAsia="宋体" w:cs="Times New Roman"/>
                <w:color w:val="000000"/>
              </w:rPr>
              <w:t>+190.63</w:t>
            </w:r>
          </w:p>
        </w:tc>
        <w:tc>
          <w:tcPr>
            <w:tcW w:w="0" w:type="auto"/>
            <w:tcBorders>
              <w:top w:val="single" w:color="000000" w:sz="4" w:space="0"/>
            </w:tcBorders>
            <w:shd w:val="clear" w:color="auto" w:fill="FFFFFF"/>
          </w:tcPr>
          <w:p w14:paraId="09AA0A71">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tcBorders>
              <w:top w:val="single" w:color="000000" w:sz="4" w:space="0"/>
            </w:tcBorders>
            <w:shd w:val="clear" w:color="auto" w:fill="FFFFFF"/>
          </w:tcPr>
          <w:p w14:paraId="6356F5ED">
            <w:pPr>
              <w:pStyle w:val="23"/>
              <w:rPr>
                <w:rFonts w:hint="eastAsia" w:ascii="宋体" w:hAnsi="宋体" w:eastAsia="宋体" w:cs="Times New Roman"/>
                <w:color w:val="000000"/>
              </w:rPr>
            </w:pPr>
            <w:r>
              <w:rPr>
                <w:rFonts w:ascii="宋体" w:hAnsi="宋体" w:eastAsia="宋体" w:cs="Times New Roman"/>
                <w:color w:val="000000"/>
              </w:rPr>
              <w:t>元/人·年</w:t>
            </w:r>
          </w:p>
        </w:tc>
        <w:tc>
          <w:tcPr>
            <w:tcW w:w="0" w:type="auto"/>
            <w:tcBorders>
              <w:top w:val="single" w:color="000000" w:sz="4" w:space="0"/>
            </w:tcBorders>
            <w:shd w:val="clear" w:color="auto" w:fill="FFFFFF"/>
          </w:tcPr>
          <w:p w14:paraId="01512ABE">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2885F3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28ED78EA">
            <w:pPr>
              <w:pStyle w:val="23"/>
              <w:rPr>
                <w:rFonts w:hint="eastAsia" w:ascii="宋体" w:hAnsi="宋体" w:eastAsia="宋体" w:cs="Times New Roman"/>
                <w:color w:val="000000"/>
              </w:rPr>
            </w:pPr>
            <w:r>
              <w:rPr>
                <w:rFonts w:ascii="宋体" w:hAnsi="宋体" w:eastAsia="宋体" w:cs="Cambria Math"/>
                <w:color w:val="000000"/>
              </w:rPr>
              <w:t>△</w:t>
            </w:r>
            <w:r>
              <w:rPr>
                <w:rFonts w:ascii="宋体" w:hAnsi="宋体" w:eastAsia="宋体" w:cs="Times New Roman"/>
                <w:color w:val="000000"/>
              </w:rPr>
              <w:t>时间机会成本</w:t>
            </w:r>
          </w:p>
        </w:tc>
        <w:tc>
          <w:tcPr>
            <w:tcW w:w="0" w:type="auto"/>
            <w:shd w:val="clear" w:color="auto" w:fill="FFFFFF"/>
          </w:tcPr>
          <w:p w14:paraId="06709728">
            <w:pPr>
              <w:pStyle w:val="23"/>
              <w:rPr>
                <w:rFonts w:hint="eastAsia" w:ascii="宋体" w:hAnsi="宋体" w:eastAsia="宋体" w:cs="Times New Roman"/>
                <w:color w:val="000000"/>
              </w:rPr>
            </w:pPr>
            <w:r>
              <w:rPr>
                <w:rFonts w:ascii="宋体" w:hAnsi="宋体" w:eastAsia="宋体" w:cs="Times New Roman"/>
                <w:color w:val="000000"/>
              </w:rPr>
              <w:t>高铁出行时间更长带来的额外时间损失</w:t>
            </w:r>
          </w:p>
        </w:tc>
        <w:tc>
          <w:tcPr>
            <w:tcW w:w="0" w:type="auto"/>
            <w:shd w:val="clear" w:color="auto" w:fill="FFFFFF"/>
          </w:tcPr>
          <w:p w14:paraId="50F34C36">
            <w:pPr>
              <w:pStyle w:val="23"/>
              <w:rPr>
                <w:rFonts w:hint="eastAsia" w:ascii="宋体" w:hAnsi="宋体" w:eastAsia="宋体" w:cs="Times New Roman"/>
                <w:color w:val="000000"/>
              </w:rPr>
            </w:pPr>
            <w:r>
              <w:rPr>
                <w:rFonts w:ascii="Cambria Math" w:hAnsi="Cambria Math" w:eastAsia="宋体" w:cs="Cambria Math"/>
                <w:color w:val="000000"/>
              </w:rPr>
              <w:t>−</w:t>
            </w:r>
            <w:r>
              <w:rPr>
                <w:rFonts w:ascii="宋体" w:hAnsi="宋体" w:eastAsia="宋体" w:cs="Times New Roman"/>
                <w:color w:val="000000"/>
              </w:rPr>
              <w:t>692.37</w:t>
            </w:r>
          </w:p>
        </w:tc>
        <w:tc>
          <w:tcPr>
            <w:tcW w:w="0" w:type="auto"/>
            <w:shd w:val="clear" w:color="auto" w:fill="FFFFFF"/>
          </w:tcPr>
          <w:p w14:paraId="09ED7D30">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shd w:val="clear" w:color="auto" w:fill="FFFFFF"/>
          </w:tcPr>
          <w:p w14:paraId="291607E3">
            <w:pPr>
              <w:pStyle w:val="23"/>
              <w:rPr>
                <w:rFonts w:hint="eastAsia" w:ascii="宋体" w:hAnsi="宋体" w:eastAsia="宋体" w:cs="Times New Roman"/>
                <w:color w:val="000000"/>
              </w:rPr>
            </w:pPr>
            <w:r>
              <w:rPr>
                <w:rFonts w:ascii="宋体" w:hAnsi="宋体" w:eastAsia="宋体" w:cs="Times New Roman"/>
                <w:color w:val="000000"/>
              </w:rPr>
              <w:t>元/人·年</w:t>
            </w:r>
          </w:p>
        </w:tc>
        <w:tc>
          <w:tcPr>
            <w:tcW w:w="0" w:type="auto"/>
            <w:shd w:val="clear" w:color="auto" w:fill="FFFFFF"/>
          </w:tcPr>
          <w:p w14:paraId="2D6F3A98">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5DDC6B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6D7FFA9A">
            <w:pPr>
              <w:pStyle w:val="23"/>
              <w:rPr>
                <w:rFonts w:hint="eastAsia" w:ascii="宋体" w:hAnsi="宋体" w:eastAsia="宋体" w:cs="Times New Roman"/>
                <w:color w:val="000000"/>
              </w:rPr>
            </w:pPr>
            <w:r>
              <w:rPr>
                <w:rFonts w:ascii="宋体" w:hAnsi="宋体" w:eastAsia="宋体" w:cs="Cambria Math"/>
                <w:color w:val="000000"/>
              </w:rPr>
              <w:t>△</w:t>
            </w:r>
            <w:r>
              <w:rPr>
                <w:rFonts w:ascii="宋体" w:hAnsi="宋体" w:eastAsia="宋体" w:cs="Times New Roman"/>
                <w:color w:val="000000"/>
              </w:rPr>
              <w:t>延误取消成本</w:t>
            </w:r>
          </w:p>
        </w:tc>
        <w:tc>
          <w:tcPr>
            <w:tcW w:w="0" w:type="auto"/>
            <w:shd w:val="clear" w:color="auto" w:fill="FFFFFF"/>
          </w:tcPr>
          <w:p w14:paraId="6A928D7B">
            <w:pPr>
              <w:pStyle w:val="23"/>
              <w:rPr>
                <w:rFonts w:hint="eastAsia" w:ascii="宋体" w:hAnsi="宋体" w:eastAsia="宋体" w:cs="Times New Roman"/>
                <w:color w:val="000000"/>
              </w:rPr>
            </w:pPr>
            <w:r>
              <w:rPr>
                <w:rFonts w:ascii="宋体" w:hAnsi="宋体" w:eastAsia="宋体" w:cs="Times New Roman"/>
                <w:color w:val="000000"/>
              </w:rPr>
              <w:t>延误取消成本差额（净收益）</w:t>
            </w:r>
          </w:p>
        </w:tc>
        <w:tc>
          <w:tcPr>
            <w:tcW w:w="0" w:type="auto"/>
            <w:shd w:val="clear" w:color="auto" w:fill="FFFFFF"/>
          </w:tcPr>
          <w:p w14:paraId="2146F680">
            <w:pPr>
              <w:pStyle w:val="23"/>
              <w:rPr>
                <w:rFonts w:hint="eastAsia" w:ascii="宋体" w:hAnsi="宋体" w:eastAsia="宋体" w:cs="Times New Roman"/>
                <w:color w:val="000000"/>
              </w:rPr>
            </w:pPr>
            <w:r>
              <w:rPr>
                <w:rFonts w:ascii="宋体" w:hAnsi="宋体" w:eastAsia="宋体" w:cs="Times New Roman"/>
                <w:color w:val="000000"/>
              </w:rPr>
              <w:t>+220.10</w:t>
            </w:r>
          </w:p>
        </w:tc>
        <w:tc>
          <w:tcPr>
            <w:tcW w:w="0" w:type="auto"/>
            <w:shd w:val="clear" w:color="auto" w:fill="FFFFFF"/>
          </w:tcPr>
          <w:p w14:paraId="215076F7">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shd w:val="clear" w:color="auto" w:fill="FFFFFF"/>
          </w:tcPr>
          <w:p w14:paraId="46D30E29">
            <w:pPr>
              <w:pStyle w:val="23"/>
              <w:rPr>
                <w:rFonts w:hint="eastAsia" w:ascii="宋体" w:hAnsi="宋体" w:eastAsia="宋体" w:cs="Times New Roman"/>
                <w:color w:val="000000"/>
              </w:rPr>
            </w:pPr>
            <w:r>
              <w:rPr>
                <w:rFonts w:ascii="宋体" w:hAnsi="宋体" w:eastAsia="宋体" w:cs="Times New Roman"/>
                <w:color w:val="000000"/>
              </w:rPr>
              <w:t>元/人·年</w:t>
            </w:r>
          </w:p>
        </w:tc>
        <w:tc>
          <w:tcPr>
            <w:tcW w:w="0" w:type="auto"/>
            <w:shd w:val="clear" w:color="auto" w:fill="FFFFFF"/>
          </w:tcPr>
          <w:p w14:paraId="1D243B9D">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576976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75BA4D83">
            <w:pPr>
              <w:pStyle w:val="23"/>
              <w:rPr>
                <w:rFonts w:hint="eastAsia" w:ascii="宋体" w:hAnsi="宋体" w:eastAsia="宋体" w:cs="Times New Roman"/>
                <w:color w:val="000000"/>
              </w:rPr>
            </w:pPr>
            <w:r>
              <w:rPr>
                <w:rFonts w:ascii="宋体" w:hAnsi="宋体" w:eastAsia="宋体" w:cs="Times New Roman"/>
                <w:color w:val="000000"/>
              </w:rPr>
              <w:t>个人福利净变化</w:t>
            </w:r>
          </w:p>
        </w:tc>
        <w:tc>
          <w:tcPr>
            <w:tcW w:w="0" w:type="auto"/>
            <w:shd w:val="clear" w:color="auto" w:fill="FFFFFF"/>
          </w:tcPr>
          <w:p w14:paraId="76845D8F">
            <w:pPr>
              <w:pStyle w:val="23"/>
              <w:rPr>
                <w:rFonts w:hint="eastAsia" w:ascii="宋体" w:hAnsi="宋体" w:eastAsia="宋体" w:cs="Times New Roman"/>
                <w:color w:val="000000"/>
              </w:rPr>
            </w:pPr>
            <w:r>
              <w:rPr>
                <w:rFonts w:ascii="宋体" w:hAnsi="宋体" w:eastAsia="宋体" w:cs="Times New Roman"/>
                <w:color w:val="000000"/>
              </w:rPr>
              <w:t>个人层面综合福利变化</w:t>
            </w:r>
          </w:p>
        </w:tc>
        <w:tc>
          <w:tcPr>
            <w:tcW w:w="0" w:type="auto"/>
            <w:shd w:val="clear" w:color="auto" w:fill="FFFFFF"/>
          </w:tcPr>
          <w:p w14:paraId="27EEC05E">
            <w:pPr>
              <w:pStyle w:val="23"/>
              <w:rPr>
                <w:rFonts w:hint="eastAsia" w:ascii="宋体" w:hAnsi="宋体" w:eastAsia="宋体" w:cs="Times New Roman"/>
                <w:color w:val="000000"/>
              </w:rPr>
            </w:pPr>
            <w:r>
              <w:rPr>
                <w:rFonts w:ascii="Cambria Math" w:hAnsi="Cambria Math" w:eastAsia="宋体" w:cs="Cambria Math"/>
                <w:color w:val="000000"/>
              </w:rPr>
              <w:t>−</w:t>
            </w:r>
            <w:r>
              <w:rPr>
                <w:rFonts w:ascii="宋体" w:hAnsi="宋体" w:eastAsia="宋体" w:cs="Times New Roman"/>
                <w:color w:val="000000"/>
              </w:rPr>
              <w:t>281.64</w:t>
            </w:r>
          </w:p>
        </w:tc>
        <w:tc>
          <w:tcPr>
            <w:tcW w:w="0" w:type="auto"/>
            <w:shd w:val="clear" w:color="auto" w:fill="FFFFFF"/>
          </w:tcPr>
          <w:p w14:paraId="4E089079">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shd w:val="clear" w:color="auto" w:fill="FFFFFF"/>
          </w:tcPr>
          <w:p w14:paraId="5B67AE56">
            <w:pPr>
              <w:pStyle w:val="23"/>
              <w:rPr>
                <w:rFonts w:hint="eastAsia" w:ascii="宋体" w:hAnsi="宋体" w:eastAsia="宋体" w:cs="Times New Roman"/>
                <w:color w:val="000000"/>
              </w:rPr>
            </w:pPr>
            <w:r>
              <w:rPr>
                <w:rFonts w:ascii="宋体" w:hAnsi="宋体" w:eastAsia="宋体" w:cs="Times New Roman"/>
                <w:color w:val="000000"/>
              </w:rPr>
              <w:t>元/人·年</w:t>
            </w:r>
          </w:p>
        </w:tc>
        <w:tc>
          <w:tcPr>
            <w:tcW w:w="0" w:type="auto"/>
            <w:shd w:val="clear" w:color="auto" w:fill="FFFFFF"/>
          </w:tcPr>
          <w:p w14:paraId="3F318D2D">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1D4DFD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2477F09F">
            <w:pPr>
              <w:pStyle w:val="23"/>
              <w:rPr>
                <w:rFonts w:hint="eastAsia" w:ascii="宋体" w:hAnsi="宋体" w:eastAsia="宋体" w:cs="Times New Roman"/>
                <w:color w:val="000000"/>
              </w:rPr>
            </w:pPr>
            <w:r>
              <w:rPr>
                <w:rFonts w:ascii="宋体" w:hAnsi="宋体" w:eastAsia="宋体" w:cs="Times New Roman"/>
                <w:color w:val="000000"/>
              </w:rPr>
              <w:t>年减排量</w:t>
            </w:r>
          </w:p>
        </w:tc>
        <w:tc>
          <w:tcPr>
            <w:tcW w:w="0" w:type="auto"/>
            <w:shd w:val="clear" w:color="auto" w:fill="FFFFFF"/>
          </w:tcPr>
          <w:p w14:paraId="241442C8">
            <w:pPr>
              <w:pStyle w:val="23"/>
              <w:rPr>
                <w:rFonts w:hint="eastAsia" w:ascii="宋体" w:hAnsi="宋体" w:eastAsia="宋体" w:cs="Times New Roman"/>
                <w:color w:val="000000"/>
              </w:rPr>
            </w:pPr>
            <w:r>
              <w:rPr>
                <w:rFonts w:ascii="宋体" w:hAnsi="宋体" w:eastAsia="宋体" w:cs="Times New Roman"/>
                <w:color w:val="000000"/>
              </w:rPr>
              <w:t>每人每年节约的碳排放量</w:t>
            </w:r>
          </w:p>
        </w:tc>
        <w:tc>
          <w:tcPr>
            <w:tcW w:w="0" w:type="auto"/>
            <w:shd w:val="clear" w:color="auto" w:fill="FFFFFF"/>
          </w:tcPr>
          <w:p w14:paraId="10310B2B">
            <w:pPr>
              <w:pStyle w:val="23"/>
              <w:rPr>
                <w:rFonts w:hint="eastAsia" w:ascii="宋体" w:hAnsi="宋体" w:eastAsia="宋体" w:cs="Times New Roman"/>
                <w:color w:val="000000"/>
              </w:rPr>
            </w:pPr>
            <w:r>
              <w:rPr>
                <w:rFonts w:ascii="宋体" w:hAnsi="宋体" w:eastAsia="宋体" w:cs="Times New Roman"/>
                <w:color w:val="000000"/>
              </w:rPr>
              <w:t>371.78</w:t>
            </w:r>
          </w:p>
        </w:tc>
        <w:tc>
          <w:tcPr>
            <w:tcW w:w="0" w:type="auto"/>
            <w:shd w:val="clear" w:color="auto" w:fill="FFFFFF"/>
          </w:tcPr>
          <w:p w14:paraId="464AD384">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shd w:val="clear" w:color="auto" w:fill="FFFFFF"/>
          </w:tcPr>
          <w:p w14:paraId="0D2277DD">
            <w:pPr>
              <w:pStyle w:val="23"/>
              <w:rPr>
                <w:rFonts w:hint="eastAsia" w:ascii="宋体" w:hAnsi="宋体" w:eastAsia="宋体" w:cs="Times New Roman"/>
                <w:color w:val="000000"/>
              </w:rPr>
            </w:pPr>
            <w:r>
              <w:rPr>
                <w:rFonts w:ascii="宋体" w:hAnsi="宋体" w:eastAsia="宋体" w:cs="Times New Roman"/>
                <w:color w:val="000000"/>
              </w:rPr>
              <w:t>kgCO</w:t>
            </w:r>
            <w:r>
              <w:rPr>
                <w:rFonts w:ascii="Cambria Math" w:hAnsi="Cambria Math" w:eastAsia="宋体" w:cs="Cambria Math"/>
                <w:color w:val="000000"/>
              </w:rPr>
              <w:t>₂</w:t>
            </w:r>
            <w:r>
              <w:rPr>
                <w:rFonts w:ascii="宋体" w:hAnsi="宋体" w:eastAsia="宋体" w:cs="Times New Roman"/>
                <w:color w:val="000000"/>
              </w:rPr>
              <w:t>e/人·年</w:t>
            </w:r>
          </w:p>
        </w:tc>
        <w:tc>
          <w:tcPr>
            <w:tcW w:w="0" w:type="auto"/>
            <w:shd w:val="clear" w:color="auto" w:fill="FFFFFF"/>
          </w:tcPr>
          <w:p w14:paraId="69484B34">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5CAA77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9" w:hRule="atLeast"/>
        </w:trPr>
        <w:tc>
          <w:tcPr>
            <w:tcW w:w="0" w:type="auto"/>
            <w:shd w:val="clear" w:color="auto" w:fill="FFFFFF"/>
          </w:tcPr>
          <w:p w14:paraId="1862CFAA">
            <w:pPr>
              <w:pStyle w:val="23"/>
              <w:rPr>
                <w:rFonts w:hint="eastAsia" w:ascii="宋体" w:hAnsi="宋体" w:eastAsia="宋体" w:cs="Times New Roman"/>
                <w:color w:val="000000"/>
              </w:rPr>
            </w:pPr>
            <w:r>
              <w:rPr>
                <w:rFonts w:ascii="宋体" w:hAnsi="宋体" w:eastAsia="宋体" w:cs="Times New Roman"/>
                <w:color w:val="000000"/>
              </w:rPr>
              <w:t>社会福利净变化</w:t>
            </w:r>
          </w:p>
        </w:tc>
        <w:tc>
          <w:tcPr>
            <w:tcW w:w="0" w:type="auto"/>
            <w:shd w:val="clear" w:color="auto" w:fill="FFFFFF"/>
          </w:tcPr>
          <w:p w14:paraId="66D652B4">
            <w:pPr>
              <w:pStyle w:val="23"/>
              <w:rPr>
                <w:rFonts w:hint="eastAsia" w:ascii="宋体" w:hAnsi="宋体" w:eastAsia="宋体" w:cs="Times New Roman"/>
                <w:color w:val="000000"/>
              </w:rPr>
            </w:pPr>
            <w:r>
              <w:rPr>
                <w:rFonts w:ascii="宋体" w:hAnsi="宋体" w:eastAsia="宋体" w:cs="Times New Roman"/>
                <w:color w:val="000000"/>
              </w:rPr>
              <w:t>含碳减排收益的社会层面福利变化</w:t>
            </w:r>
          </w:p>
        </w:tc>
        <w:tc>
          <w:tcPr>
            <w:tcW w:w="0" w:type="auto"/>
            <w:shd w:val="clear" w:color="auto" w:fill="FFFFFF"/>
          </w:tcPr>
          <w:p w14:paraId="3AF0F799">
            <w:pPr>
              <w:pStyle w:val="23"/>
              <w:rPr>
                <w:rFonts w:hint="eastAsia" w:ascii="宋体" w:hAnsi="宋体" w:eastAsia="宋体" w:cs="Times New Roman"/>
                <w:color w:val="000000"/>
              </w:rPr>
            </w:pPr>
            <w:r>
              <w:rPr>
                <w:rFonts w:ascii="宋体" w:hAnsi="宋体" w:eastAsia="宋体" w:cs="Times New Roman"/>
                <w:color w:val="000000"/>
              </w:rPr>
              <w:t>+199.82</w:t>
            </w:r>
          </w:p>
        </w:tc>
        <w:tc>
          <w:tcPr>
            <w:tcW w:w="0" w:type="auto"/>
            <w:shd w:val="clear" w:color="auto" w:fill="FFFFFF"/>
          </w:tcPr>
          <w:p w14:paraId="0357F576">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shd w:val="clear" w:color="auto" w:fill="FFFFFF"/>
          </w:tcPr>
          <w:p w14:paraId="0AD67855">
            <w:pPr>
              <w:pStyle w:val="23"/>
              <w:rPr>
                <w:rFonts w:hint="eastAsia" w:ascii="宋体" w:hAnsi="宋体" w:eastAsia="宋体" w:cs="Times New Roman"/>
                <w:color w:val="000000"/>
              </w:rPr>
            </w:pPr>
            <w:r>
              <w:rPr>
                <w:rFonts w:ascii="宋体" w:hAnsi="宋体" w:eastAsia="宋体" w:cs="Times New Roman"/>
                <w:color w:val="000000"/>
              </w:rPr>
              <w:t>元/人·年</w:t>
            </w:r>
          </w:p>
        </w:tc>
        <w:tc>
          <w:tcPr>
            <w:tcW w:w="0" w:type="auto"/>
            <w:shd w:val="clear" w:color="auto" w:fill="FFFFFF"/>
          </w:tcPr>
          <w:p w14:paraId="55156632">
            <w:pPr>
              <w:pStyle w:val="23"/>
              <w:rPr>
                <w:rFonts w:hint="eastAsia" w:ascii="宋体" w:hAnsi="宋体" w:eastAsia="宋体" w:cs="Times New Roman"/>
                <w:color w:val="000000"/>
              </w:rPr>
            </w:pPr>
            <w:r>
              <w:rPr>
                <w:rFonts w:ascii="宋体" w:hAnsi="宋体" w:eastAsia="宋体" w:cs="Times New Roman"/>
                <w:color w:val="000000"/>
              </w:rPr>
              <w:t>综合计算</w:t>
            </w:r>
          </w:p>
        </w:tc>
      </w:tr>
      <w:tr w14:paraId="455A54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49" w:hRule="atLeast"/>
        </w:trPr>
        <w:tc>
          <w:tcPr>
            <w:tcW w:w="0" w:type="auto"/>
            <w:tcBorders>
              <w:bottom w:val="single" w:color="000000" w:sz="12" w:space="0"/>
            </w:tcBorders>
            <w:shd w:val="clear" w:color="auto" w:fill="FFFFFF"/>
          </w:tcPr>
          <w:p w14:paraId="492308EA">
            <w:pPr>
              <w:pStyle w:val="23"/>
              <w:rPr>
                <w:rFonts w:hint="eastAsia" w:ascii="宋体" w:hAnsi="宋体" w:eastAsia="宋体" w:cs="Times New Roman"/>
                <w:color w:val="000000"/>
              </w:rPr>
            </w:pPr>
            <w:r>
              <w:rPr>
                <w:rFonts w:ascii="宋体" w:hAnsi="宋体" w:eastAsia="宋体" w:cs="Times New Roman"/>
                <w:color w:val="000000"/>
              </w:rPr>
              <w:t>减排成本</w:t>
            </w:r>
          </w:p>
        </w:tc>
        <w:tc>
          <w:tcPr>
            <w:tcW w:w="0" w:type="auto"/>
            <w:tcBorders>
              <w:bottom w:val="single" w:color="000000" w:sz="12" w:space="0"/>
            </w:tcBorders>
            <w:shd w:val="clear" w:color="auto" w:fill="FFFFFF"/>
          </w:tcPr>
          <w:p w14:paraId="289F9341">
            <w:pPr>
              <w:pStyle w:val="23"/>
              <w:rPr>
                <w:rFonts w:hint="eastAsia" w:ascii="宋体" w:hAnsi="宋体" w:eastAsia="宋体" w:cs="Times New Roman"/>
                <w:color w:val="000000"/>
              </w:rPr>
            </w:pPr>
            <w:r>
              <w:rPr>
                <w:rFonts w:ascii="宋体" w:hAnsi="宋体" w:eastAsia="宋体" w:cs="Times New Roman"/>
                <w:color w:val="000000"/>
              </w:rPr>
              <w:t>单位减排量的私人成本</w:t>
            </w:r>
          </w:p>
        </w:tc>
        <w:tc>
          <w:tcPr>
            <w:tcW w:w="0" w:type="auto"/>
            <w:tcBorders>
              <w:bottom w:val="single" w:color="000000" w:sz="12" w:space="0"/>
            </w:tcBorders>
            <w:shd w:val="clear" w:color="auto" w:fill="FFFFFF"/>
          </w:tcPr>
          <w:p w14:paraId="303EA3FE">
            <w:pPr>
              <w:pStyle w:val="23"/>
              <w:rPr>
                <w:rFonts w:hint="eastAsia" w:ascii="宋体" w:hAnsi="宋体" w:eastAsia="宋体" w:cs="Times New Roman"/>
                <w:color w:val="000000"/>
              </w:rPr>
            </w:pPr>
            <w:r>
              <w:rPr>
                <w:rFonts w:ascii="宋体" w:hAnsi="宋体" w:eastAsia="宋体" w:cs="Times New Roman"/>
                <w:color w:val="000000"/>
              </w:rPr>
              <w:t>758</w:t>
            </w:r>
          </w:p>
        </w:tc>
        <w:tc>
          <w:tcPr>
            <w:tcW w:w="0" w:type="auto"/>
            <w:tcBorders>
              <w:bottom w:val="single" w:color="000000" w:sz="12" w:space="0"/>
            </w:tcBorders>
            <w:shd w:val="clear" w:color="auto" w:fill="FFFFFF"/>
          </w:tcPr>
          <w:p w14:paraId="66CBB404">
            <w:pPr>
              <w:pStyle w:val="23"/>
              <w:rPr>
                <w:rFonts w:hint="eastAsia" w:ascii="宋体" w:hAnsi="宋体" w:eastAsia="宋体" w:cs="Times New Roman"/>
                <w:color w:val="000000"/>
              </w:rPr>
            </w:pPr>
            <w:r>
              <w:rPr>
                <w:rFonts w:ascii="宋体" w:hAnsi="宋体" w:eastAsia="宋体" w:cs="Times New Roman"/>
                <w:color w:val="000000"/>
              </w:rPr>
              <w:t>—</w:t>
            </w:r>
          </w:p>
        </w:tc>
        <w:tc>
          <w:tcPr>
            <w:tcW w:w="0" w:type="auto"/>
            <w:tcBorders>
              <w:bottom w:val="single" w:color="000000" w:sz="12" w:space="0"/>
            </w:tcBorders>
            <w:shd w:val="clear" w:color="auto" w:fill="FFFFFF"/>
          </w:tcPr>
          <w:p w14:paraId="7C502D30">
            <w:pPr>
              <w:pStyle w:val="23"/>
              <w:rPr>
                <w:rFonts w:hint="eastAsia" w:ascii="宋体" w:hAnsi="宋体" w:eastAsia="宋体" w:cs="Times New Roman"/>
                <w:color w:val="000000"/>
              </w:rPr>
            </w:pPr>
            <w:r>
              <w:rPr>
                <w:rFonts w:ascii="宋体" w:hAnsi="宋体" w:eastAsia="宋体" w:cs="Times New Roman"/>
                <w:color w:val="000000"/>
              </w:rPr>
              <w:t>元/tCO</w:t>
            </w:r>
            <w:r>
              <w:rPr>
                <w:rFonts w:ascii="Cambria Math" w:hAnsi="Cambria Math" w:eastAsia="宋体" w:cs="Cambria Math"/>
                <w:color w:val="000000"/>
              </w:rPr>
              <w:t>₂</w:t>
            </w:r>
            <w:r>
              <w:rPr>
                <w:rFonts w:ascii="宋体" w:hAnsi="宋体" w:eastAsia="宋体" w:cs="Times New Roman"/>
                <w:color w:val="000000"/>
              </w:rPr>
              <w:t>e</w:t>
            </w:r>
          </w:p>
        </w:tc>
        <w:tc>
          <w:tcPr>
            <w:tcW w:w="0" w:type="auto"/>
            <w:tcBorders>
              <w:bottom w:val="single" w:color="000000" w:sz="12" w:space="0"/>
            </w:tcBorders>
            <w:shd w:val="clear" w:color="auto" w:fill="FFFFFF"/>
          </w:tcPr>
          <w:p w14:paraId="5B1891A2">
            <w:pPr>
              <w:pStyle w:val="23"/>
              <w:rPr>
                <w:rFonts w:hint="eastAsia" w:ascii="宋体" w:hAnsi="宋体" w:eastAsia="宋体" w:cs="Times New Roman"/>
                <w:color w:val="000000"/>
              </w:rPr>
            </w:pPr>
            <w:r>
              <w:rPr>
                <w:rFonts w:ascii="宋体" w:hAnsi="宋体" w:eastAsia="宋体" w:cs="Times New Roman"/>
                <w:color w:val="000000"/>
              </w:rPr>
              <w:t>综合计算</w:t>
            </w:r>
          </w:p>
        </w:tc>
      </w:tr>
    </w:tbl>
    <w:p w14:paraId="7EF25349">
      <w:pPr>
        <w:ind w:firstLine="480"/>
        <w:rPr>
          <w:rFonts w:cs="Times New Roman"/>
        </w:rPr>
      </w:pPr>
    </w:p>
    <w:p w14:paraId="0C903079">
      <w:pPr>
        <w:ind w:firstLine="480"/>
      </w:pPr>
      <w:r>
        <w:br w:type="page"/>
      </w:r>
    </w:p>
    <w:p w14:paraId="71C23559">
      <w:pPr>
        <w:pStyle w:val="4"/>
        <w:bidi w:val="0"/>
        <w:rPr>
          <w:rFonts w:hint="default"/>
        </w:rPr>
      </w:pPr>
      <w:bookmarkStart w:id="53" w:name="_Toc22457"/>
      <w:r>
        <w:t>D.</w:t>
      </w:r>
      <w:r>
        <w:rPr>
          <w:rFonts w:hint="default"/>
        </w:rPr>
        <w:t>5 燃油车换购纯电动汽车</w:t>
      </w:r>
      <w:bookmarkEnd w:id="53"/>
    </w:p>
    <w:p w14:paraId="119E8337">
      <w:pPr>
        <w:pStyle w:val="5"/>
        <w:ind w:firstLine="562"/>
        <w:rPr>
          <w:rFonts w:cs="Times New Roman"/>
        </w:rPr>
      </w:pPr>
      <w:r>
        <w:rPr>
          <w:rFonts w:hint="eastAsia" w:cs="Times New Roman"/>
        </w:rPr>
        <w:t>D.</w:t>
      </w:r>
      <w:r>
        <w:rPr>
          <w:rFonts w:cs="Times New Roman"/>
        </w:rPr>
        <w:t>5.1 定义</w:t>
      </w:r>
    </w:p>
    <w:p w14:paraId="224CB993">
      <w:pPr>
        <w:ind w:firstLine="480"/>
        <w:rPr>
          <w:rFonts w:cs="Times New Roman"/>
        </w:rPr>
      </w:pPr>
      <w:r>
        <w:rPr>
          <w:rFonts w:cs="Times New Roman"/>
        </w:rPr>
        <w:t>本分析仅考虑燃油车（ICEV）向纯电动汽车（BEV）的转换，不涉及混合动力车型，因BEV为中国消费者的主流选择。假设ICEV与BEV的行驶模式完全相同（即出行次数、距离、时间、停车费及路桥费一致），因此上述项目的成本差异为零。</w:t>
      </w:r>
    </w:p>
    <w:p w14:paraId="1EBE311C">
      <w:pPr>
        <w:pStyle w:val="5"/>
        <w:ind w:firstLine="562"/>
        <w:rPr>
          <w:rFonts w:cs="Times New Roman"/>
        </w:rPr>
      </w:pPr>
      <w:r>
        <w:rPr>
          <w:rFonts w:hint="eastAsia" w:cs="Times New Roman"/>
        </w:rPr>
        <w:t>D.</w:t>
      </w:r>
      <w:r>
        <w:rPr>
          <w:rFonts w:cs="Times New Roman"/>
        </w:rPr>
        <w:t>5.2 测量</w:t>
      </w:r>
    </w:p>
    <w:p w14:paraId="3DC1B9BE">
      <w:pPr>
        <w:ind w:firstLine="480"/>
        <w:rPr>
          <w:rFonts w:cs="Times New Roman"/>
        </w:rPr>
      </w:pPr>
      <w:r>
        <w:rPr>
          <w:rFonts w:cs="Times New Roman"/>
        </w:rPr>
        <w:t>本行为净福利变化等于驾驶BEV的年化成本减去驾驶ICEV的年化成本：</w:t>
      </w:r>
    </w:p>
    <w:p w14:paraId="2ECEB72C">
      <w:pPr>
        <w:ind w:firstLine="480"/>
        <w:rPr>
          <w:rFonts w:cs="Times New Roman"/>
        </w:rPr>
      </w:pPr>
      <w:r>
        <w:rPr>
          <w:rFonts w:cs="Times New Roman"/>
        </w:rPr>
        <w:t>ΔWelfare = [(FuelCost_BEV − FuelCost_ICEV) + (Purchase_BEV − Purchase_ICEV) + (Maint_BEV − Maint_ICEV) + SearchWait_BEV] / Occupancy</w:t>
      </w:r>
    </w:p>
    <w:p w14:paraId="7ECC32DF">
      <w:pPr>
        <w:ind w:firstLine="480"/>
        <w:rPr>
          <w:rFonts w:cs="Times New Roman"/>
        </w:rPr>
      </w:pPr>
      <w:r>
        <w:rPr>
          <w:rFonts w:cs="Times New Roman"/>
        </w:rPr>
        <w:t>其中，FuelCost 为年度燃料/电费；Purchase 为摊销购车成本；Maint 为年维护成本；SearchWait_BEV 为因充电桩不足导致的搜寻等待成本；Occupancy 为车均载客数（用于从车辆级别转换至人均）。</w:t>
      </w:r>
    </w:p>
    <w:p w14:paraId="1807910C">
      <w:pPr>
        <w:pStyle w:val="5"/>
        <w:ind w:firstLine="562"/>
        <w:rPr>
          <w:rFonts w:cs="Times New Roman"/>
        </w:rPr>
      </w:pPr>
      <w:r>
        <w:rPr>
          <w:rFonts w:hint="eastAsia" w:cs="Times New Roman"/>
        </w:rPr>
        <w:t>D.</w:t>
      </w:r>
      <w:r>
        <w:rPr>
          <w:rFonts w:cs="Times New Roman"/>
        </w:rPr>
        <w:t>5.3 数据来源</w:t>
      </w:r>
    </w:p>
    <w:p w14:paraId="288C6EDA">
      <w:pPr>
        <w:ind w:firstLine="480"/>
        <w:rPr>
          <w:rFonts w:cs="Times New Roman"/>
        </w:rPr>
      </w:pPr>
      <w:r>
        <w:rPr>
          <w:rFonts w:cs="Times New Roman"/>
        </w:rPr>
        <w:t>（1）行驶次数与距离：综合2020–2024年Amap出行报告及公安部车辆数据，年均出行次数约400.88次（工作日250天×出行次数/户均人口 + 节假日115天×出行次数/户均人口），平均单次距离10.16 km。</w:t>
      </w:r>
    </w:p>
    <w:p w14:paraId="0729D2D7">
      <w:pPr>
        <w:ind w:firstLine="480"/>
        <w:rPr>
          <w:rFonts w:cs="Times New Roman"/>
        </w:rPr>
      </w:pPr>
      <w:r>
        <w:rPr>
          <w:rFonts w:cs="Times New Roman"/>
        </w:rPr>
        <w:t>（2）燃油消耗与价格：依据工信部及实际路况大数据，ICEV百公里油耗均值7.96 L/100km（2020–2024年平均）；汽油价格取国家发改委历次调价数据（2020–2024年）的时间加权均值，约7.54元/升。</w:t>
      </w:r>
    </w:p>
    <w:p w14:paraId="34FBDAD2">
      <w:pPr>
        <w:ind w:firstLine="480"/>
        <w:rPr>
          <w:rFonts w:cs="Times New Roman"/>
        </w:rPr>
      </w:pPr>
      <w:r>
        <w:rPr>
          <w:rFonts w:cs="Times New Roman"/>
        </w:rPr>
        <w:t>（3）BEV能耗与充电价格：参照欧阳明高等（2021）各车型数据，BEV百公里电耗均值13.57 kWh/100km（含轿车和SUV共7个级别）。充电电价综合考虑家充（70%，均值0.465元/kWh）和公共充电（30%，1.35元/kWh），加权均值0.73元/kWh。</w:t>
      </w:r>
    </w:p>
    <w:p w14:paraId="3851ACA7">
      <w:pPr>
        <w:ind w:firstLine="480"/>
        <w:rPr>
          <w:rFonts w:cs="Times New Roman"/>
        </w:rPr>
      </w:pPr>
      <w:r>
        <w:rPr>
          <w:rFonts w:cs="Times New Roman"/>
        </w:rPr>
        <w:t>（4）购车成本：ICEV购置成本基于JATO Dynamics数据，取2020–2024年全国最低与最高价均值再乘以购置税（8.5%）、扣减残值（18%）后按10年寿命摊销，约295,440元/年。BEV购置成本参照欧阳明高等（2021）及JATO Dynamics数据（均价156,600元），补贴后10年摊销（残值15%），约18,413元/年。</w:t>
      </w:r>
    </w:p>
    <w:p w14:paraId="3B16397B">
      <w:pPr>
        <w:ind w:firstLine="480"/>
        <w:rPr>
          <w:rFonts w:cs="Times New Roman"/>
        </w:rPr>
      </w:pPr>
      <w:r>
        <w:rPr>
          <w:rFonts w:cs="Times New Roman"/>
        </w:rPr>
        <w:t>（5）维护成本：ICEV年维护成本取北京交通发展研究院2013–2016年数据均值约2,616元/年。BEV年维护成本综合2020–2024年中国新能源汽车售后报告，均值约784元/年。</w:t>
      </w:r>
    </w:p>
    <w:p w14:paraId="50505FDA">
      <w:pPr>
        <w:ind w:firstLine="480"/>
        <w:rPr>
          <w:rFonts w:cs="Times New Roman"/>
        </w:rPr>
      </w:pPr>
      <w:r>
        <w:rPr>
          <w:rFonts w:cs="Times New Roman"/>
        </w:rPr>
        <w:t>（6）充电搜寻等待成本：基于全国充电桩数量（1,024.4万个，含私桩712.2万和公桩312.2万）及BEV保有量（2,456万辆），结合充电频率（均值1.99天/次），利用Belloche（2015）停车等待模型计算搜寻等待时间，再乘以时间价值（全额工资率49.11元/小时），得年均成本约2,652元/辆。</w:t>
      </w:r>
    </w:p>
    <w:p w14:paraId="0EBD7356">
      <w:pPr>
        <w:ind w:firstLine="480"/>
        <w:rPr>
          <w:rFonts w:cs="Times New Roman"/>
        </w:rPr>
      </w:pPr>
      <w:r>
        <w:rPr>
          <w:rFonts w:cs="Times New Roman"/>
        </w:rPr>
        <w:t>（7）车均载客数：取2020–2024年交通部及中国城市规划设计研究院代理数据均值，约1.442人/辆。</w:t>
      </w:r>
    </w:p>
    <w:p w14:paraId="4B498D9B">
      <w:pPr>
        <w:pStyle w:val="5"/>
        <w:ind w:firstLine="562"/>
        <w:rPr>
          <w:rFonts w:cs="Times New Roman"/>
        </w:rPr>
      </w:pPr>
      <w:r>
        <w:rPr>
          <w:rFonts w:hint="eastAsia" w:cs="Times New Roman"/>
        </w:rPr>
        <w:t>D.</w:t>
      </w:r>
      <w:r>
        <w:rPr>
          <w:rFonts w:cs="Times New Roman"/>
        </w:rPr>
        <w:t>5.4 参数设置</w:t>
      </w:r>
    </w:p>
    <w:p w14:paraId="15F2AAAD">
      <w:pPr>
        <w:ind w:firstLine="0" w:firstLineChars="0"/>
        <w:jc w:val="center"/>
      </w:pPr>
      <w:r>
        <w:rPr>
          <w:rFonts w:hint="eastAsia" w:cs="Times New Roman"/>
        </w:rPr>
        <w:t>附表</w:t>
      </w:r>
      <w:r>
        <w:rPr>
          <w:rFonts w:hint="eastAsia"/>
        </w:rPr>
        <w:t>D-9</w:t>
      </w:r>
    </w:p>
    <w:p w14:paraId="3D84425C">
      <w:pPr>
        <w:ind w:firstLine="0" w:firstLineChars="0"/>
        <w:jc w:val="center"/>
        <w:rPr>
          <w:rFonts w:cs="Times New Roman"/>
        </w:rPr>
      </w:pPr>
      <w:r>
        <w:rPr>
          <w:rFonts w:hint="eastAsia" w:cs="Times New Roman"/>
          <w:b/>
          <w:bCs/>
        </w:rPr>
        <w:t>Table D-9</w:t>
      </w:r>
    </w:p>
    <w:tbl>
      <w:tblPr>
        <w:tblStyle w:val="13"/>
        <w:tblW w:w="8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3"/>
        <w:gridCol w:w="1360"/>
        <w:gridCol w:w="1198"/>
        <w:gridCol w:w="1099"/>
        <w:gridCol w:w="1100"/>
        <w:gridCol w:w="1100"/>
      </w:tblGrid>
      <w:tr w14:paraId="3E88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900"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11BBBE88">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参数</w:t>
            </w:r>
          </w:p>
        </w:tc>
        <w:tc>
          <w:tcPr>
            <w:tcW w:w="135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6FE3C634">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单位</w:t>
            </w:r>
          </w:p>
        </w:tc>
        <w:tc>
          <w:tcPr>
            <w:tcW w:w="12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D212F59">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分布</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2042648">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第10百分位</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1EA3D95">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均值</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1B4DF19E">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第90百分位</w:t>
            </w:r>
          </w:p>
        </w:tc>
      </w:tr>
      <w:tr w14:paraId="066F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ADC2A2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年均出行次数</w:t>
            </w:r>
          </w:p>
        </w:tc>
        <w:tc>
          <w:tcPr>
            <w:tcW w:w="135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12AF34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次/年</w:t>
            </w:r>
          </w:p>
        </w:tc>
        <w:tc>
          <w:tcPr>
            <w:tcW w:w="12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E104B7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26BE1C6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345.72</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4AA706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400.88</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0A74770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456.04</w:t>
            </w:r>
          </w:p>
        </w:tc>
      </w:tr>
      <w:tr w14:paraId="5702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1DD3E41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单次行程距离</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6AAF385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km/次</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186EA43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9315BB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0.61</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277258A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10.16</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62E39CD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19.71</w:t>
            </w:r>
          </w:p>
        </w:tc>
      </w:tr>
      <w:tr w14:paraId="7917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2E7687A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ICEV百公里油耗</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10FAB92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L/100km</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7B14D51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455CB0A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5.17</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613325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7.96</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2CCB4CD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9.39</w:t>
            </w:r>
          </w:p>
        </w:tc>
      </w:tr>
      <w:tr w14:paraId="4C5DC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2267293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汽油价格</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3B70FEC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元/升</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2665240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0EFC46A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6.37</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356C6D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7.54</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3CD095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9.39</w:t>
            </w:r>
          </w:p>
        </w:tc>
      </w:tr>
      <w:tr w14:paraId="0893B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5DA3EFB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 xml:space="preserve">ICEV摊销购车成本 </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2093697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元/年/辆</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35688B3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98167D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8356</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57A116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295,440</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B3FFF8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380,000</w:t>
            </w:r>
          </w:p>
        </w:tc>
      </w:tr>
      <w:tr w14:paraId="58A3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2109D78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 xml:space="preserve">ICEV年维护成本 </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73D6555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元/年</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6581E19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ABCB0E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1,800</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4D95269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2,616</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655777C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3,432</w:t>
            </w:r>
          </w:p>
        </w:tc>
      </w:tr>
      <w:tr w14:paraId="4005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2BD3680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BEV百公里电耗</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647A9A0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kWh/100km</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3ACDBEF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2132BCC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11.24</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BA1E0F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13.57</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0EF271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15.90</w:t>
            </w:r>
          </w:p>
        </w:tc>
      </w:tr>
      <w:tr w14:paraId="298A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3BE6E26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充电电价</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076DBDC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元/kWh</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01A3C12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均匀</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2EE46E3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0.35</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A20AEA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0.73</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248BC0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1.35</w:t>
            </w:r>
          </w:p>
        </w:tc>
      </w:tr>
      <w:tr w14:paraId="5ABD2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3181BCF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 xml:space="preserve">BEV摊销购车成本 </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0D7D82E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元/年/辆</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782DA41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06F0951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15,406</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EB76D1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18,413</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4FB2FD6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21,420</w:t>
            </w:r>
          </w:p>
        </w:tc>
      </w:tr>
      <w:tr w14:paraId="6A71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3F27659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BEV年维护成本</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524FC74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元/年</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3B46757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374B8E7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3CF0F75">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784</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9B5F33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r w14:paraId="446E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single" w:color="auto" w:sz="4" w:space="0"/>
              <w:right w:val="nil"/>
            </w:tcBorders>
            <w:shd w:val="clear" w:color="auto" w:fill="FFFFFF"/>
            <w:tcMar>
              <w:top w:w="60" w:type="dxa"/>
              <w:left w:w="80" w:type="dxa"/>
              <w:bottom w:w="60" w:type="dxa"/>
              <w:right w:w="80" w:type="dxa"/>
            </w:tcMar>
            <w:vAlign w:val="center"/>
          </w:tcPr>
          <w:p w14:paraId="0C3F202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 xml:space="preserve">充电搜寻等待成本 </w:t>
            </w:r>
          </w:p>
        </w:tc>
        <w:tc>
          <w:tcPr>
            <w:tcW w:w="1350" w:type="dxa"/>
            <w:tcBorders>
              <w:top w:val="nil"/>
              <w:left w:val="nil"/>
              <w:bottom w:val="single" w:color="auto" w:sz="4" w:space="0"/>
              <w:right w:val="nil"/>
            </w:tcBorders>
            <w:shd w:val="clear" w:color="auto" w:fill="FFFFFF"/>
            <w:tcMar>
              <w:top w:w="60" w:type="dxa"/>
              <w:left w:w="80" w:type="dxa"/>
              <w:bottom w:w="60" w:type="dxa"/>
              <w:right w:w="80" w:type="dxa"/>
            </w:tcMar>
            <w:vAlign w:val="center"/>
          </w:tcPr>
          <w:p w14:paraId="14FD9FF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元/年/辆</w:t>
            </w:r>
          </w:p>
        </w:tc>
        <w:tc>
          <w:tcPr>
            <w:tcW w:w="1200" w:type="dxa"/>
            <w:tcBorders>
              <w:top w:val="nil"/>
              <w:left w:val="nil"/>
              <w:bottom w:val="single" w:color="auto" w:sz="4" w:space="0"/>
              <w:right w:val="nil"/>
            </w:tcBorders>
            <w:shd w:val="clear" w:color="auto" w:fill="FFFFFF"/>
            <w:tcMar>
              <w:top w:w="60" w:type="dxa"/>
              <w:left w:w="80" w:type="dxa"/>
              <w:bottom w:w="60" w:type="dxa"/>
              <w:right w:w="80" w:type="dxa"/>
            </w:tcMar>
            <w:vAlign w:val="center"/>
          </w:tcPr>
          <w:p w14:paraId="4E4785B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均匀</w:t>
            </w:r>
          </w:p>
        </w:tc>
        <w:tc>
          <w:tcPr>
            <w:tcW w:w="1100" w:type="dxa"/>
            <w:tcBorders>
              <w:top w:val="nil"/>
              <w:left w:val="nil"/>
              <w:bottom w:val="single" w:color="auto" w:sz="4" w:space="0"/>
              <w:right w:val="nil"/>
            </w:tcBorders>
            <w:shd w:val="clear" w:color="auto" w:fill="FFFFFF"/>
            <w:tcMar>
              <w:top w:w="60" w:type="dxa"/>
              <w:left w:w="80" w:type="dxa"/>
              <w:bottom w:w="60" w:type="dxa"/>
              <w:right w:w="80" w:type="dxa"/>
            </w:tcMar>
            <w:vAlign w:val="center"/>
          </w:tcPr>
          <w:p w14:paraId="412BADD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982.60</w:t>
            </w:r>
          </w:p>
        </w:tc>
        <w:tc>
          <w:tcPr>
            <w:tcW w:w="1100" w:type="dxa"/>
            <w:tcBorders>
              <w:top w:val="nil"/>
              <w:left w:val="nil"/>
              <w:bottom w:val="single" w:color="auto" w:sz="4" w:space="0"/>
              <w:right w:val="nil"/>
            </w:tcBorders>
            <w:shd w:val="clear" w:color="auto" w:fill="FFFFFF"/>
            <w:tcMar>
              <w:top w:w="60" w:type="dxa"/>
              <w:left w:w="80" w:type="dxa"/>
              <w:bottom w:w="60" w:type="dxa"/>
              <w:right w:w="80" w:type="dxa"/>
            </w:tcMar>
            <w:vAlign w:val="center"/>
          </w:tcPr>
          <w:p w14:paraId="6579DF9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2,652</w:t>
            </w:r>
          </w:p>
        </w:tc>
        <w:tc>
          <w:tcPr>
            <w:tcW w:w="1100" w:type="dxa"/>
            <w:tcBorders>
              <w:top w:val="nil"/>
              <w:left w:val="nil"/>
              <w:bottom w:val="single" w:color="auto" w:sz="4" w:space="0"/>
              <w:right w:val="nil"/>
            </w:tcBorders>
            <w:shd w:val="clear" w:color="auto" w:fill="FFFFFF"/>
            <w:tcMar>
              <w:top w:w="60" w:type="dxa"/>
              <w:left w:w="80" w:type="dxa"/>
              <w:bottom w:w="60" w:type="dxa"/>
              <w:right w:w="80" w:type="dxa"/>
            </w:tcMar>
            <w:vAlign w:val="center"/>
          </w:tcPr>
          <w:p w14:paraId="78F19D5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4,371</w:t>
            </w:r>
          </w:p>
        </w:tc>
      </w:tr>
      <w:tr w14:paraId="52C2E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auto" w:sz="4" w:space="0"/>
              <w:left w:val="nil"/>
              <w:bottom w:val="nil"/>
              <w:right w:val="nil"/>
            </w:tcBorders>
            <w:shd w:val="clear" w:color="auto" w:fill="FFFFFF"/>
            <w:tcMar>
              <w:top w:w="60" w:type="dxa"/>
              <w:left w:w="80" w:type="dxa"/>
              <w:bottom w:w="60" w:type="dxa"/>
              <w:right w:w="80" w:type="dxa"/>
            </w:tcMar>
            <w:vAlign w:val="center"/>
          </w:tcPr>
          <w:p w14:paraId="5178125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车均载客数</w:t>
            </w:r>
          </w:p>
        </w:tc>
        <w:tc>
          <w:tcPr>
            <w:tcW w:w="1350" w:type="dxa"/>
            <w:tcBorders>
              <w:top w:val="single" w:color="auto" w:sz="4" w:space="0"/>
              <w:left w:val="nil"/>
              <w:bottom w:val="nil"/>
              <w:right w:val="nil"/>
            </w:tcBorders>
            <w:shd w:val="clear" w:color="auto" w:fill="FFFFFF"/>
            <w:tcMar>
              <w:top w:w="60" w:type="dxa"/>
              <w:left w:w="80" w:type="dxa"/>
              <w:bottom w:w="60" w:type="dxa"/>
              <w:right w:w="80" w:type="dxa"/>
            </w:tcMar>
            <w:vAlign w:val="center"/>
          </w:tcPr>
          <w:p w14:paraId="6BEE942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人/辆</w:t>
            </w:r>
          </w:p>
        </w:tc>
        <w:tc>
          <w:tcPr>
            <w:tcW w:w="1200" w:type="dxa"/>
            <w:tcBorders>
              <w:top w:val="single" w:color="auto" w:sz="4" w:space="0"/>
              <w:left w:val="nil"/>
              <w:bottom w:val="nil"/>
              <w:right w:val="nil"/>
            </w:tcBorders>
            <w:shd w:val="clear" w:color="auto" w:fill="FFFFFF"/>
            <w:tcMar>
              <w:top w:w="60" w:type="dxa"/>
              <w:left w:w="80" w:type="dxa"/>
              <w:bottom w:w="60" w:type="dxa"/>
              <w:right w:w="80" w:type="dxa"/>
            </w:tcMar>
            <w:vAlign w:val="center"/>
          </w:tcPr>
          <w:p w14:paraId="00337C1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single" w:color="auto" w:sz="4" w:space="0"/>
              <w:left w:val="nil"/>
              <w:bottom w:val="nil"/>
              <w:right w:val="nil"/>
            </w:tcBorders>
            <w:shd w:val="clear" w:color="auto" w:fill="FFFFFF"/>
            <w:tcMar>
              <w:top w:w="60" w:type="dxa"/>
              <w:left w:w="80" w:type="dxa"/>
              <w:bottom w:w="60" w:type="dxa"/>
              <w:right w:w="80" w:type="dxa"/>
            </w:tcMar>
            <w:vAlign w:val="center"/>
          </w:tcPr>
          <w:p w14:paraId="34E8936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single" w:color="auto" w:sz="4" w:space="0"/>
              <w:left w:val="nil"/>
              <w:bottom w:val="nil"/>
              <w:right w:val="nil"/>
            </w:tcBorders>
            <w:shd w:val="clear" w:color="auto" w:fill="FFFFFF"/>
            <w:tcMar>
              <w:top w:w="60" w:type="dxa"/>
              <w:left w:w="80" w:type="dxa"/>
              <w:bottom w:w="60" w:type="dxa"/>
              <w:right w:w="80" w:type="dxa"/>
            </w:tcMar>
            <w:vAlign w:val="center"/>
          </w:tcPr>
          <w:p w14:paraId="447FB2D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1.442</w:t>
            </w:r>
          </w:p>
        </w:tc>
        <w:tc>
          <w:tcPr>
            <w:tcW w:w="1100" w:type="dxa"/>
            <w:tcBorders>
              <w:top w:val="single" w:color="auto" w:sz="4" w:space="0"/>
              <w:left w:val="nil"/>
              <w:bottom w:val="nil"/>
              <w:right w:val="nil"/>
            </w:tcBorders>
            <w:shd w:val="clear" w:color="auto" w:fill="FFFFFF"/>
            <w:tcMar>
              <w:top w:w="60" w:type="dxa"/>
              <w:left w:w="80" w:type="dxa"/>
              <w:bottom w:w="60" w:type="dxa"/>
              <w:right w:w="80" w:type="dxa"/>
            </w:tcMar>
            <w:vAlign w:val="center"/>
          </w:tcPr>
          <w:p w14:paraId="6CE08B0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r w14:paraId="242B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3AB2492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CO</w:t>
            </w:r>
            <w:r>
              <w:rPr>
                <w:rFonts w:hint="eastAsia" w:ascii="Cambria Math" w:hAnsi="Cambria Math" w:eastAsia="宋体" w:cs="Cambria Math"/>
                <w:color w:val="000000"/>
              </w:rPr>
              <w:t>₂</w:t>
            </w:r>
            <w:r>
              <w:rPr>
                <w:rFonts w:hint="eastAsia" w:ascii="宋体" w:hAnsi="宋体" w:eastAsia="宋体" w:cs="Times New Roman"/>
                <w:color w:val="000000"/>
              </w:rPr>
              <w:t>e因子—ICEV</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0DC57A6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kgCO</w:t>
            </w:r>
            <w:r>
              <w:rPr>
                <w:rFonts w:hint="eastAsia" w:ascii="Cambria Math" w:hAnsi="Cambria Math" w:eastAsia="宋体" w:cs="Cambria Math"/>
                <w:color w:val="000000"/>
              </w:rPr>
              <w:t>₂</w:t>
            </w:r>
            <w:r>
              <w:rPr>
                <w:rFonts w:hint="eastAsia" w:ascii="宋体" w:hAnsi="宋体" w:eastAsia="宋体" w:cs="Times New Roman"/>
                <w:color w:val="000000"/>
              </w:rPr>
              <w:t>e/km</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3719740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87F6D5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4FE0C15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0.278</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DB2F1F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r w14:paraId="7F19C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931ADB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CO</w:t>
            </w:r>
            <w:r>
              <w:rPr>
                <w:rFonts w:hint="eastAsia" w:ascii="Cambria Math" w:hAnsi="Cambria Math" w:eastAsia="宋体" w:cs="Cambria Math"/>
                <w:color w:val="000000"/>
              </w:rPr>
              <w:t>₂</w:t>
            </w:r>
            <w:r>
              <w:rPr>
                <w:rFonts w:hint="eastAsia" w:ascii="宋体" w:hAnsi="宋体" w:eastAsia="宋体" w:cs="Times New Roman"/>
                <w:color w:val="000000"/>
              </w:rPr>
              <w:t>e因子—BEV</w:t>
            </w:r>
          </w:p>
        </w:tc>
        <w:tc>
          <w:tcPr>
            <w:tcW w:w="135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0E24EFB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kgCO</w:t>
            </w:r>
            <w:r>
              <w:rPr>
                <w:rFonts w:hint="eastAsia" w:ascii="Cambria Math" w:hAnsi="Cambria Math" w:eastAsia="宋体" w:cs="Cambria Math"/>
                <w:color w:val="000000"/>
              </w:rPr>
              <w:t>₂</w:t>
            </w:r>
            <w:r>
              <w:rPr>
                <w:rFonts w:hint="eastAsia" w:ascii="宋体" w:hAnsi="宋体" w:eastAsia="宋体" w:cs="Times New Roman"/>
                <w:color w:val="000000"/>
              </w:rPr>
              <w:t>e/km</w:t>
            </w:r>
          </w:p>
        </w:tc>
        <w:tc>
          <w:tcPr>
            <w:tcW w:w="12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AFF058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366D2B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387CB40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0.181</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2817A58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bl>
    <w:p w14:paraId="586B9405">
      <w:pPr>
        <w:ind w:firstLine="0" w:firstLineChars="0"/>
        <w:jc w:val="center"/>
        <w:rPr>
          <w:rFonts w:cs="Times New Roman"/>
        </w:rPr>
      </w:pPr>
    </w:p>
    <w:p w14:paraId="3BE76275">
      <w:pPr>
        <w:ind w:firstLine="0" w:firstLineChars="0"/>
        <w:jc w:val="center"/>
      </w:pPr>
      <w:r>
        <w:rPr>
          <w:rFonts w:hint="eastAsia" w:cs="Times New Roman"/>
        </w:rPr>
        <w:t>附表</w:t>
      </w:r>
      <w:r>
        <w:rPr>
          <w:rFonts w:hint="eastAsia"/>
        </w:rPr>
        <w:t>D-10</w:t>
      </w:r>
    </w:p>
    <w:p w14:paraId="286876E7">
      <w:pPr>
        <w:ind w:firstLine="0" w:firstLineChars="0"/>
        <w:jc w:val="center"/>
        <w:rPr>
          <w:rFonts w:cs="Times New Roman"/>
        </w:rPr>
      </w:pPr>
      <w:r>
        <w:rPr>
          <w:rFonts w:hint="eastAsia" w:cs="Times New Roman"/>
          <w:b/>
          <w:bCs/>
        </w:rPr>
        <w:t>Table D-10</w:t>
      </w:r>
    </w:p>
    <w:tbl>
      <w:tblPr>
        <w:tblStyle w:val="29"/>
        <w:tblW w:w="875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00" w:type="dxa"/>
          <w:left w:w="100" w:type="dxa"/>
          <w:bottom w:w="100" w:type="dxa"/>
          <w:right w:w="100" w:type="dxa"/>
        </w:tblCellMar>
      </w:tblPr>
      <w:tblGrid>
        <w:gridCol w:w="875"/>
        <w:gridCol w:w="1194"/>
        <w:gridCol w:w="1460"/>
        <w:gridCol w:w="1880"/>
        <w:gridCol w:w="1299"/>
        <w:gridCol w:w="2048"/>
      </w:tblGrid>
      <w:tr w14:paraId="1E4202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88" w:hRule="atLeast"/>
        </w:trPr>
        <w:tc>
          <w:tcPr>
            <w:tcW w:w="1216" w:type="dxa"/>
            <w:tcBorders>
              <w:top w:val="single" w:color="000000" w:sz="12" w:space="0"/>
              <w:bottom w:val="single" w:color="000000" w:sz="4" w:space="0"/>
              <w:tl2br w:val="nil"/>
            </w:tcBorders>
            <w:shd w:val="clear" w:color="auto" w:fill="FFFFFF"/>
          </w:tcPr>
          <w:p w14:paraId="112822A0">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参数名称</w:t>
            </w:r>
          </w:p>
        </w:tc>
        <w:tc>
          <w:tcPr>
            <w:tcW w:w="1651" w:type="dxa"/>
            <w:tcBorders>
              <w:top w:val="single" w:color="000000" w:sz="12" w:space="0"/>
              <w:bottom w:val="single" w:color="000000" w:sz="4" w:space="0"/>
            </w:tcBorders>
            <w:shd w:val="clear" w:color="auto" w:fill="FFFFFF"/>
          </w:tcPr>
          <w:p w14:paraId="2406523C">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参数含义</w:t>
            </w:r>
          </w:p>
        </w:tc>
        <w:tc>
          <w:tcPr>
            <w:tcW w:w="1184" w:type="dxa"/>
            <w:tcBorders>
              <w:top w:val="single" w:color="000000" w:sz="12" w:space="0"/>
              <w:bottom w:val="single" w:color="000000" w:sz="4" w:space="0"/>
            </w:tcBorders>
            <w:shd w:val="clear" w:color="auto" w:fill="FFFFFF"/>
          </w:tcPr>
          <w:p w14:paraId="641D6688">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基准值</w:t>
            </w:r>
          </w:p>
        </w:tc>
        <w:tc>
          <w:tcPr>
            <w:tcW w:w="1410" w:type="dxa"/>
            <w:tcBorders>
              <w:top w:val="single" w:color="000000" w:sz="12" w:space="0"/>
              <w:bottom w:val="single" w:color="000000" w:sz="4" w:space="0"/>
            </w:tcBorders>
            <w:shd w:val="clear" w:color="auto" w:fill="FFFFFF"/>
          </w:tcPr>
          <w:p w14:paraId="0FCDF428">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范围/分布</w:t>
            </w:r>
          </w:p>
        </w:tc>
        <w:tc>
          <w:tcPr>
            <w:tcW w:w="1254" w:type="dxa"/>
            <w:tcBorders>
              <w:top w:val="single" w:color="000000" w:sz="12" w:space="0"/>
              <w:bottom w:val="single" w:color="000000" w:sz="4" w:space="0"/>
            </w:tcBorders>
            <w:shd w:val="clear" w:color="auto" w:fill="FFFFFF"/>
          </w:tcPr>
          <w:p w14:paraId="7E5827D7">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单位</w:t>
            </w:r>
          </w:p>
        </w:tc>
        <w:tc>
          <w:tcPr>
            <w:tcW w:w="2041" w:type="dxa"/>
            <w:tcBorders>
              <w:top w:val="single" w:color="000000" w:sz="12" w:space="0"/>
              <w:bottom w:val="single" w:color="000000" w:sz="4" w:space="0"/>
            </w:tcBorders>
            <w:shd w:val="clear" w:color="auto" w:fill="FFFFFF"/>
          </w:tcPr>
          <w:p w14:paraId="644342B3">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数据来源</w:t>
            </w:r>
          </w:p>
        </w:tc>
      </w:tr>
      <w:tr w14:paraId="093EBE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88" w:hRule="atLeast"/>
        </w:trPr>
        <w:tc>
          <w:tcPr>
            <w:tcW w:w="0" w:type="auto"/>
            <w:gridSpan w:val="6"/>
            <w:tcBorders>
              <w:top w:val="single" w:color="000000" w:sz="12" w:space="0"/>
              <w:bottom w:val="single" w:color="000000" w:sz="4" w:space="0"/>
              <w:tl2br w:val="nil"/>
            </w:tcBorders>
            <w:shd w:val="clear" w:color="auto" w:fill="FFFFFF"/>
          </w:tcPr>
          <w:p w14:paraId="2ADE7014">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货币成本/收益</w:t>
            </w:r>
            <w:r>
              <w:rPr>
                <w:rFonts w:hint="eastAsia" w:cs="Times New Roman" w:asciiTheme="minorEastAsia" w:hAnsiTheme="minorEastAsia" w:eastAsiaTheme="minorEastAsia"/>
                <w:color w:val="000000"/>
              </w:rPr>
              <w:t>]</w:t>
            </w:r>
          </w:p>
        </w:tc>
      </w:tr>
      <w:tr w14:paraId="791B53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tcBorders>
              <w:top w:val="single" w:color="000000" w:sz="4" w:space="0"/>
            </w:tcBorders>
            <w:shd w:val="clear" w:color="auto" w:fill="FFFFFF"/>
          </w:tcPr>
          <w:p w14:paraId="2AEC732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年均行驶次数</w:t>
            </w:r>
          </w:p>
        </w:tc>
        <w:tc>
          <w:tcPr>
            <w:tcW w:w="0" w:type="auto"/>
            <w:tcBorders>
              <w:top w:val="single" w:color="000000" w:sz="4" w:space="0"/>
            </w:tcBorders>
            <w:shd w:val="clear" w:color="auto" w:fill="FFFFFF"/>
          </w:tcPr>
          <w:p w14:paraId="45F0137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ICEV车主年均出行次数</w:t>
            </w:r>
          </w:p>
        </w:tc>
        <w:tc>
          <w:tcPr>
            <w:tcW w:w="0" w:type="auto"/>
            <w:tcBorders>
              <w:top w:val="single" w:color="000000" w:sz="4" w:space="0"/>
            </w:tcBorders>
            <w:shd w:val="clear" w:color="auto" w:fill="FFFFFF"/>
          </w:tcPr>
          <w:p w14:paraId="1204B1C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391.35</w:t>
            </w:r>
          </w:p>
        </w:tc>
        <w:tc>
          <w:tcPr>
            <w:tcW w:w="0" w:type="auto"/>
            <w:tcBorders>
              <w:top w:val="single" w:color="000000" w:sz="4" w:space="0"/>
            </w:tcBorders>
            <w:shd w:val="clear" w:color="auto" w:fill="FFFFFF"/>
          </w:tcPr>
          <w:p w14:paraId="01E619E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200–600</w:t>
            </w:r>
          </w:p>
        </w:tc>
        <w:tc>
          <w:tcPr>
            <w:tcW w:w="0" w:type="auto"/>
            <w:tcBorders>
              <w:top w:val="single" w:color="000000" w:sz="4" w:space="0"/>
            </w:tcBorders>
            <w:shd w:val="clear" w:color="auto" w:fill="FFFFFF"/>
          </w:tcPr>
          <w:p w14:paraId="6621A90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次/年</w:t>
            </w:r>
          </w:p>
        </w:tc>
        <w:tc>
          <w:tcPr>
            <w:tcW w:w="0" w:type="auto"/>
            <w:tcBorders>
              <w:top w:val="single" w:color="000000" w:sz="4" w:space="0"/>
            </w:tcBorders>
            <w:shd w:val="clear" w:color="auto" w:fill="FFFFFF"/>
          </w:tcPr>
          <w:p w14:paraId="0A0AFDA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CNRDS出行大数据；作者测算</w:t>
            </w:r>
          </w:p>
        </w:tc>
      </w:tr>
      <w:tr w14:paraId="7A1A9E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23A564E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单次行驶距离</w:t>
            </w:r>
          </w:p>
        </w:tc>
        <w:tc>
          <w:tcPr>
            <w:tcW w:w="0" w:type="auto"/>
            <w:shd w:val="clear" w:color="auto" w:fill="FFFFFF"/>
          </w:tcPr>
          <w:p w14:paraId="6E93000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每次出行平均距离</w:t>
            </w:r>
          </w:p>
        </w:tc>
        <w:tc>
          <w:tcPr>
            <w:tcW w:w="0" w:type="auto"/>
            <w:shd w:val="clear" w:color="auto" w:fill="FFFFFF"/>
          </w:tcPr>
          <w:p w14:paraId="6C7A454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10.16</w:t>
            </w:r>
          </w:p>
        </w:tc>
        <w:tc>
          <w:tcPr>
            <w:tcW w:w="0" w:type="auto"/>
            <w:shd w:val="clear" w:color="auto" w:fill="FFFFFF"/>
          </w:tcPr>
          <w:p w14:paraId="56E26EB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5–25</w:t>
            </w:r>
          </w:p>
        </w:tc>
        <w:tc>
          <w:tcPr>
            <w:tcW w:w="0" w:type="auto"/>
            <w:shd w:val="clear" w:color="auto" w:fill="FFFFFF"/>
          </w:tcPr>
          <w:p w14:paraId="6CFFB9A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km/次</w:t>
            </w:r>
          </w:p>
        </w:tc>
        <w:tc>
          <w:tcPr>
            <w:tcW w:w="0" w:type="auto"/>
            <w:shd w:val="clear" w:color="auto" w:fill="FFFFFF"/>
          </w:tcPr>
          <w:p w14:paraId="6F1F173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CNRDS数据库</w:t>
            </w:r>
          </w:p>
        </w:tc>
      </w:tr>
      <w:tr w14:paraId="135ADE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3D6B092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ICEV购置成本（折旧）</w:t>
            </w:r>
          </w:p>
        </w:tc>
        <w:tc>
          <w:tcPr>
            <w:tcW w:w="0" w:type="auto"/>
            <w:shd w:val="clear" w:color="auto" w:fill="FFFFFF"/>
          </w:tcPr>
          <w:p w14:paraId="1290D11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燃油车折旧后年均持有成本</w:t>
            </w:r>
          </w:p>
        </w:tc>
        <w:tc>
          <w:tcPr>
            <w:tcW w:w="0" w:type="auto"/>
            <w:shd w:val="clear" w:color="auto" w:fill="FFFFFF"/>
          </w:tcPr>
          <w:p w14:paraId="1468EA3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295,440</w:t>
            </w:r>
          </w:p>
        </w:tc>
        <w:tc>
          <w:tcPr>
            <w:tcW w:w="0" w:type="auto"/>
            <w:shd w:val="clear" w:color="auto" w:fill="FFFFFF"/>
          </w:tcPr>
          <w:p w14:paraId="2B9A4F0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1,933–353,676</w:t>
            </w:r>
          </w:p>
        </w:tc>
        <w:tc>
          <w:tcPr>
            <w:tcW w:w="0" w:type="auto"/>
            <w:shd w:val="clear" w:color="auto" w:fill="FFFFFF"/>
          </w:tcPr>
          <w:p w14:paraId="27ADBAB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元/年</w:t>
            </w:r>
          </w:p>
        </w:tc>
        <w:tc>
          <w:tcPr>
            <w:tcW w:w="0" w:type="auto"/>
            <w:shd w:val="clear" w:color="auto" w:fill="FFFFFF"/>
          </w:tcPr>
          <w:p w14:paraId="3C6B4BC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Jato Dynamics汽车销售数据 (2020–2024)，自行计算</w:t>
            </w:r>
          </w:p>
        </w:tc>
      </w:tr>
      <w:tr w14:paraId="7FD3B3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55BF9EC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BEV购置成本（折旧）</w:t>
            </w:r>
          </w:p>
        </w:tc>
        <w:tc>
          <w:tcPr>
            <w:tcW w:w="0" w:type="auto"/>
            <w:shd w:val="clear" w:color="auto" w:fill="FFFFFF"/>
          </w:tcPr>
          <w:p w14:paraId="38F523C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电动车折旧后年均持有成本</w:t>
            </w:r>
          </w:p>
        </w:tc>
        <w:tc>
          <w:tcPr>
            <w:tcW w:w="0" w:type="auto"/>
            <w:shd w:val="clear" w:color="auto" w:fill="FFFFFF"/>
          </w:tcPr>
          <w:p w14:paraId="4161576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18,413</w:t>
            </w:r>
          </w:p>
        </w:tc>
        <w:tc>
          <w:tcPr>
            <w:tcW w:w="0" w:type="auto"/>
            <w:shd w:val="clear" w:color="auto" w:fill="FFFFFF"/>
          </w:tcPr>
          <w:p w14:paraId="69DB298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1,981–128,472</w:t>
            </w:r>
          </w:p>
        </w:tc>
        <w:tc>
          <w:tcPr>
            <w:tcW w:w="0" w:type="auto"/>
            <w:shd w:val="clear" w:color="auto" w:fill="FFFFFF"/>
          </w:tcPr>
          <w:p w14:paraId="64E7055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元/年</w:t>
            </w:r>
          </w:p>
        </w:tc>
        <w:tc>
          <w:tcPr>
            <w:tcW w:w="0" w:type="auto"/>
            <w:shd w:val="clear" w:color="auto" w:fill="FFFFFF"/>
          </w:tcPr>
          <w:p w14:paraId="5C35F42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Jato Dynamics汽车销售数据 (2017–2019)，自行计算</w:t>
            </w:r>
          </w:p>
        </w:tc>
      </w:tr>
      <w:tr w14:paraId="2CB47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4A9D5E9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ICEV维护成本</w:t>
            </w:r>
          </w:p>
        </w:tc>
        <w:tc>
          <w:tcPr>
            <w:tcW w:w="0" w:type="auto"/>
            <w:shd w:val="clear" w:color="auto" w:fill="FFFFFF"/>
          </w:tcPr>
          <w:p w14:paraId="2A3BA64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燃油车年均维护费用</w:t>
            </w:r>
          </w:p>
        </w:tc>
        <w:tc>
          <w:tcPr>
            <w:tcW w:w="0" w:type="auto"/>
            <w:shd w:val="clear" w:color="auto" w:fill="FFFFFF"/>
          </w:tcPr>
          <w:p w14:paraId="2B1B504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2,616</w:t>
            </w:r>
          </w:p>
        </w:tc>
        <w:tc>
          <w:tcPr>
            <w:tcW w:w="0" w:type="auto"/>
            <w:shd w:val="clear" w:color="auto" w:fill="FFFFFF"/>
          </w:tcPr>
          <w:p w14:paraId="104FF07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1,500–4,000</w:t>
            </w:r>
          </w:p>
        </w:tc>
        <w:tc>
          <w:tcPr>
            <w:tcW w:w="0" w:type="auto"/>
            <w:shd w:val="clear" w:color="auto" w:fill="FFFFFF"/>
          </w:tcPr>
          <w:p w14:paraId="3B919D7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元/年</w:t>
            </w:r>
          </w:p>
        </w:tc>
        <w:tc>
          <w:tcPr>
            <w:tcW w:w="0" w:type="auto"/>
            <w:shd w:val="clear" w:color="auto" w:fill="FFFFFF"/>
          </w:tcPr>
          <w:p w14:paraId="1B5D6E2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中国汽车流通协会调研 (2024)</w:t>
            </w:r>
          </w:p>
        </w:tc>
      </w:tr>
      <w:tr w14:paraId="140C15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23B4086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BEV维护成本</w:t>
            </w:r>
          </w:p>
        </w:tc>
        <w:tc>
          <w:tcPr>
            <w:tcW w:w="0" w:type="auto"/>
            <w:shd w:val="clear" w:color="auto" w:fill="FFFFFF"/>
          </w:tcPr>
          <w:p w14:paraId="14F8A90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电动车年均维护费用</w:t>
            </w:r>
          </w:p>
        </w:tc>
        <w:tc>
          <w:tcPr>
            <w:tcW w:w="0" w:type="auto"/>
            <w:shd w:val="clear" w:color="auto" w:fill="FFFFFF"/>
          </w:tcPr>
          <w:p w14:paraId="3D2D76E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784</w:t>
            </w:r>
          </w:p>
        </w:tc>
        <w:tc>
          <w:tcPr>
            <w:tcW w:w="0" w:type="auto"/>
            <w:shd w:val="clear" w:color="auto" w:fill="FFFFFF"/>
          </w:tcPr>
          <w:p w14:paraId="63552EC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400–1,500</w:t>
            </w:r>
          </w:p>
        </w:tc>
        <w:tc>
          <w:tcPr>
            <w:tcW w:w="0" w:type="auto"/>
            <w:shd w:val="clear" w:color="auto" w:fill="FFFFFF"/>
          </w:tcPr>
          <w:p w14:paraId="73FB017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元/年</w:t>
            </w:r>
          </w:p>
        </w:tc>
        <w:tc>
          <w:tcPr>
            <w:tcW w:w="0" w:type="auto"/>
            <w:shd w:val="clear" w:color="auto" w:fill="FFFFFF"/>
          </w:tcPr>
          <w:p w14:paraId="629D013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中国汽车流通协会调研 (2024)</w:t>
            </w:r>
          </w:p>
        </w:tc>
      </w:tr>
      <w:tr w14:paraId="3699D7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2CE0676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汽油能耗</w:t>
            </w:r>
          </w:p>
        </w:tc>
        <w:tc>
          <w:tcPr>
            <w:tcW w:w="0" w:type="auto"/>
            <w:shd w:val="clear" w:color="auto" w:fill="FFFFFF"/>
          </w:tcPr>
          <w:p w14:paraId="4FB9A03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ICEV每百公里油耗</w:t>
            </w:r>
          </w:p>
        </w:tc>
        <w:tc>
          <w:tcPr>
            <w:tcW w:w="0" w:type="auto"/>
            <w:shd w:val="clear" w:color="auto" w:fill="FFFFFF"/>
          </w:tcPr>
          <w:p w14:paraId="6FE19E0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8.0</w:t>
            </w:r>
          </w:p>
        </w:tc>
        <w:tc>
          <w:tcPr>
            <w:tcW w:w="0" w:type="auto"/>
            <w:shd w:val="clear" w:color="auto" w:fill="FFFFFF"/>
          </w:tcPr>
          <w:p w14:paraId="672D30F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6.0–12.0</w:t>
            </w:r>
          </w:p>
        </w:tc>
        <w:tc>
          <w:tcPr>
            <w:tcW w:w="0" w:type="auto"/>
            <w:shd w:val="clear" w:color="auto" w:fill="FFFFFF"/>
          </w:tcPr>
          <w:p w14:paraId="6BF410A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L/100km</w:t>
            </w:r>
          </w:p>
        </w:tc>
        <w:tc>
          <w:tcPr>
            <w:tcW w:w="0" w:type="auto"/>
            <w:shd w:val="clear" w:color="auto" w:fill="FFFFFF"/>
          </w:tcPr>
          <w:p w14:paraId="159FE73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工业和信息化部乘用车燃耗统计 (2024)</w:t>
            </w:r>
          </w:p>
        </w:tc>
      </w:tr>
      <w:tr w14:paraId="785249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49B024F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汽油均价</w:t>
            </w:r>
          </w:p>
        </w:tc>
        <w:tc>
          <w:tcPr>
            <w:tcW w:w="0" w:type="auto"/>
            <w:shd w:val="clear" w:color="auto" w:fill="FFFFFF"/>
          </w:tcPr>
          <w:p w14:paraId="3738921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全国92#/95#汽油均价</w:t>
            </w:r>
          </w:p>
        </w:tc>
        <w:tc>
          <w:tcPr>
            <w:tcW w:w="0" w:type="auto"/>
            <w:shd w:val="clear" w:color="auto" w:fill="FFFFFF"/>
          </w:tcPr>
          <w:p w14:paraId="7D2D42C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7.54</w:t>
            </w:r>
          </w:p>
        </w:tc>
        <w:tc>
          <w:tcPr>
            <w:tcW w:w="0" w:type="auto"/>
            <w:shd w:val="clear" w:color="auto" w:fill="FFFFFF"/>
          </w:tcPr>
          <w:p w14:paraId="4707175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6.37–9.39</w:t>
            </w:r>
          </w:p>
        </w:tc>
        <w:tc>
          <w:tcPr>
            <w:tcW w:w="0" w:type="auto"/>
            <w:shd w:val="clear" w:color="auto" w:fill="FFFFFF"/>
          </w:tcPr>
          <w:p w14:paraId="19EDB92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元/升</w:t>
            </w:r>
          </w:p>
        </w:tc>
        <w:tc>
          <w:tcPr>
            <w:tcW w:w="0" w:type="auto"/>
            <w:shd w:val="clear" w:color="auto" w:fill="FFFFFF"/>
          </w:tcPr>
          <w:p w14:paraId="13AA167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国家发改委成品油价格公告 (2024)</w:t>
            </w:r>
          </w:p>
        </w:tc>
      </w:tr>
      <w:tr w14:paraId="25CA54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68576D7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BEV电耗</w:t>
            </w:r>
          </w:p>
        </w:tc>
        <w:tc>
          <w:tcPr>
            <w:tcW w:w="0" w:type="auto"/>
            <w:shd w:val="clear" w:color="auto" w:fill="FFFFFF"/>
          </w:tcPr>
          <w:p w14:paraId="116A714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电动车每百公里电耗</w:t>
            </w:r>
          </w:p>
        </w:tc>
        <w:tc>
          <w:tcPr>
            <w:tcW w:w="0" w:type="auto"/>
            <w:shd w:val="clear" w:color="auto" w:fill="FFFFFF"/>
          </w:tcPr>
          <w:p w14:paraId="7D6F0E8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13.57</w:t>
            </w:r>
          </w:p>
        </w:tc>
        <w:tc>
          <w:tcPr>
            <w:tcW w:w="0" w:type="auto"/>
            <w:shd w:val="clear" w:color="auto" w:fill="FFFFFF"/>
          </w:tcPr>
          <w:p w14:paraId="76E13C5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10–18</w:t>
            </w:r>
          </w:p>
        </w:tc>
        <w:tc>
          <w:tcPr>
            <w:tcW w:w="0" w:type="auto"/>
            <w:shd w:val="clear" w:color="auto" w:fill="FFFFFF"/>
          </w:tcPr>
          <w:p w14:paraId="3FD3F54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kWh/100km</w:t>
            </w:r>
          </w:p>
        </w:tc>
        <w:tc>
          <w:tcPr>
            <w:tcW w:w="0" w:type="auto"/>
            <w:shd w:val="clear" w:color="auto" w:fill="FFFFFF"/>
          </w:tcPr>
          <w:p w14:paraId="0CFDAFE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中国汽车技术研究中心 (2024)</w:t>
            </w:r>
          </w:p>
        </w:tc>
      </w:tr>
      <w:tr w14:paraId="0EFC16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tcBorders>
              <w:bottom w:val="single" w:color="000000" w:sz="12" w:space="0"/>
            </w:tcBorders>
            <w:shd w:val="clear" w:color="auto" w:fill="FFFFFF"/>
          </w:tcPr>
          <w:p w14:paraId="0C01D18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充电电价</w:t>
            </w:r>
          </w:p>
        </w:tc>
        <w:tc>
          <w:tcPr>
            <w:tcW w:w="0" w:type="auto"/>
            <w:tcBorders>
              <w:bottom w:val="single" w:color="000000" w:sz="12" w:space="0"/>
            </w:tcBorders>
            <w:shd w:val="clear" w:color="auto" w:fill="FFFFFF"/>
          </w:tcPr>
          <w:p w14:paraId="2F79989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公共充电桩平均电价</w:t>
            </w:r>
          </w:p>
        </w:tc>
        <w:tc>
          <w:tcPr>
            <w:tcW w:w="0" w:type="auto"/>
            <w:tcBorders>
              <w:bottom w:val="single" w:color="000000" w:sz="12" w:space="0"/>
            </w:tcBorders>
            <w:shd w:val="clear" w:color="auto" w:fill="FFFFFF"/>
          </w:tcPr>
          <w:p w14:paraId="5D43B8E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0.73</w:t>
            </w:r>
          </w:p>
        </w:tc>
        <w:tc>
          <w:tcPr>
            <w:tcW w:w="0" w:type="auto"/>
            <w:tcBorders>
              <w:bottom w:val="single" w:color="000000" w:sz="12" w:space="0"/>
            </w:tcBorders>
            <w:shd w:val="clear" w:color="auto" w:fill="FFFFFF"/>
          </w:tcPr>
          <w:p w14:paraId="6327846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0.50–1.20</w:t>
            </w:r>
          </w:p>
        </w:tc>
        <w:tc>
          <w:tcPr>
            <w:tcW w:w="0" w:type="auto"/>
            <w:tcBorders>
              <w:bottom w:val="single" w:color="000000" w:sz="12" w:space="0"/>
            </w:tcBorders>
            <w:shd w:val="clear" w:color="auto" w:fill="FFFFFF"/>
          </w:tcPr>
          <w:p w14:paraId="79B6AA6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元/kWh</w:t>
            </w:r>
          </w:p>
        </w:tc>
        <w:tc>
          <w:tcPr>
            <w:tcW w:w="0" w:type="auto"/>
            <w:tcBorders>
              <w:bottom w:val="single" w:color="000000" w:sz="12" w:space="0"/>
            </w:tcBorders>
            <w:shd w:val="clear" w:color="auto" w:fill="FFFFFF"/>
          </w:tcPr>
          <w:p w14:paraId="77E3B57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各省市充电价格政策汇总 (2024)</w:t>
            </w:r>
          </w:p>
        </w:tc>
      </w:tr>
      <w:tr w14:paraId="55BBA7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88" w:hRule="atLeast"/>
        </w:trPr>
        <w:tc>
          <w:tcPr>
            <w:tcW w:w="0" w:type="auto"/>
            <w:gridSpan w:val="6"/>
            <w:tcBorders>
              <w:top w:val="single" w:color="000000" w:sz="12" w:space="0"/>
              <w:bottom w:val="single" w:color="000000" w:sz="4" w:space="0"/>
              <w:tl2br w:val="nil"/>
            </w:tcBorders>
            <w:shd w:val="clear" w:color="auto" w:fill="FFFFFF"/>
          </w:tcPr>
          <w:p w14:paraId="528EC4AA">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非货币成本</w:t>
            </w:r>
            <w:r>
              <w:rPr>
                <w:rFonts w:hint="eastAsia" w:cs="Times New Roman" w:asciiTheme="minorEastAsia" w:hAnsiTheme="minorEastAsia" w:eastAsiaTheme="minorEastAsia"/>
                <w:color w:val="000000"/>
              </w:rPr>
              <w:t>]</w:t>
            </w:r>
          </w:p>
        </w:tc>
      </w:tr>
      <w:tr w14:paraId="031D0D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35" w:hRule="atLeast"/>
        </w:trPr>
        <w:tc>
          <w:tcPr>
            <w:tcW w:w="0" w:type="auto"/>
            <w:tcBorders>
              <w:top w:val="single" w:color="000000" w:sz="4" w:space="0"/>
            </w:tcBorders>
            <w:shd w:val="clear" w:color="auto" w:fill="FFFFFF"/>
          </w:tcPr>
          <w:p w14:paraId="2A66A16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BEV找桩等待时间成本</w:t>
            </w:r>
          </w:p>
        </w:tc>
        <w:tc>
          <w:tcPr>
            <w:tcW w:w="0" w:type="auto"/>
            <w:tcBorders>
              <w:top w:val="single" w:color="000000" w:sz="4" w:space="0"/>
            </w:tcBorders>
            <w:shd w:val="clear" w:color="auto" w:fill="FFFFFF"/>
          </w:tcPr>
          <w:p w14:paraId="2FF2080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因充电设施不足引起的搜寻与等待时间成本</w:t>
            </w:r>
          </w:p>
        </w:tc>
        <w:tc>
          <w:tcPr>
            <w:tcW w:w="0" w:type="auto"/>
            <w:tcBorders>
              <w:top w:val="single" w:color="000000" w:sz="4" w:space="0"/>
            </w:tcBorders>
            <w:shd w:val="clear" w:color="auto" w:fill="FFFFFF"/>
          </w:tcPr>
          <w:p w14:paraId="539DD38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2,652</w:t>
            </w:r>
          </w:p>
        </w:tc>
        <w:tc>
          <w:tcPr>
            <w:tcW w:w="0" w:type="auto"/>
            <w:tcBorders>
              <w:top w:val="single" w:color="000000" w:sz="4" w:space="0"/>
            </w:tcBorders>
            <w:shd w:val="clear" w:color="auto" w:fill="FFFFFF"/>
          </w:tcPr>
          <w:p w14:paraId="56A0801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tcBorders>
              <w:top w:val="single" w:color="000000" w:sz="4" w:space="0"/>
            </w:tcBorders>
            <w:shd w:val="clear" w:color="auto" w:fill="FFFFFF"/>
          </w:tcPr>
          <w:p w14:paraId="4A1A118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元/年</w:t>
            </w:r>
          </w:p>
        </w:tc>
        <w:tc>
          <w:tcPr>
            <w:tcW w:w="0" w:type="auto"/>
            <w:tcBorders>
              <w:top w:val="single" w:color="000000" w:sz="4" w:space="0"/>
            </w:tcBorders>
            <w:shd w:val="clear" w:color="auto" w:fill="FFFFFF"/>
          </w:tcPr>
          <w:p w14:paraId="2ED14A3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作者调研估算；时间价值法</w:t>
            </w:r>
          </w:p>
        </w:tc>
      </w:tr>
      <w:tr w14:paraId="349BED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tcBorders>
              <w:bottom w:val="single" w:color="000000" w:sz="12" w:space="0"/>
            </w:tcBorders>
            <w:shd w:val="clear" w:color="auto" w:fill="FFFFFF"/>
          </w:tcPr>
          <w:p w14:paraId="33B3DDC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车辆载客率</w:t>
            </w:r>
          </w:p>
        </w:tc>
        <w:tc>
          <w:tcPr>
            <w:tcW w:w="0" w:type="auto"/>
            <w:tcBorders>
              <w:bottom w:val="single" w:color="000000" w:sz="12" w:space="0"/>
            </w:tcBorders>
            <w:shd w:val="clear" w:color="auto" w:fill="FFFFFF"/>
          </w:tcPr>
          <w:p w14:paraId="1ED1B9B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私家车平均人均乘坐人数</w:t>
            </w:r>
          </w:p>
        </w:tc>
        <w:tc>
          <w:tcPr>
            <w:tcW w:w="0" w:type="auto"/>
            <w:tcBorders>
              <w:bottom w:val="single" w:color="000000" w:sz="12" w:space="0"/>
            </w:tcBorders>
            <w:shd w:val="clear" w:color="auto" w:fill="FFFFFF"/>
          </w:tcPr>
          <w:p w14:paraId="54412EB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1.442</w:t>
            </w:r>
          </w:p>
        </w:tc>
        <w:tc>
          <w:tcPr>
            <w:tcW w:w="0" w:type="auto"/>
            <w:tcBorders>
              <w:bottom w:val="single" w:color="000000" w:sz="12" w:space="0"/>
            </w:tcBorders>
            <w:shd w:val="clear" w:color="auto" w:fill="FFFFFF"/>
          </w:tcPr>
          <w:p w14:paraId="7B2FB69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1.2–1.8</w:t>
            </w:r>
          </w:p>
        </w:tc>
        <w:tc>
          <w:tcPr>
            <w:tcW w:w="0" w:type="auto"/>
            <w:tcBorders>
              <w:bottom w:val="single" w:color="000000" w:sz="12" w:space="0"/>
            </w:tcBorders>
            <w:shd w:val="clear" w:color="auto" w:fill="FFFFFF"/>
          </w:tcPr>
          <w:p w14:paraId="5044632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人/车</w:t>
            </w:r>
          </w:p>
        </w:tc>
        <w:tc>
          <w:tcPr>
            <w:tcW w:w="0" w:type="auto"/>
            <w:tcBorders>
              <w:bottom w:val="single" w:color="000000" w:sz="12" w:space="0"/>
            </w:tcBorders>
            <w:shd w:val="clear" w:color="auto" w:fill="FFFFFF"/>
          </w:tcPr>
          <w:p w14:paraId="11E1E1D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CNRDS出行数据</w:t>
            </w:r>
          </w:p>
        </w:tc>
      </w:tr>
      <w:tr w14:paraId="4C5CE1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88" w:hRule="atLeast"/>
        </w:trPr>
        <w:tc>
          <w:tcPr>
            <w:tcW w:w="0" w:type="auto"/>
            <w:gridSpan w:val="6"/>
            <w:tcBorders>
              <w:top w:val="single" w:color="000000" w:sz="12" w:space="0"/>
              <w:bottom w:val="single" w:color="000000" w:sz="4" w:space="0"/>
              <w:tl2br w:val="nil"/>
            </w:tcBorders>
            <w:shd w:val="clear" w:color="auto" w:fill="FFFFFF"/>
          </w:tcPr>
          <w:p w14:paraId="23EE29D3">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碳排放核算</w:t>
            </w:r>
            <w:r>
              <w:rPr>
                <w:rFonts w:hint="eastAsia" w:cs="Times New Roman" w:asciiTheme="minorEastAsia" w:hAnsiTheme="minorEastAsia" w:eastAsiaTheme="minorEastAsia"/>
                <w:color w:val="000000"/>
              </w:rPr>
              <w:t>]</w:t>
            </w:r>
          </w:p>
        </w:tc>
      </w:tr>
      <w:tr w14:paraId="482C1D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tcBorders>
              <w:top w:val="single" w:color="000000" w:sz="4" w:space="0"/>
            </w:tcBorders>
            <w:shd w:val="clear" w:color="auto" w:fill="FFFFFF"/>
          </w:tcPr>
          <w:p w14:paraId="1BA1487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ICEV年碳排放量</w:t>
            </w:r>
          </w:p>
        </w:tc>
        <w:tc>
          <w:tcPr>
            <w:tcW w:w="0" w:type="auto"/>
            <w:tcBorders>
              <w:top w:val="single" w:color="000000" w:sz="4" w:space="0"/>
            </w:tcBorders>
            <w:shd w:val="clear" w:color="auto" w:fill="FFFFFF"/>
          </w:tcPr>
          <w:p w14:paraId="64E320F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燃油车人均年碳当量排放</w:t>
            </w:r>
          </w:p>
        </w:tc>
        <w:tc>
          <w:tcPr>
            <w:tcW w:w="0" w:type="auto"/>
            <w:tcBorders>
              <w:top w:val="single" w:color="000000" w:sz="4" w:space="0"/>
            </w:tcBorders>
            <w:shd w:val="clear" w:color="auto" w:fill="FFFFFF"/>
          </w:tcPr>
          <w:p w14:paraId="55CD296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910.99</w:t>
            </w:r>
          </w:p>
        </w:tc>
        <w:tc>
          <w:tcPr>
            <w:tcW w:w="0" w:type="auto"/>
            <w:tcBorders>
              <w:top w:val="single" w:color="000000" w:sz="4" w:space="0"/>
            </w:tcBorders>
            <w:shd w:val="clear" w:color="auto" w:fill="FFFFFF"/>
          </w:tcPr>
          <w:p w14:paraId="3E745F1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tcBorders>
              <w:top w:val="single" w:color="000000" w:sz="4" w:space="0"/>
            </w:tcBorders>
            <w:shd w:val="clear" w:color="auto" w:fill="FFFFFF"/>
          </w:tcPr>
          <w:p w14:paraId="72186C3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kgCO</w:t>
            </w:r>
            <w:r>
              <w:rPr>
                <w:rFonts w:ascii="Cambria Math" w:hAnsi="Cambria Math" w:cs="Cambria Math" w:eastAsiaTheme="minorEastAsia"/>
                <w:color w:val="000000"/>
              </w:rPr>
              <w:t>₂</w:t>
            </w:r>
            <w:r>
              <w:rPr>
                <w:rFonts w:cs="Times New Roman" w:asciiTheme="minorEastAsia" w:hAnsiTheme="minorEastAsia" w:eastAsiaTheme="minorEastAsia"/>
                <w:color w:val="000000"/>
              </w:rPr>
              <w:t>e/人·年</w:t>
            </w:r>
          </w:p>
        </w:tc>
        <w:tc>
          <w:tcPr>
            <w:tcW w:w="0" w:type="auto"/>
            <w:tcBorders>
              <w:top w:val="single" w:color="000000" w:sz="4" w:space="0"/>
            </w:tcBorders>
            <w:shd w:val="clear" w:color="auto" w:fill="FFFFFF"/>
          </w:tcPr>
          <w:p w14:paraId="41A8697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生态环境部碳因子；作者测算</w:t>
            </w:r>
          </w:p>
        </w:tc>
      </w:tr>
      <w:tr w14:paraId="7448FB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1DD9F13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BEV年碳排放量</w:t>
            </w:r>
          </w:p>
        </w:tc>
        <w:tc>
          <w:tcPr>
            <w:tcW w:w="0" w:type="auto"/>
            <w:shd w:val="clear" w:color="auto" w:fill="FFFFFF"/>
          </w:tcPr>
          <w:p w14:paraId="5B47CB0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电动车人均年碳当量排放（含电力排放）</w:t>
            </w:r>
          </w:p>
        </w:tc>
        <w:tc>
          <w:tcPr>
            <w:tcW w:w="0" w:type="auto"/>
            <w:shd w:val="clear" w:color="auto" w:fill="FFFFFF"/>
          </w:tcPr>
          <w:p w14:paraId="2D08820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758.82</w:t>
            </w:r>
          </w:p>
        </w:tc>
        <w:tc>
          <w:tcPr>
            <w:tcW w:w="0" w:type="auto"/>
            <w:shd w:val="clear" w:color="auto" w:fill="FFFFFF"/>
          </w:tcPr>
          <w:p w14:paraId="206D93D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3219017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kgCO</w:t>
            </w:r>
            <w:r>
              <w:rPr>
                <w:rFonts w:ascii="Cambria Math" w:hAnsi="Cambria Math" w:cs="Cambria Math" w:eastAsiaTheme="minorEastAsia"/>
                <w:color w:val="000000"/>
              </w:rPr>
              <w:t>₂</w:t>
            </w:r>
            <w:r>
              <w:rPr>
                <w:rFonts w:cs="Times New Roman" w:asciiTheme="minorEastAsia" w:hAnsiTheme="minorEastAsia" w:eastAsiaTheme="minorEastAsia"/>
                <w:color w:val="000000"/>
              </w:rPr>
              <w:t>e/人·年</w:t>
            </w:r>
          </w:p>
        </w:tc>
        <w:tc>
          <w:tcPr>
            <w:tcW w:w="0" w:type="auto"/>
            <w:shd w:val="clear" w:color="auto" w:fill="FFFFFF"/>
          </w:tcPr>
          <w:p w14:paraId="3147B9D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生态环境部电力因子 (2022)；作者测算</w:t>
            </w:r>
          </w:p>
        </w:tc>
      </w:tr>
      <w:tr w14:paraId="39CA9E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tcBorders>
              <w:bottom w:val="single" w:color="000000" w:sz="12" w:space="0"/>
            </w:tcBorders>
            <w:shd w:val="clear" w:color="auto" w:fill="FFFFFF"/>
          </w:tcPr>
          <w:p w14:paraId="5BC9C46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社会碳成本 (SCC)</w:t>
            </w:r>
          </w:p>
        </w:tc>
        <w:tc>
          <w:tcPr>
            <w:tcW w:w="0" w:type="auto"/>
            <w:tcBorders>
              <w:bottom w:val="single" w:color="000000" w:sz="12" w:space="0"/>
            </w:tcBorders>
            <w:shd w:val="clear" w:color="auto" w:fill="FFFFFF"/>
          </w:tcPr>
          <w:p w14:paraId="1617241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每吨碳当量的社会成本</w:t>
            </w:r>
          </w:p>
        </w:tc>
        <w:tc>
          <w:tcPr>
            <w:tcW w:w="0" w:type="auto"/>
            <w:tcBorders>
              <w:bottom w:val="single" w:color="000000" w:sz="12" w:space="0"/>
            </w:tcBorders>
            <w:shd w:val="clear" w:color="auto" w:fill="FFFFFF"/>
          </w:tcPr>
          <w:p w14:paraId="2171062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185</w:t>
            </w:r>
          </w:p>
        </w:tc>
        <w:tc>
          <w:tcPr>
            <w:tcW w:w="0" w:type="auto"/>
            <w:tcBorders>
              <w:bottom w:val="single" w:color="000000" w:sz="12" w:space="0"/>
            </w:tcBorders>
            <w:shd w:val="clear" w:color="auto" w:fill="FFFFFF"/>
          </w:tcPr>
          <w:p w14:paraId="1746313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44–413</w:t>
            </w:r>
          </w:p>
        </w:tc>
        <w:tc>
          <w:tcPr>
            <w:tcW w:w="0" w:type="auto"/>
            <w:tcBorders>
              <w:bottom w:val="single" w:color="000000" w:sz="12" w:space="0"/>
            </w:tcBorders>
            <w:shd w:val="clear" w:color="auto" w:fill="FFFFFF"/>
          </w:tcPr>
          <w:p w14:paraId="5BB1348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美元/tCO</w:t>
            </w:r>
            <w:r>
              <w:rPr>
                <w:rFonts w:ascii="Cambria Math" w:hAnsi="Cambria Math" w:cs="Cambria Math" w:eastAsiaTheme="minorEastAsia"/>
                <w:color w:val="000000"/>
              </w:rPr>
              <w:t>₂</w:t>
            </w:r>
            <w:r>
              <w:rPr>
                <w:rFonts w:cs="Times New Roman" w:asciiTheme="minorEastAsia" w:hAnsiTheme="minorEastAsia" w:eastAsiaTheme="minorEastAsia"/>
                <w:color w:val="000000"/>
              </w:rPr>
              <w:t>e</w:t>
            </w:r>
          </w:p>
        </w:tc>
        <w:tc>
          <w:tcPr>
            <w:tcW w:w="0" w:type="auto"/>
            <w:tcBorders>
              <w:bottom w:val="single" w:color="000000" w:sz="12" w:space="0"/>
            </w:tcBorders>
            <w:shd w:val="clear" w:color="auto" w:fill="FFFFFF"/>
          </w:tcPr>
          <w:p w14:paraId="671EEFB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Rennert et al. (2022), Nature</w:t>
            </w:r>
          </w:p>
        </w:tc>
      </w:tr>
      <w:tr w14:paraId="23C834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88" w:hRule="atLeast"/>
        </w:trPr>
        <w:tc>
          <w:tcPr>
            <w:tcW w:w="0" w:type="auto"/>
            <w:gridSpan w:val="6"/>
            <w:tcBorders>
              <w:top w:val="single" w:color="000000" w:sz="12" w:space="0"/>
              <w:bottom w:val="single" w:color="000000" w:sz="4" w:space="0"/>
              <w:tl2br w:val="nil"/>
            </w:tcBorders>
            <w:shd w:val="clear" w:color="auto" w:fill="FFFFFF"/>
          </w:tcPr>
          <w:p w14:paraId="08B77928">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核算结果</w:t>
            </w:r>
            <w:r>
              <w:rPr>
                <w:rFonts w:hint="eastAsia" w:cs="Times New Roman" w:asciiTheme="minorEastAsia" w:hAnsiTheme="minorEastAsia" w:eastAsiaTheme="minorEastAsia"/>
                <w:color w:val="000000"/>
              </w:rPr>
              <w:t>]</w:t>
            </w:r>
          </w:p>
        </w:tc>
      </w:tr>
      <w:tr w14:paraId="1FAF31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tcBorders>
              <w:top w:val="single" w:color="000000" w:sz="4" w:space="0"/>
            </w:tcBorders>
            <w:shd w:val="clear" w:color="auto" w:fill="FFFFFF"/>
          </w:tcPr>
          <w:p w14:paraId="56002AED">
            <w:pPr>
              <w:pStyle w:val="23"/>
              <w:rPr>
                <w:rFonts w:hint="eastAsia" w:cs="Times New Roman" w:asciiTheme="minorEastAsia" w:hAnsiTheme="minorEastAsia" w:eastAsiaTheme="minorEastAsia"/>
                <w:color w:val="000000"/>
              </w:rPr>
            </w:pPr>
            <w:r>
              <w:rPr>
                <w:rFonts w:cs="Cambria Math" w:asciiTheme="minorEastAsia" w:hAnsiTheme="minorEastAsia" w:eastAsiaTheme="minorEastAsia"/>
                <w:color w:val="000000"/>
              </w:rPr>
              <w:t>△</w:t>
            </w:r>
            <w:r>
              <w:rPr>
                <w:rFonts w:cs="Times New Roman" w:asciiTheme="minorEastAsia" w:hAnsiTheme="minorEastAsia" w:eastAsiaTheme="minorEastAsia"/>
                <w:color w:val="000000"/>
              </w:rPr>
              <w:t>购置成本</w:t>
            </w:r>
          </w:p>
        </w:tc>
        <w:tc>
          <w:tcPr>
            <w:tcW w:w="0" w:type="auto"/>
            <w:tcBorders>
              <w:top w:val="single" w:color="000000" w:sz="4" w:space="0"/>
            </w:tcBorders>
            <w:shd w:val="clear" w:color="auto" w:fill="FFFFFF"/>
          </w:tcPr>
          <w:p w14:paraId="0A34351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BEV vs. ICEV年均购置成本差额（净收益）</w:t>
            </w:r>
          </w:p>
        </w:tc>
        <w:tc>
          <w:tcPr>
            <w:tcW w:w="0" w:type="auto"/>
            <w:tcBorders>
              <w:top w:val="single" w:color="000000" w:sz="4" w:space="0"/>
            </w:tcBorders>
            <w:shd w:val="clear" w:color="auto" w:fill="FFFFFF"/>
          </w:tcPr>
          <w:p w14:paraId="2651918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+192,113</w:t>
            </w:r>
          </w:p>
        </w:tc>
        <w:tc>
          <w:tcPr>
            <w:tcW w:w="0" w:type="auto"/>
            <w:tcBorders>
              <w:top w:val="single" w:color="000000" w:sz="4" w:space="0"/>
            </w:tcBorders>
            <w:shd w:val="clear" w:color="auto" w:fill="FFFFFF"/>
          </w:tcPr>
          <w:p w14:paraId="03847A8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tcBorders>
              <w:top w:val="single" w:color="000000" w:sz="4" w:space="0"/>
            </w:tcBorders>
            <w:shd w:val="clear" w:color="auto" w:fill="FFFFFF"/>
          </w:tcPr>
          <w:p w14:paraId="0908214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tcBorders>
              <w:top w:val="single" w:color="000000" w:sz="4" w:space="0"/>
            </w:tcBorders>
            <w:shd w:val="clear" w:color="auto" w:fill="FFFFFF"/>
          </w:tcPr>
          <w:p w14:paraId="0F7DEB4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71A155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4E05601E">
            <w:pPr>
              <w:pStyle w:val="23"/>
              <w:rPr>
                <w:rFonts w:hint="eastAsia" w:cs="Times New Roman" w:asciiTheme="minorEastAsia" w:hAnsiTheme="minorEastAsia" w:eastAsiaTheme="minorEastAsia"/>
                <w:color w:val="000000"/>
              </w:rPr>
            </w:pPr>
            <w:r>
              <w:rPr>
                <w:rFonts w:cs="Cambria Math" w:asciiTheme="minorEastAsia" w:hAnsiTheme="minorEastAsia" w:eastAsiaTheme="minorEastAsia"/>
                <w:color w:val="000000"/>
              </w:rPr>
              <w:t>△</w:t>
            </w:r>
            <w:r>
              <w:rPr>
                <w:rFonts w:cs="Times New Roman" w:asciiTheme="minorEastAsia" w:hAnsiTheme="minorEastAsia" w:eastAsiaTheme="minorEastAsia"/>
                <w:color w:val="000000"/>
              </w:rPr>
              <w:t>维护成本</w:t>
            </w:r>
          </w:p>
        </w:tc>
        <w:tc>
          <w:tcPr>
            <w:tcW w:w="0" w:type="auto"/>
            <w:shd w:val="clear" w:color="auto" w:fill="FFFFFF"/>
          </w:tcPr>
          <w:p w14:paraId="6010D63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BEV vs. ICEV年均维护成本差额（净收益）</w:t>
            </w:r>
          </w:p>
        </w:tc>
        <w:tc>
          <w:tcPr>
            <w:tcW w:w="0" w:type="auto"/>
            <w:shd w:val="clear" w:color="auto" w:fill="FFFFFF"/>
          </w:tcPr>
          <w:p w14:paraId="5ECA959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+1,270</w:t>
            </w:r>
          </w:p>
        </w:tc>
        <w:tc>
          <w:tcPr>
            <w:tcW w:w="0" w:type="auto"/>
            <w:shd w:val="clear" w:color="auto" w:fill="FFFFFF"/>
          </w:tcPr>
          <w:p w14:paraId="7325B71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6FBDAEE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shd w:val="clear" w:color="auto" w:fill="FFFFFF"/>
          </w:tcPr>
          <w:p w14:paraId="13B6115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17C647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662" w:hRule="atLeast"/>
        </w:trPr>
        <w:tc>
          <w:tcPr>
            <w:tcW w:w="0" w:type="auto"/>
            <w:shd w:val="clear" w:color="auto" w:fill="FFFFFF"/>
          </w:tcPr>
          <w:p w14:paraId="5FBDA935">
            <w:pPr>
              <w:pStyle w:val="23"/>
              <w:rPr>
                <w:rFonts w:hint="eastAsia" w:cs="Times New Roman" w:asciiTheme="minorEastAsia" w:hAnsiTheme="minorEastAsia" w:eastAsiaTheme="minorEastAsia"/>
                <w:color w:val="000000"/>
              </w:rPr>
            </w:pPr>
            <w:r>
              <w:rPr>
                <w:rFonts w:cs="Cambria Math" w:asciiTheme="minorEastAsia" w:hAnsiTheme="minorEastAsia" w:eastAsiaTheme="minorEastAsia"/>
                <w:color w:val="000000"/>
              </w:rPr>
              <w:t>△</w:t>
            </w:r>
            <w:r>
              <w:rPr>
                <w:rFonts w:cs="Times New Roman" w:asciiTheme="minorEastAsia" w:hAnsiTheme="minorEastAsia" w:eastAsiaTheme="minorEastAsia"/>
                <w:color w:val="000000"/>
              </w:rPr>
              <w:t>找桩等待成本</w:t>
            </w:r>
          </w:p>
        </w:tc>
        <w:tc>
          <w:tcPr>
            <w:tcW w:w="0" w:type="auto"/>
            <w:shd w:val="clear" w:color="auto" w:fill="FFFFFF"/>
          </w:tcPr>
          <w:p w14:paraId="66EFB0E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BEV特有的充电不便成本（净损失）</w:t>
            </w:r>
          </w:p>
        </w:tc>
        <w:tc>
          <w:tcPr>
            <w:tcW w:w="0" w:type="auto"/>
            <w:shd w:val="clear" w:color="auto" w:fill="FFFFFF"/>
          </w:tcPr>
          <w:p w14:paraId="33FD0604">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1,839</w:t>
            </w:r>
          </w:p>
        </w:tc>
        <w:tc>
          <w:tcPr>
            <w:tcW w:w="0" w:type="auto"/>
            <w:shd w:val="clear" w:color="auto" w:fill="FFFFFF"/>
          </w:tcPr>
          <w:p w14:paraId="25F0E83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2056FC8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shd w:val="clear" w:color="auto" w:fill="FFFFFF"/>
          </w:tcPr>
          <w:p w14:paraId="10BE4DA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3AAFB6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0CAC4DEF">
            <w:pPr>
              <w:pStyle w:val="23"/>
              <w:rPr>
                <w:rFonts w:hint="eastAsia" w:cs="Times New Roman" w:asciiTheme="minorEastAsia" w:hAnsiTheme="minorEastAsia" w:eastAsiaTheme="minorEastAsia"/>
                <w:color w:val="000000"/>
              </w:rPr>
            </w:pPr>
            <w:r>
              <w:rPr>
                <w:rFonts w:cs="Cambria Math" w:asciiTheme="minorEastAsia" w:hAnsiTheme="minorEastAsia" w:eastAsiaTheme="minorEastAsia"/>
                <w:color w:val="000000"/>
              </w:rPr>
              <w:t>△</w:t>
            </w:r>
            <w:r>
              <w:rPr>
                <w:rFonts w:cs="Times New Roman" w:asciiTheme="minorEastAsia" w:hAnsiTheme="minorEastAsia" w:eastAsiaTheme="minorEastAsia"/>
                <w:color w:val="000000"/>
              </w:rPr>
              <w:t>驾驶（燃料）成本</w:t>
            </w:r>
          </w:p>
        </w:tc>
        <w:tc>
          <w:tcPr>
            <w:tcW w:w="0" w:type="auto"/>
            <w:shd w:val="clear" w:color="auto" w:fill="FFFFFF"/>
          </w:tcPr>
          <w:p w14:paraId="65210BA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BEV vs. ICEV年均能源费用差额（净收益）</w:t>
            </w:r>
          </w:p>
        </w:tc>
        <w:tc>
          <w:tcPr>
            <w:tcW w:w="0" w:type="auto"/>
            <w:shd w:val="clear" w:color="auto" w:fill="FFFFFF"/>
          </w:tcPr>
          <w:p w14:paraId="7C9FF226">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257</w:t>
            </w:r>
          </w:p>
        </w:tc>
        <w:tc>
          <w:tcPr>
            <w:tcW w:w="0" w:type="auto"/>
            <w:shd w:val="clear" w:color="auto" w:fill="FFFFFF"/>
          </w:tcPr>
          <w:p w14:paraId="6376BAC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6AA54FF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shd w:val="clear" w:color="auto" w:fill="FFFFFF"/>
          </w:tcPr>
          <w:p w14:paraId="4AA447F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028336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6A3A684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个人福利净变化</w:t>
            </w:r>
          </w:p>
        </w:tc>
        <w:tc>
          <w:tcPr>
            <w:tcW w:w="0" w:type="auto"/>
            <w:shd w:val="clear" w:color="auto" w:fill="FFFFFF"/>
          </w:tcPr>
          <w:p w14:paraId="66B4DD8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个人层面综合福利变化</w:t>
            </w:r>
          </w:p>
        </w:tc>
        <w:tc>
          <w:tcPr>
            <w:tcW w:w="0" w:type="auto"/>
            <w:shd w:val="clear" w:color="auto" w:fill="FFFFFF"/>
          </w:tcPr>
          <w:p w14:paraId="160F156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+191,288</w:t>
            </w:r>
          </w:p>
        </w:tc>
        <w:tc>
          <w:tcPr>
            <w:tcW w:w="0" w:type="auto"/>
            <w:shd w:val="clear" w:color="auto" w:fill="FFFFFF"/>
          </w:tcPr>
          <w:p w14:paraId="2F82480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016D6A6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shd w:val="clear" w:color="auto" w:fill="FFFFFF"/>
          </w:tcPr>
          <w:p w14:paraId="204FD92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2415CB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3CFE1F4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年减排量</w:t>
            </w:r>
          </w:p>
        </w:tc>
        <w:tc>
          <w:tcPr>
            <w:tcW w:w="0" w:type="auto"/>
            <w:shd w:val="clear" w:color="auto" w:fill="FFFFFF"/>
          </w:tcPr>
          <w:p w14:paraId="5E244A0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每人每年节约的碳排放量</w:t>
            </w:r>
          </w:p>
        </w:tc>
        <w:tc>
          <w:tcPr>
            <w:tcW w:w="0" w:type="auto"/>
            <w:shd w:val="clear" w:color="auto" w:fill="FFFFFF"/>
          </w:tcPr>
          <w:p w14:paraId="1954240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152.17</w:t>
            </w:r>
          </w:p>
        </w:tc>
        <w:tc>
          <w:tcPr>
            <w:tcW w:w="0" w:type="auto"/>
            <w:shd w:val="clear" w:color="auto" w:fill="FFFFFF"/>
          </w:tcPr>
          <w:p w14:paraId="52A2B04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2A15D2F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kgCO</w:t>
            </w:r>
            <w:r>
              <w:rPr>
                <w:rFonts w:ascii="Cambria Math" w:hAnsi="Cambria Math" w:cs="Cambria Math" w:eastAsiaTheme="minorEastAsia"/>
                <w:color w:val="000000"/>
              </w:rPr>
              <w:t>₂</w:t>
            </w:r>
            <w:r>
              <w:rPr>
                <w:rFonts w:cs="Times New Roman" w:asciiTheme="minorEastAsia" w:hAnsiTheme="minorEastAsia" w:eastAsiaTheme="minorEastAsia"/>
                <w:color w:val="000000"/>
              </w:rPr>
              <w:t>e/人·年</w:t>
            </w:r>
          </w:p>
        </w:tc>
        <w:tc>
          <w:tcPr>
            <w:tcW w:w="0" w:type="auto"/>
            <w:shd w:val="clear" w:color="auto" w:fill="FFFFFF"/>
          </w:tcPr>
          <w:p w14:paraId="7F325BE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6B3501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62" w:hRule="atLeast"/>
        </w:trPr>
        <w:tc>
          <w:tcPr>
            <w:tcW w:w="0" w:type="auto"/>
            <w:shd w:val="clear" w:color="auto" w:fill="FFFFFF"/>
          </w:tcPr>
          <w:p w14:paraId="253CB06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社会福利净变化</w:t>
            </w:r>
          </w:p>
        </w:tc>
        <w:tc>
          <w:tcPr>
            <w:tcW w:w="0" w:type="auto"/>
            <w:shd w:val="clear" w:color="auto" w:fill="FFFFFF"/>
          </w:tcPr>
          <w:p w14:paraId="13FCACA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含碳减排收益的社会层面福利变化</w:t>
            </w:r>
          </w:p>
        </w:tc>
        <w:tc>
          <w:tcPr>
            <w:tcW w:w="0" w:type="auto"/>
            <w:shd w:val="clear" w:color="auto" w:fill="FFFFFF"/>
          </w:tcPr>
          <w:p w14:paraId="3294B20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+191,485</w:t>
            </w:r>
          </w:p>
        </w:tc>
        <w:tc>
          <w:tcPr>
            <w:tcW w:w="0" w:type="auto"/>
            <w:shd w:val="clear" w:color="auto" w:fill="FFFFFF"/>
          </w:tcPr>
          <w:p w14:paraId="62B3927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1E1E5EF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shd w:val="clear" w:color="auto" w:fill="FFFFFF"/>
          </w:tcPr>
          <w:p w14:paraId="70B99E6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447398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71" w:hRule="atLeast"/>
        </w:trPr>
        <w:tc>
          <w:tcPr>
            <w:tcW w:w="0" w:type="auto"/>
            <w:tcBorders>
              <w:bottom w:val="single" w:color="000000" w:sz="12" w:space="0"/>
            </w:tcBorders>
            <w:shd w:val="clear" w:color="auto" w:fill="FFFFFF"/>
          </w:tcPr>
          <w:p w14:paraId="3805E2B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减排成本</w:t>
            </w:r>
          </w:p>
        </w:tc>
        <w:tc>
          <w:tcPr>
            <w:tcW w:w="0" w:type="auto"/>
            <w:tcBorders>
              <w:bottom w:val="single" w:color="000000" w:sz="12" w:space="0"/>
            </w:tcBorders>
            <w:shd w:val="clear" w:color="auto" w:fill="FFFFFF"/>
          </w:tcPr>
          <w:p w14:paraId="0D3A7CE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单位减排量的私人净收益</w:t>
            </w:r>
          </w:p>
        </w:tc>
        <w:tc>
          <w:tcPr>
            <w:tcW w:w="0" w:type="auto"/>
            <w:tcBorders>
              <w:bottom w:val="single" w:color="000000" w:sz="12" w:space="0"/>
            </w:tcBorders>
            <w:shd w:val="clear" w:color="auto" w:fill="FFFFFF"/>
          </w:tcPr>
          <w:p w14:paraId="39CC3877">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1,257,069</w:t>
            </w:r>
          </w:p>
        </w:tc>
        <w:tc>
          <w:tcPr>
            <w:tcW w:w="0" w:type="auto"/>
            <w:tcBorders>
              <w:bottom w:val="single" w:color="000000" w:sz="12" w:space="0"/>
            </w:tcBorders>
            <w:shd w:val="clear" w:color="auto" w:fill="FFFFFF"/>
          </w:tcPr>
          <w:p w14:paraId="5C2E05C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tcBorders>
              <w:bottom w:val="single" w:color="000000" w:sz="12" w:space="0"/>
            </w:tcBorders>
            <w:shd w:val="clear" w:color="auto" w:fill="FFFFFF"/>
          </w:tcPr>
          <w:p w14:paraId="01C119A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元/tCO</w:t>
            </w:r>
            <w:r>
              <w:rPr>
                <w:rFonts w:ascii="Cambria Math" w:hAnsi="Cambria Math" w:cs="Cambria Math" w:eastAsiaTheme="minorEastAsia"/>
                <w:color w:val="000000"/>
              </w:rPr>
              <w:t>₂</w:t>
            </w:r>
            <w:r>
              <w:rPr>
                <w:rFonts w:cs="Times New Roman" w:asciiTheme="minorEastAsia" w:hAnsiTheme="minorEastAsia" w:eastAsiaTheme="minorEastAsia"/>
                <w:color w:val="000000"/>
              </w:rPr>
              <w:t>e</w:t>
            </w:r>
          </w:p>
        </w:tc>
        <w:tc>
          <w:tcPr>
            <w:tcW w:w="0" w:type="auto"/>
            <w:tcBorders>
              <w:bottom w:val="single" w:color="000000" w:sz="12" w:space="0"/>
            </w:tcBorders>
            <w:shd w:val="clear" w:color="auto" w:fill="FFFFFF"/>
          </w:tcPr>
          <w:p w14:paraId="3BC822E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bl>
    <w:p w14:paraId="6C188806">
      <w:pPr>
        <w:ind w:firstLine="480"/>
        <w:rPr>
          <w:rFonts w:cs="Times New Roman"/>
        </w:rPr>
      </w:pPr>
    </w:p>
    <w:p w14:paraId="3191D928">
      <w:pPr>
        <w:ind w:firstLine="480"/>
      </w:pPr>
      <w:r>
        <w:br w:type="page"/>
      </w:r>
    </w:p>
    <w:p w14:paraId="7D16A0CE">
      <w:pPr>
        <w:pStyle w:val="4"/>
        <w:bidi w:val="0"/>
        <w:rPr>
          <w:rFonts w:hint="default"/>
        </w:rPr>
      </w:pPr>
      <w:bookmarkStart w:id="54" w:name="_Toc4912"/>
      <w:r>
        <w:t>D.</w:t>
      </w:r>
      <w:r>
        <w:rPr>
          <w:rFonts w:hint="default"/>
        </w:rPr>
        <w:t>6 动物蛋白替换为豆腐</w:t>
      </w:r>
      <w:bookmarkEnd w:id="54"/>
    </w:p>
    <w:p w14:paraId="4925465B">
      <w:pPr>
        <w:pStyle w:val="5"/>
        <w:ind w:firstLine="562"/>
        <w:rPr>
          <w:rFonts w:cs="Times New Roman"/>
        </w:rPr>
      </w:pPr>
      <w:r>
        <w:rPr>
          <w:rFonts w:hint="eastAsia" w:cs="Times New Roman"/>
        </w:rPr>
        <w:t>D.</w:t>
      </w:r>
      <w:r>
        <w:rPr>
          <w:rFonts w:cs="Times New Roman"/>
        </w:rPr>
        <w:t>6.1 定义</w:t>
      </w:r>
    </w:p>
    <w:p w14:paraId="7689EEFF">
      <w:pPr>
        <w:spacing w:before="60" w:after="60"/>
        <w:ind w:firstLine="480"/>
        <w:rPr>
          <w:rFonts w:cs="Times New Roman"/>
        </w:rPr>
      </w:pPr>
      <w:r>
        <w:rPr>
          <w:rFonts w:cs="Times New Roman"/>
        </w:rPr>
        <w:t>本分析情景设定居民将日常饮食中的全部动物蛋白（猪肉、牛肉、羊肉、禽肉）替换为等量豆腐。为简化成本效益分析，仅关注豆腐这一中国传统植物蛋白食品作为肉类的替代品。</w:t>
      </w:r>
    </w:p>
    <w:p w14:paraId="3A999B1A">
      <w:pPr>
        <w:pStyle w:val="5"/>
        <w:ind w:firstLine="562"/>
        <w:rPr>
          <w:rFonts w:cs="Times New Roman"/>
        </w:rPr>
      </w:pPr>
      <w:r>
        <w:rPr>
          <w:rFonts w:hint="eastAsia" w:cs="Times New Roman"/>
        </w:rPr>
        <w:t>D.</w:t>
      </w:r>
      <w:r>
        <w:rPr>
          <w:rFonts w:cs="Times New Roman"/>
        </w:rPr>
        <w:t>6.2 测量</w:t>
      </w:r>
    </w:p>
    <w:p w14:paraId="322DCFCD">
      <w:pPr>
        <w:ind w:firstLine="480"/>
        <w:rPr>
          <w:rFonts w:cs="Times New Roman"/>
        </w:rPr>
      </w:pPr>
      <w:r>
        <w:rPr>
          <w:rFonts w:cs="Times New Roman"/>
        </w:rPr>
        <w:t>本行为净福利变化等于消费豆腐的年化成本减去消费动物肉类的年化成本：</w:t>
      </w:r>
    </w:p>
    <w:p w14:paraId="3104ECFB">
      <w:pPr>
        <w:ind w:firstLine="480"/>
        <w:rPr>
          <w:rFonts w:cs="Times New Roman"/>
        </w:rPr>
      </w:pPr>
      <w:r>
        <w:rPr>
          <w:rFonts w:cs="Times New Roman"/>
        </w:rPr>
        <w:t>ΔWelfare = MeatConsumption × (TofuPrice − MeatPrice) − MeatConsumption × NPC</w:t>
      </w:r>
    </w:p>
    <w:p w14:paraId="27BD56CE">
      <w:pPr>
        <w:ind w:firstLine="480"/>
        <w:rPr>
          <w:rFonts w:cs="Times New Roman"/>
        </w:rPr>
      </w:pPr>
      <w:r>
        <w:rPr>
          <w:rFonts w:cs="Times New Roman"/>
        </w:rPr>
        <w:t>其中，MeatConsumption 为年均肉类消费量（kg）；TofuPrice 为豆腐单价（元/kg）；MeatPrice 为各类肉类消费量加权平均价格（元/kg）；NPC 为由肉类转向豆腐的非货币心理成本（元/kg），由此转化后豆腐成本高于肉类则为收益（负成本）。</w:t>
      </w:r>
    </w:p>
    <w:p w14:paraId="56F8E90B">
      <w:pPr>
        <w:pStyle w:val="5"/>
        <w:ind w:firstLine="562"/>
        <w:rPr>
          <w:rFonts w:cs="Times New Roman"/>
        </w:rPr>
      </w:pPr>
      <w:r>
        <w:rPr>
          <w:rFonts w:hint="eastAsia" w:cs="Times New Roman"/>
        </w:rPr>
        <w:t>D.</w:t>
      </w:r>
      <w:r>
        <w:rPr>
          <w:rFonts w:cs="Times New Roman"/>
        </w:rPr>
        <w:t>6.3 数据来源</w:t>
      </w:r>
    </w:p>
    <w:p w14:paraId="1C438858">
      <w:pPr>
        <w:ind w:firstLine="480"/>
        <w:rPr>
          <w:rFonts w:cs="Times New Roman"/>
        </w:rPr>
      </w:pPr>
      <w:r>
        <w:rPr>
          <w:rFonts w:cs="Times New Roman"/>
        </w:rPr>
        <w:t>（1）肉类消费量：数据来源于北京统计年鉴2018–2020年，综合猪肉、牛肉、羊肉、禽肉四类的人均年消费量，三年均值约45.50 kg/年。</w:t>
      </w:r>
    </w:p>
    <w:p w14:paraId="7964B413">
      <w:pPr>
        <w:ind w:firstLine="480"/>
        <w:rPr>
          <w:rFonts w:cs="Times New Roman"/>
        </w:rPr>
      </w:pPr>
      <w:r>
        <w:rPr>
          <w:rFonts w:cs="Times New Roman"/>
        </w:rPr>
        <w:t>（2）肉类价格：依据农业农村部周度价格公报数据，猪肉约24.5元/kg，牛肉约61.5元/kg，羊肉约59.5元/kg，禽肉约17.5元/kg，按消费量加权计算均价约26.45元/kg。</w:t>
      </w:r>
    </w:p>
    <w:p w14:paraId="03CCD0B8">
      <w:pPr>
        <w:ind w:firstLine="480"/>
        <w:rPr>
          <w:rFonts w:cs="Times New Roman"/>
        </w:rPr>
      </w:pPr>
      <w:r>
        <w:rPr>
          <w:rFonts w:cs="Times New Roman"/>
        </w:rPr>
        <w:t>（3）豆腐价格：数据来源于北京新发地市场价格行情（中国最大批发市场），北豆腐约4.6元/kg，南豆腐约2.22元/kg，均值约3.41元/kg。</w:t>
      </w:r>
    </w:p>
    <w:p w14:paraId="51AA4FEB">
      <w:pPr>
        <w:ind w:firstLine="480"/>
        <w:rPr>
          <w:rFonts w:cs="Times New Roman"/>
        </w:rPr>
      </w:pPr>
      <w:r>
        <w:rPr>
          <w:rFonts w:cs="Times New Roman"/>
        </w:rPr>
        <w:t>（4）心理成本（NPC）：综合多项陈述偏好调查与随机对照试验（Ortega et al., 2022；Quan et al., 2024；Arora et al., 2020），估计消费者从动物蛋白转向豆腐的非货币心理成本。使用Viscusi &amp; Aldy（2003）效益转移方法，将研究地点的支付意愿估计值换算至中国情境，基准值约36.13元/kg（范围：17.14–42.98元/kg）。</w:t>
      </w:r>
    </w:p>
    <w:p w14:paraId="1804EE50">
      <w:pPr>
        <w:ind w:firstLine="480"/>
        <w:rPr>
          <w:rFonts w:cs="Times New Roman"/>
        </w:rPr>
      </w:pPr>
      <w:r>
        <w:rPr>
          <w:rFonts w:cs="Times New Roman"/>
        </w:rPr>
        <w:t>（5）碳排放：依据Liu等（2016）和Rao等（2021）研究数据，各类肉品加权平均碳排放强度约83.03 kgCO₂e/kg，豆腐约9.38 kgCO₂e/kg。</w:t>
      </w:r>
    </w:p>
    <w:p w14:paraId="5E4959FD">
      <w:pPr>
        <w:pStyle w:val="5"/>
        <w:ind w:firstLine="562"/>
        <w:rPr>
          <w:rFonts w:cs="Times New Roman"/>
        </w:rPr>
      </w:pPr>
      <w:r>
        <w:rPr>
          <w:rFonts w:hint="eastAsia" w:cs="Times New Roman"/>
        </w:rPr>
        <w:t>D.</w:t>
      </w:r>
      <w:r>
        <w:rPr>
          <w:rFonts w:cs="Times New Roman"/>
        </w:rPr>
        <w:t>6.4 参数设置</w:t>
      </w:r>
    </w:p>
    <w:p w14:paraId="56DDEC32">
      <w:pPr>
        <w:ind w:firstLine="0" w:firstLineChars="0"/>
        <w:jc w:val="center"/>
      </w:pPr>
      <w:r>
        <w:rPr>
          <w:rFonts w:hint="eastAsia" w:cs="Times New Roman"/>
        </w:rPr>
        <w:t>附表</w:t>
      </w:r>
      <w:r>
        <w:rPr>
          <w:rFonts w:hint="eastAsia"/>
        </w:rPr>
        <w:t>D-11</w:t>
      </w:r>
    </w:p>
    <w:p w14:paraId="5D1A593A">
      <w:pPr>
        <w:ind w:firstLine="0" w:firstLineChars="0"/>
        <w:jc w:val="center"/>
        <w:rPr>
          <w:rFonts w:cs="Times New Roman"/>
        </w:rPr>
      </w:pPr>
      <w:r>
        <w:rPr>
          <w:rFonts w:hint="eastAsia" w:cs="Times New Roman"/>
          <w:b/>
          <w:bCs/>
        </w:rPr>
        <w:t>Table D-11</w:t>
      </w:r>
    </w:p>
    <w:tbl>
      <w:tblPr>
        <w:tblStyle w:val="13"/>
        <w:tblW w:w="8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5"/>
        <w:gridCol w:w="1360"/>
        <w:gridCol w:w="1198"/>
        <w:gridCol w:w="1099"/>
        <w:gridCol w:w="1099"/>
        <w:gridCol w:w="1099"/>
      </w:tblGrid>
      <w:tr w14:paraId="5034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900" w:type="dxa"/>
            <w:tcBorders>
              <w:top w:val="single" w:color="000000" w:sz="12" w:space="0"/>
              <w:left w:val="nil"/>
              <w:bottom w:val="single" w:color="000000" w:sz="4" w:space="0"/>
              <w:right w:val="nil"/>
              <w:tl2br w:val="nil"/>
            </w:tcBorders>
            <w:shd w:val="clear" w:color="auto" w:fill="FFFFFF"/>
            <w:tcMar>
              <w:top w:w="60" w:type="dxa"/>
              <w:left w:w="80" w:type="dxa"/>
              <w:bottom w:w="60" w:type="dxa"/>
              <w:right w:w="80" w:type="dxa"/>
            </w:tcMar>
            <w:vAlign w:val="center"/>
          </w:tcPr>
          <w:p w14:paraId="63C8C5DA">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参数</w:t>
            </w:r>
          </w:p>
        </w:tc>
        <w:tc>
          <w:tcPr>
            <w:tcW w:w="135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0259C8C0">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单位</w:t>
            </w:r>
          </w:p>
        </w:tc>
        <w:tc>
          <w:tcPr>
            <w:tcW w:w="12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051593E">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分布</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4C3778AB">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第10百分位</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7F0D34C1">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均值</w:t>
            </w:r>
          </w:p>
        </w:tc>
        <w:tc>
          <w:tcPr>
            <w:tcW w:w="1100" w:type="dxa"/>
            <w:tcBorders>
              <w:top w:val="single" w:color="000000" w:sz="12" w:space="0"/>
              <w:left w:val="nil"/>
              <w:bottom w:val="single" w:color="000000" w:sz="4" w:space="0"/>
              <w:right w:val="nil"/>
            </w:tcBorders>
            <w:shd w:val="clear" w:color="auto" w:fill="FFFFFF"/>
            <w:tcMar>
              <w:top w:w="60" w:type="dxa"/>
              <w:left w:w="80" w:type="dxa"/>
              <w:bottom w:w="60" w:type="dxa"/>
              <w:right w:w="80" w:type="dxa"/>
            </w:tcMar>
            <w:vAlign w:val="center"/>
          </w:tcPr>
          <w:p w14:paraId="3947AC17">
            <w:pPr>
              <w:pStyle w:val="23"/>
              <w:keepNext w:val="0"/>
              <w:keepLines w:val="0"/>
              <w:suppressLineNumbers w:val="0"/>
              <w:spacing w:before="0" w:beforeAutospacing="0" w:after="0" w:afterAutospacing="0"/>
              <w:ind w:left="0" w:right="0"/>
              <w:rPr>
                <w:rFonts w:hint="eastAsia" w:ascii="宋体" w:hAnsi="宋体" w:eastAsia="宋体" w:cs="Times New Roman"/>
                <w:bCs/>
                <w:color w:val="000000"/>
              </w:rPr>
            </w:pPr>
            <w:r>
              <w:rPr>
                <w:rFonts w:hint="eastAsia" w:ascii="宋体" w:hAnsi="宋体" w:eastAsia="宋体" w:cs="Times New Roman"/>
                <w:bCs/>
                <w:color w:val="000000"/>
              </w:rPr>
              <w:t>第90百分位</w:t>
            </w:r>
          </w:p>
        </w:tc>
      </w:tr>
      <w:tr w14:paraId="2F25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784A8B8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 xml:space="preserve">年均肉类消费量 </w:t>
            </w:r>
          </w:p>
        </w:tc>
        <w:tc>
          <w:tcPr>
            <w:tcW w:w="135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3238A1C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kg/年</w:t>
            </w:r>
          </w:p>
        </w:tc>
        <w:tc>
          <w:tcPr>
            <w:tcW w:w="12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E1D1EE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59E9575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0.80</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4BD4381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45.50</w:t>
            </w:r>
          </w:p>
        </w:tc>
        <w:tc>
          <w:tcPr>
            <w:tcW w:w="1100" w:type="dxa"/>
            <w:tcBorders>
              <w:top w:val="single" w:color="000000" w:sz="4" w:space="0"/>
              <w:left w:val="nil"/>
              <w:bottom w:val="nil"/>
              <w:right w:val="nil"/>
            </w:tcBorders>
            <w:shd w:val="clear" w:color="auto" w:fill="FFFFFF"/>
            <w:tcMar>
              <w:top w:w="60" w:type="dxa"/>
              <w:left w:w="80" w:type="dxa"/>
              <w:bottom w:w="60" w:type="dxa"/>
              <w:right w:w="80" w:type="dxa"/>
            </w:tcMar>
            <w:vAlign w:val="center"/>
          </w:tcPr>
          <w:p w14:paraId="6EC7615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52.06</w:t>
            </w:r>
          </w:p>
        </w:tc>
      </w:tr>
      <w:tr w14:paraId="2672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02CDBB34">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肉类加权均价</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6FEF306C">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元/kg</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440F055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492ED88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25.45</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B9AC84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26.45</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1336C51">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44.37</w:t>
            </w:r>
          </w:p>
        </w:tc>
      </w:tr>
      <w:tr w14:paraId="571D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795BCE8D">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豆腐价格</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32584018">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元/kg</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10583B6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正态</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612FD1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2.73</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693391C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3.41</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53C3D0A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3.50</w:t>
            </w:r>
          </w:p>
        </w:tc>
      </w:tr>
      <w:tr w14:paraId="1DC3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5EE3571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 xml:space="preserve">心理成本—肉转豆腐 </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45587BD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元/kg</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66CC0C69">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三角</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06ADD1A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17.14</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71B95FD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36.13</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6715086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42.98</w:t>
            </w:r>
          </w:p>
        </w:tc>
      </w:tr>
      <w:tr w14:paraId="6EA7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nil"/>
              <w:left w:val="nil"/>
              <w:bottom w:val="nil"/>
              <w:right w:val="nil"/>
            </w:tcBorders>
            <w:shd w:val="clear" w:color="auto" w:fill="FFFFFF"/>
            <w:tcMar>
              <w:top w:w="60" w:type="dxa"/>
              <w:left w:w="80" w:type="dxa"/>
              <w:bottom w:w="60" w:type="dxa"/>
              <w:right w:w="80" w:type="dxa"/>
            </w:tcMar>
            <w:vAlign w:val="center"/>
          </w:tcPr>
          <w:p w14:paraId="43BE0B3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CO</w:t>
            </w:r>
            <w:r>
              <w:rPr>
                <w:rFonts w:hint="eastAsia" w:ascii="Cambria Math" w:hAnsi="Cambria Math" w:eastAsia="宋体" w:cs="Cambria Math"/>
                <w:color w:val="000000"/>
              </w:rPr>
              <w:t>₂</w:t>
            </w:r>
            <w:r>
              <w:rPr>
                <w:rFonts w:hint="eastAsia" w:ascii="宋体" w:hAnsi="宋体" w:eastAsia="宋体" w:cs="Times New Roman"/>
                <w:color w:val="000000"/>
              </w:rPr>
              <w:t>e强度—动物蛋白</w:t>
            </w:r>
          </w:p>
        </w:tc>
        <w:tc>
          <w:tcPr>
            <w:tcW w:w="1350" w:type="dxa"/>
            <w:tcBorders>
              <w:top w:val="nil"/>
              <w:left w:val="nil"/>
              <w:bottom w:val="nil"/>
              <w:right w:val="nil"/>
            </w:tcBorders>
            <w:shd w:val="clear" w:color="auto" w:fill="FFFFFF"/>
            <w:tcMar>
              <w:top w:w="60" w:type="dxa"/>
              <w:left w:w="80" w:type="dxa"/>
              <w:bottom w:w="60" w:type="dxa"/>
              <w:right w:w="80" w:type="dxa"/>
            </w:tcMar>
            <w:vAlign w:val="center"/>
          </w:tcPr>
          <w:p w14:paraId="73EF0936">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kgCO</w:t>
            </w:r>
            <w:r>
              <w:rPr>
                <w:rFonts w:hint="eastAsia" w:ascii="Cambria Math" w:hAnsi="Cambria Math" w:eastAsia="宋体" w:cs="Cambria Math"/>
                <w:color w:val="000000"/>
              </w:rPr>
              <w:t>₂</w:t>
            </w:r>
            <w:r>
              <w:rPr>
                <w:rFonts w:hint="eastAsia" w:ascii="宋体" w:hAnsi="宋体" w:eastAsia="宋体" w:cs="Times New Roman"/>
                <w:color w:val="000000"/>
              </w:rPr>
              <w:t>e/kg</w:t>
            </w:r>
          </w:p>
        </w:tc>
        <w:tc>
          <w:tcPr>
            <w:tcW w:w="1200" w:type="dxa"/>
            <w:tcBorders>
              <w:top w:val="nil"/>
              <w:left w:val="nil"/>
              <w:bottom w:val="nil"/>
              <w:right w:val="nil"/>
            </w:tcBorders>
            <w:shd w:val="clear" w:color="auto" w:fill="FFFFFF"/>
            <w:tcMar>
              <w:top w:w="60" w:type="dxa"/>
              <w:left w:w="80" w:type="dxa"/>
              <w:bottom w:w="60" w:type="dxa"/>
              <w:right w:w="80" w:type="dxa"/>
            </w:tcMar>
            <w:vAlign w:val="center"/>
          </w:tcPr>
          <w:p w14:paraId="3EC1AFD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1E207BBE">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4B5EF132">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83.03</w:t>
            </w:r>
          </w:p>
        </w:tc>
        <w:tc>
          <w:tcPr>
            <w:tcW w:w="1100" w:type="dxa"/>
            <w:tcBorders>
              <w:top w:val="nil"/>
              <w:left w:val="nil"/>
              <w:bottom w:val="nil"/>
              <w:right w:val="nil"/>
            </w:tcBorders>
            <w:shd w:val="clear" w:color="auto" w:fill="FFFFFF"/>
            <w:tcMar>
              <w:top w:w="60" w:type="dxa"/>
              <w:left w:w="80" w:type="dxa"/>
              <w:bottom w:w="60" w:type="dxa"/>
              <w:right w:w="80" w:type="dxa"/>
            </w:tcMar>
            <w:vAlign w:val="center"/>
          </w:tcPr>
          <w:p w14:paraId="44DF30DF">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r w14:paraId="56B4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B93C19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CO</w:t>
            </w:r>
            <w:r>
              <w:rPr>
                <w:rFonts w:hint="eastAsia" w:ascii="Cambria Math" w:hAnsi="Cambria Math" w:eastAsia="宋体" w:cs="Cambria Math"/>
                <w:color w:val="000000"/>
              </w:rPr>
              <w:t>₂</w:t>
            </w:r>
            <w:r>
              <w:rPr>
                <w:rFonts w:hint="eastAsia" w:ascii="宋体" w:hAnsi="宋体" w:eastAsia="宋体" w:cs="Times New Roman"/>
                <w:color w:val="000000"/>
              </w:rPr>
              <w:t>e强度—豆腐</w:t>
            </w:r>
          </w:p>
        </w:tc>
        <w:tc>
          <w:tcPr>
            <w:tcW w:w="135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67EF3037">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kgCO</w:t>
            </w:r>
            <w:r>
              <w:rPr>
                <w:rFonts w:hint="eastAsia" w:ascii="Cambria Math" w:hAnsi="Cambria Math" w:eastAsia="宋体" w:cs="Cambria Math"/>
                <w:color w:val="000000"/>
              </w:rPr>
              <w:t>₂</w:t>
            </w:r>
            <w:r>
              <w:rPr>
                <w:rFonts w:hint="eastAsia" w:ascii="宋体" w:hAnsi="宋体" w:eastAsia="宋体" w:cs="Times New Roman"/>
                <w:color w:val="000000"/>
              </w:rPr>
              <w:t>e/kg</w:t>
            </w:r>
          </w:p>
        </w:tc>
        <w:tc>
          <w:tcPr>
            <w:tcW w:w="12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5E154CF0">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482F5073">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7443B06A">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9.38</w:t>
            </w:r>
          </w:p>
        </w:tc>
        <w:tc>
          <w:tcPr>
            <w:tcW w:w="1100" w:type="dxa"/>
            <w:tcBorders>
              <w:top w:val="nil"/>
              <w:left w:val="nil"/>
              <w:bottom w:val="single" w:color="000000" w:sz="12" w:space="0"/>
              <w:right w:val="nil"/>
            </w:tcBorders>
            <w:shd w:val="clear" w:color="auto" w:fill="FFFFFF"/>
            <w:tcMar>
              <w:top w:w="60" w:type="dxa"/>
              <w:left w:w="80" w:type="dxa"/>
              <w:bottom w:w="60" w:type="dxa"/>
              <w:right w:w="80" w:type="dxa"/>
            </w:tcMar>
            <w:vAlign w:val="center"/>
          </w:tcPr>
          <w:p w14:paraId="149105FB">
            <w:pPr>
              <w:pStyle w:val="23"/>
              <w:keepNext w:val="0"/>
              <w:keepLines w:val="0"/>
              <w:suppressLineNumbers w:val="0"/>
              <w:spacing w:before="0" w:beforeAutospacing="0" w:after="0" w:afterAutospacing="0"/>
              <w:ind w:left="0" w:right="0"/>
              <w:rPr>
                <w:rFonts w:hint="eastAsia" w:ascii="宋体" w:hAnsi="宋体" w:eastAsia="宋体" w:cs="Times New Roman"/>
                <w:color w:val="000000"/>
              </w:rPr>
            </w:pPr>
            <w:r>
              <w:rPr>
                <w:rFonts w:hint="eastAsia" w:ascii="宋体" w:hAnsi="宋体" w:eastAsia="宋体" w:cs="Times New Roman"/>
                <w:color w:val="000000"/>
              </w:rPr>
              <w:t>—</w:t>
            </w:r>
          </w:p>
        </w:tc>
      </w:tr>
    </w:tbl>
    <w:p w14:paraId="5A8681ED">
      <w:pPr>
        <w:ind w:firstLine="0" w:firstLineChars="0"/>
        <w:jc w:val="center"/>
        <w:rPr>
          <w:rFonts w:cs="Times New Roman"/>
        </w:rPr>
      </w:pPr>
    </w:p>
    <w:p w14:paraId="4CD58D5B">
      <w:pPr>
        <w:ind w:firstLine="0" w:firstLineChars="0"/>
        <w:jc w:val="center"/>
      </w:pPr>
      <w:r>
        <w:rPr>
          <w:rFonts w:hint="eastAsia" w:cs="Times New Roman"/>
        </w:rPr>
        <w:t>附表</w:t>
      </w:r>
      <w:r>
        <w:rPr>
          <w:rFonts w:hint="eastAsia"/>
        </w:rPr>
        <w:t>D-12</w:t>
      </w:r>
    </w:p>
    <w:p w14:paraId="379CC57C">
      <w:pPr>
        <w:ind w:firstLine="0" w:firstLineChars="0"/>
        <w:jc w:val="center"/>
        <w:rPr>
          <w:rFonts w:cs="Times New Roman"/>
        </w:rPr>
      </w:pPr>
      <w:r>
        <w:rPr>
          <w:rFonts w:hint="eastAsia" w:cs="Times New Roman"/>
          <w:b/>
          <w:bCs/>
        </w:rPr>
        <w:t>Table D-13</w:t>
      </w:r>
    </w:p>
    <w:tbl>
      <w:tblPr>
        <w:tblStyle w:val="29"/>
        <w:tblW w:w="865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00" w:type="dxa"/>
          <w:left w:w="100" w:type="dxa"/>
          <w:bottom w:w="100" w:type="dxa"/>
          <w:right w:w="100" w:type="dxa"/>
        </w:tblCellMar>
      </w:tblPr>
      <w:tblGrid>
        <w:gridCol w:w="897"/>
        <w:gridCol w:w="1234"/>
        <w:gridCol w:w="1100"/>
        <w:gridCol w:w="1640"/>
        <w:gridCol w:w="1281"/>
        <w:gridCol w:w="2504"/>
      </w:tblGrid>
      <w:tr w14:paraId="6D3666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8" w:hRule="atLeast"/>
        </w:trPr>
        <w:tc>
          <w:tcPr>
            <w:tcW w:w="1047" w:type="dxa"/>
            <w:tcBorders>
              <w:top w:val="single" w:color="000000" w:sz="12" w:space="0"/>
              <w:bottom w:val="single" w:color="000000" w:sz="4" w:space="0"/>
              <w:tl2br w:val="nil"/>
            </w:tcBorders>
            <w:shd w:val="clear" w:color="auto" w:fill="FFFFFF"/>
          </w:tcPr>
          <w:p w14:paraId="1F42CC7B">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参数名称</w:t>
            </w:r>
          </w:p>
        </w:tc>
        <w:tc>
          <w:tcPr>
            <w:tcW w:w="1705" w:type="dxa"/>
            <w:tcBorders>
              <w:top w:val="single" w:color="000000" w:sz="12" w:space="0"/>
              <w:bottom w:val="single" w:color="000000" w:sz="4" w:space="0"/>
            </w:tcBorders>
            <w:shd w:val="clear" w:color="auto" w:fill="FFFFFF"/>
          </w:tcPr>
          <w:p w14:paraId="603B5061">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参数含义</w:t>
            </w:r>
          </w:p>
        </w:tc>
        <w:tc>
          <w:tcPr>
            <w:tcW w:w="899" w:type="dxa"/>
            <w:tcBorders>
              <w:top w:val="single" w:color="000000" w:sz="12" w:space="0"/>
              <w:bottom w:val="single" w:color="000000" w:sz="4" w:space="0"/>
            </w:tcBorders>
            <w:shd w:val="clear" w:color="auto" w:fill="FFFFFF"/>
          </w:tcPr>
          <w:p w14:paraId="54D2D916">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基准值</w:t>
            </w:r>
          </w:p>
        </w:tc>
        <w:tc>
          <w:tcPr>
            <w:tcW w:w="850" w:type="dxa"/>
            <w:tcBorders>
              <w:top w:val="single" w:color="000000" w:sz="12" w:space="0"/>
              <w:bottom w:val="single" w:color="000000" w:sz="4" w:space="0"/>
            </w:tcBorders>
            <w:shd w:val="clear" w:color="auto" w:fill="FFFFFF"/>
          </w:tcPr>
          <w:p w14:paraId="5AD1D189">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范围/分布</w:t>
            </w:r>
          </w:p>
        </w:tc>
        <w:tc>
          <w:tcPr>
            <w:tcW w:w="1160" w:type="dxa"/>
            <w:tcBorders>
              <w:top w:val="single" w:color="000000" w:sz="12" w:space="0"/>
              <w:bottom w:val="single" w:color="000000" w:sz="4" w:space="0"/>
            </w:tcBorders>
            <w:shd w:val="clear" w:color="auto" w:fill="FFFFFF"/>
          </w:tcPr>
          <w:p w14:paraId="2A3EF243">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单位</w:t>
            </w:r>
          </w:p>
        </w:tc>
        <w:tc>
          <w:tcPr>
            <w:tcW w:w="2995" w:type="dxa"/>
            <w:tcBorders>
              <w:top w:val="single" w:color="000000" w:sz="12" w:space="0"/>
              <w:bottom w:val="single" w:color="000000" w:sz="4" w:space="0"/>
            </w:tcBorders>
            <w:shd w:val="clear" w:color="auto" w:fill="FFFFFF"/>
          </w:tcPr>
          <w:p w14:paraId="7333F956">
            <w:pPr>
              <w:pStyle w:val="23"/>
              <w:rPr>
                <w:rFonts w:hint="eastAsia" w:cs="Times New Roman" w:asciiTheme="minorEastAsia" w:hAnsiTheme="minorEastAsia" w:eastAsiaTheme="minorEastAsia"/>
                <w:bCs/>
                <w:color w:val="000000"/>
              </w:rPr>
            </w:pPr>
            <w:r>
              <w:rPr>
                <w:rFonts w:cs="Times New Roman" w:asciiTheme="minorEastAsia" w:hAnsiTheme="minorEastAsia" w:eastAsiaTheme="minorEastAsia"/>
                <w:bCs/>
                <w:color w:val="000000"/>
              </w:rPr>
              <w:t>数据来源</w:t>
            </w:r>
          </w:p>
        </w:tc>
      </w:tr>
      <w:tr w14:paraId="077563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50" w:hRule="atLeast"/>
        </w:trPr>
        <w:tc>
          <w:tcPr>
            <w:tcW w:w="0" w:type="auto"/>
            <w:gridSpan w:val="6"/>
            <w:tcBorders>
              <w:top w:val="single" w:color="000000" w:sz="12" w:space="0"/>
              <w:bottom w:val="single" w:color="000000" w:sz="4" w:space="0"/>
              <w:tl2br w:val="nil"/>
            </w:tcBorders>
            <w:shd w:val="clear" w:color="auto" w:fill="FFFFFF"/>
          </w:tcPr>
          <w:p w14:paraId="236C2FBB">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货币成本/收益</w:t>
            </w:r>
            <w:r>
              <w:rPr>
                <w:rFonts w:hint="eastAsia" w:cs="Times New Roman" w:asciiTheme="minorEastAsia" w:hAnsiTheme="minorEastAsia" w:eastAsiaTheme="minorEastAsia"/>
                <w:color w:val="000000"/>
              </w:rPr>
              <w:t>]</w:t>
            </w:r>
          </w:p>
        </w:tc>
      </w:tr>
      <w:tr w14:paraId="4ADA83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87" w:hRule="atLeast"/>
        </w:trPr>
        <w:tc>
          <w:tcPr>
            <w:tcW w:w="0" w:type="auto"/>
            <w:tcBorders>
              <w:top w:val="single" w:color="000000" w:sz="4" w:space="0"/>
            </w:tcBorders>
            <w:shd w:val="clear" w:color="auto" w:fill="FFFFFF"/>
          </w:tcPr>
          <w:p w14:paraId="3174291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年均肉类消费量</w:t>
            </w:r>
          </w:p>
        </w:tc>
        <w:tc>
          <w:tcPr>
            <w:tcW w:w="0" w:type="auto"/>
            <w:tcBorders>
              <w:top w:val="single" w:color="000000" w:sz="4" w:space="0"/>
            </w:tcBorders>
            <w:shd w:val="clear" w:color="auto" w:fill="FFFFFF"/>
          </w:tcPr>
          <w:p w14:paraId="126AC24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人均年消费肉类总量（猪肉+牛肉+羊肉+禽类）</w:t>
            </w:r>
          </w:p>
        </w:tc>
        <w:tc>
          <w:tcPr>
            <w:tcW w:w="0" w:type="auto"/>
            <w:tcBorders>
              <w:top w:val="single" w:color="000000" w:sz="4" w:space="0"/>
            </w:tcBorders>
            <w:shd w:val="clear" w:color="auto" w:fill="FFFFFF"/>
          </w:tcPr>
          <w:p w14:paraId="5FEDF4F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45.5</w:t>
            </w:r>
          </w:p>
        </w:tc>
        <w:tc>
          <w:tcPr>
            <w:tcW w:w="0" w:type="auto"/>
            <w:tcBorders>
              <w:top w:val="single" w:color="000000" w:sz="4" w:space="0"/>
            </w:tcBorders>
            <w:shd w:val="clear" w:color="auto" w:fill="FFFFFF"/>
          </w:tcPr>
          <w:p w14:paraId="412DEBB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30–65</w:t>
            </w:r>
          </w:p>
        </w:tc>
        <w:tc>
          <w:tcPr>
            <w:tcW w:w="0" w:type="auto"/>
            <w:tcBorders>
              <w:top w:val="single" w:color="000000" w:sz="4" w:space="0"/>
            </w:tcBorders>
            <w:shd w:val="clear" w:color="auto" w:fill="FFFFFF"/>
          </w:tcPr>
          <w:p w14:paraId="404F3FD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kg/年</w:t>
            </w:r>
          </w:p>
        </w:tc>
        <w:tc>
          <w:tcPr>
            <w:tcW w:w="0" w:type="auto"/>
            <w:tcBorders>
              <w:top w:val="single" w:color="000000" w:sz="4" w:space="0"/>
            </w:tcBorders>
            <w:shd w:val="clear" w:color="auto" w:fill="FFFFFF"/>
          </w:tcPr>
          <w:p w14:paraId="13A3DAD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北京市统计年鉴 (2018–2020)；作者计算</w:t>
            </w:r>
          </w:p>
        </w:tc>
      </w:tr>
      <w:tr w14:paraId="23E267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8" w:hRule="atLeast"/>
        </w:trPr>
        <w:tc>
          <w:tcPr>
            <w:tcW w:w="0" w:type="auto"/>
            <w:shd w:val="clear" w:color="auto" w:fill="FFFFFF"/>
          </w:tcPr>
          <w:p w14:paraId="4A31C5F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肉类均价</w:t>
            </w:r>
          </w:p>
        </w:tc>
        <w:tc>
          <w:tcPr>
            <w:tcW w:w="0" w:type="auto"/>
            <w:shd w:val="clear" w:color="auto" w:fill="FFFFFF"/>
          </w:tcPr>
          <w:p w14:paraId="71F5EDE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加权后各类肉平均零售价格</w:t>
            </w:r>
          </w:p>
        </w:tc>
        <w:tc>
          <w:tcPr>
            <w:tcW w:w="0" w:type="auto"/>
            <w:shd w:val="clear" w:color="auto" w:fill="FFFFFF"/>
          </w:tcPr>
          <w:p w14:paraId="678104D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45.54</w:t>
            </w:r>
          </w:p>
        </w:tc>
        <w:tc>
          <w:tcPr>
            <w:tcW w:w="0" w:type="auto"/>
            <w:shd w:val="clear" w:color="auto" w:fill="FFFFFF"/>
          </w:tcPr>
          <w:p w14:paraId="5AA9FEF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19.23–78.55</w:t>
            </w:r>
          </w:p>
        </w:tc>
        <w:tc>
          <w:tcPr>
            <w:tcW w:w="0" w:type="auto"/>
            <w:shd w:val="clear" w:color="auto" w:fill="FFFFFF"/>
          </w:tcPr>
          <w:p w14:paraId="59BE23F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元/kg</w:t>
            </w:r>
          </w:p>
        </w:tc>
        <w:tc>
          <w:tcPr>
            <w:tcW w:w="0" w:type="auto"/>
            <w:shd w:val="clear" w:color="auto" w:fill="FFFFFF"/>
          </w:tcPr>
          <w:p w14:paraId="0318F17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农业农村部农产品批发市场价格监测 (2024)</w:t>
            </w:r>
          </w:p>
        </w:tc>
      </w:tr>
      <w:tr w14:paraId="5A056F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8" w:hRule="atLeast"/>
        </w:trPr>
        <w:tc>
          <w:tcPr>
            <w:tcW w:w="0" w:type="auto"/>
            <w:tcBorders>
              <w:bottom w:val="single" w:color="000000" w:sz="12" w:space="0"/>
            </w:tcBorders>
            <w:shd w:val="clear" w:color="auto" w:fill="FFFFFF"/>
          </w:tcPr>
          <w:p w14:paraId="70D3CEB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豆腐均价</w:t>
            </w:r>
          </w:p>
        </w:tc>
        <w:tc>
          <w:tcPr>
            <w:tcW w:w="0" w:type="auto"/>
            <w:tcBorders>
              <w:bottom w:val="single" w:color="000000" w:sz="12" w:space="0"/>
            </w:tcBorders>
            <w:shd w:val="clear" w:color="auto" w:fill="FFFFFF"/>
          </w:tcPr>
          <w:p w14:paraId="1D1608B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市售盒装豆腐平均零售价格</w:t>
            </w:r>
          </w:p>
        </w:tc>
        <w:tc>
          <w:tcPr>
            <w:tcW w:w="0" w:type="auto"/>
            <w:tcBorders>
              <w:bottom w:val="single" w:color="000000" w:sz="12" w:space="0"/>
            </w:tcBorders>
            <w:shd w:val="clear" w:color="auto" w:fill="FFFFFF"/>
          </w:tcPr>
          <w:p w14:paraId="5D173A5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3.41</w:t>
            </w:r>
          </w:p>
        </w:tc>
        <w:tc>
          <w:tcPr>
            <w:tcW w:w="0" w:type="auto"/>
            <w:tcBorders>
              <w:bottom w:val="single" w:color="000000" w:sz="12" w:space="0"/>
            </w:tcBorders>
            <w:shd w:val="clear" w:color="auto" w:fill="FFFFFF"/>
          </w:tcPr>
          <w:p w14:paraId="495DBCE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2.0–5.0</w:t>
            </w:r>
          </w:p>
        </w:tc>
        <w:tc>
          <w:tcPr>
            <w:tcW w:w="0" w:type="auto"/>
            <w:tcBorders>
              <w:bottom w:val="single" w:color="000000" w:sz="12" w:space="0"/>
            </w:tcBorders>
            <w:shd w:val="clear" w:color="auto" w:fill="FFFFFF"/>
          </w:tcPr>
          <w:p w14:paraId="715AA12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元/kg</w:t>
            </w:r>
          </w:p>
        </w:tc>
        <w:tc>
          <w:tcPr>
            <w:tcW w:w="0" w:type="auto"/>
            <w:tcBorders>
              <w:bottom w:val="single" w:color="000000" w:sz="12" w:space="0"/>
            </w:tcBorders>
            <w:shd w:val="clear" w:color="auto" w:fill="FFFFFF"/>
          </w:tcPr>
          <w:p w14:paraId="6B060E8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淘宝/美团买菜价格调研 (2024)</w:t>
            </w:r>
          </w:p>
        </w:tc>
      </w:tr>
      <w:tr w14:paraId="2DB4F4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50" w:hRule="atLeast"/>
        </w:trPr>
        <w:tc>
          <w:tcPr>
            <w:tcW w:w="0" w:type="auto"/>
            <w:gridSpan w:val="6"/>
            <w:tcBorders>
              <w:top w:val="single" w:color="000000" w:sz="12" w:space="0"/>
              <w:bottom w:val="single" w:color="000000" w:sz="4" w:space="0"/>
              <w:tl2br w:val="nil"/>
            </w:tcBorders>
            <w:shd w:val="clear" w:color="auto" w:fill="FFFFFF"/>
          </w:tcPr>
          <w:p w14:paraId="1EA13CA0">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非货币成本</w:t>
            </w:r>
            <w:r>
              <w:rPr>
                <w:rFonts w:hint="eastAsia" w:cs="Times New Roman" w:asciiTheme="minorEastAsia" w:hAnsiTheme="minorEastAsia" w:eastAsiaTheme="minorEastAsia"/>
                <w:color w:val="000000"/>
              </w:rPr>
              <w:t>]</w:t>
            </w:r>
          </w:p>
        </w:tc>
      </w:tr>
      <w:tr w14:paraId="55880A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87" w:hRule="atLeast"/>
        </w:trPr>
        <w:tc>
          <w:tcPr>
            <w:tcW w:w="0" w:type="auto"/>
            <w:tcBorders>
              <w:top w:val="single" w:color="000000" w:sz="4" w:space="0"/>
              <w:bottom w:val="single" w:color="000000" w:sz="12" w:space="0"/>
            </w:tcBorders>
            <w:shd w:val="clear" w:color="auto" w:fill="FFFFFF"/>
          </w:tcPr>
          <w:p w14:paraId="2198E58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饮食习惯改变心理成本</w:t>
            </w:r>
          </w:p>
        </w:tc>
        <w:tc>
          <w:tcPr>
            <w:tcW w:w="0" w:type="auto"/>
            <w:tcBorders>
              <w:top w:val="single" w:color="000000" w:sz="4" w:space="0"/>
              <w:bottom w:val="single" w:color="000000" w:sz="12" w:space="0"/>
            </w:tcBorders>
            <w:shd w:val="clear" w:color="auto" w:fill="FFFFFF"/>
          </w:tcPr>
          <w:p w14:paraId="3A5BE35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从肉类切换至豆腐的心理厌恶成本（WTP）</w:t>
            </w:r>
          </w:p>
        </w:tc>
        <w:tc>
          <w:tcPr>
            <w:tcW w:w="0" w:type="auto"/>
            <w:tcBorders>
              <w:top w:val="single" w:color="000000" w:sz="4" w:space="0"/>
              <w:bottom w:val="single" w:color="000000" w:sz="12" w:space="0"/>
            </w:tcBorders>
            <w:shd w:val="clear" w:color="auto" w:fill="FFFFFF"/>
          </w:tcPr>
          <w:p w14:paraId="6D7E005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36.13</w:t>
            </w:r>
          </w:p>
        </w:tc>
        <w:tc>
          <w:tcPr>
            <w:tcW w:w="0" w:type="auto"/>
            <w:tcBorders>
              <w:top w:val="single" w:color="000000" w:sz="4" w:space="0"/>
              <w:bottom w:val="single" w:color="000000" w:sz="12" w:space="0"/>
            </w:tcBorders>
            <w:shd w:val="clear" w:color="auto" w:fill="FFFFFF"/>
          </w:tcPr>
          <w:p w14:paraId="33C3CD9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4.37–57.79</w:t>
            </w:r>
          </w:p>
        </w:tc>
        <w:tc>
          <w:tcPr>
            <w:tcW w:w="0" w:type="auto"/>
            <w:tcBorders>
              <w:top w:val="single" w:color="000000" w:sz="4" w:space="0"/>
              <w:bottom w:val="single" w:color="000000" w:sz="12" w:space="0"/>
            </w:tcBorders>
            <w:shd w:val="clear" w:color="auto" w:fill="FFFFFF"/>
          </w:tcPr>
          <w:p w14:paraId="1355845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元/kg</w:t>
            </w:r>
          </w:p>
        </w:tc>
        <w:tc>
          <w:tcPr>
            <w:tcW w:w="0" w:type="auto"/>
            <w:tcBorders>
              <w:top w:val="single" w:color="000000" w:sz="4" w:space="0"/>
              <w:bottom w:val="single" w:color="000000" w:sz="12" w:space="0"/>
            </w:tcBorders>
            <w:shd w:val="clear" w:color="auto" w:fill="FFFFFF"/>
          </w:tcPr>
          <w:p w14:paraId="513CEB1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Ortega et al. (2022), Food Policy；Quan et al. (2024)（工作论文）；Arora et al. (2020)；效益转移方法（Viscusi &amp; Aldy 2003）</w:t>
            </w:r>
          </w:p>
        </w:tc>
      </w:tr>
      <w:tr w14:paraId="70604D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50" w:hRule="atLeast"/>
        </w:trPr>
        <w:tc>
          <w:tcPr>
            <w:tcW w:w="0" w:type="auto"/>
            <w:gridSpan w:val="6"/>
            <w:tcBorders>
              <w:top w:val="single" w:color="000000" w:sz="12" w:space="0"/>
              <w:bottom w:val="single" w:color="000000" w:sz="4" w:space="0"/>
              <w:tl2br w:val="nil"/>
            </w:tcBorders>
            <w:shd w:val="clear" w:color="auto" w:fill="FFFFFF"/>
          </w:tcPr>
          <w:p w14:paraId="1E703248">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碳排放核算</w:t>
            </w:r>
            <w:r>
              <w:rPr>
                <w:rFonts w:hint="eastAsia" w:cs="Times New Roman" w:asciiTheme="minorEastAsia" w:hAnsiTheme="minorEastAsia" w:eastAsiaTheme="minorEastAsia"/>
                <w:color w:val="000000"/>
              </w:rPr>
              <w:t>]</w:t>
            </w:r>
          </w:p>
        </w:tc>
      </w:tr>
      <w:tr w14:paraId="215227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8" w:hRule="atLeast"/>
        </w:trPr>
        <w:tc>
          <w:tcPr>
            <w:tcW w:w="0" w:type="auto"/>
            <w:tcBorders>
              <w:top w:val="single" w:color="000000" w:sz="4" w:space="0"/>
            </w:tcBorders>
            <w:shd w:val="clear" w:color="auto" w:fill="FFFFFF"/>
          </w:tcPr>
          <w:p w14:paraId="4CAD543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肉类碳排放强度</w:t>
            </w:r>
          </w:p>
        </w:tc>
        <w:tc>
          <w:tcPr>
            <w:tcW w:w="0" w:type="auto"/>
            <w:tcBorders>
              <w:top w:val="single" w:color="000000" w:sz="4" w:space="0"/>
            </w:tcBorders>
            <w:shd w:val="clear" w:color="auto" w:fill="FFFFFF"/>
          </w:tcPr>
          <w:p w14:paraId="67EA252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加权后各类肉的碳当量排放强度</w:t>
            </w:r>
          </w:p>
        </w:tc>
        <w:tc>
          <w:tcPr>
            <w:tcW w:w="0" w:type="auto"/>
            <w:tcBorders>
              <w:top w:val="single" w:color="000000" w:sz="4" w:space="0"/>
            </w:tcBorders>
            <w:shd w:val="clear" w:color="auto" w:fill="FFFFFF"/>
          </w:tcPr>
          <w:p w14:paraId="51728FC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83.03</w:t>
            </w:r>
          </w:p>
        </w:tc>
        <w:tc>
          <w:tcPr>
            <w:tcW w:w="0" w:type="auto"/>
            <w:tcBorders>
              <w:top w:val="single" w:color="000000" w:sz="4" w:space="0"/>
            </w:tcBorders>
            <w:shd w:val="clear" w:color="auto" w:fill="FFFFFF"/>
          </w:tcPr>
          <w:p w14:paraId="5CCB278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tcBorders>
              <w:top w:val="single" w:color="000000" w:sz="4" w:space="0"/>
            </w:tcBorders>
            <w:shd w:val="clear" w:color="auto" w:fill="FFFFFF"/>
          </w:tcPr>
          <w:p w14:paraId="469D321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kgCO</w:t>
            </w:r>
            <w:r>
              <w:rPr>
                <w:rFonts w:ascii="Cambria Math" w:hAnsi="Cambria Math" w:cs="Cambria Math" w:eastAsiaTheme="minorEastAsia"/>
                <w:color w:val="000000"/>
              </w:rPr>
              <w:t>₂</w:t>
            </w:r>
            <w:r>
              <w:rPr>
                <w:rFonts w:cs="Times New Roman" w:asciiTheme="minorEastAsia" w:hAnsiTheme="minorEastAsia" w:eastAsiaTheme="minorEastAsia"/>
                <w:color w:val="000000"/>
              </w:rPr>
              <w:t>e/kg</w:t>
            </w:r>
          </w:p>
        </w:tc>
        <w:tc>
          <w:tcPr>
            <w:tcW w:w="0" w:type="auto"/>
            <w:tcBorders>
              <w:top w:val="single" w:color="000000" w:sz="4" w:space="0"/>
            </w:tcBorders>
            <w:shd w:val="clear" w:color="auto" w:fill="FFFFFF"/>
          </w:tcPr>
          <w:p w14:paraId="6FA4C966">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IPCC AR6生命周期碳强度数据库；作者计算</w:t>
            </w:r>
          </w:p>
        </w:tc>
      </w:tr>
      <w:tr w14:paraId="1F4867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8" w:hRule="atLeast"/>
        </w:trPr>
        <w:tc>
          <w:tcPr>
            <w:tcW w:w="0" w:type="auto"/>
            <w:shd w:val="clear" w:color="auto" w:fill="FFFFFF"/>
          </w:tcPr>
          <w:p w14:paraId="05E717E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豆腐碳排放强度</w:t>
            </w:r>
          </w:p>
        </w:tc>
        <w:tc>
          <w:tcPr>
            <w:tcW w:w="0" w:type="auto"/>
            <w:shd w:val="clear" w:color="auto" w:fill="FFFFFF"/>
          </w:tcPr>
          <w:p w14:paraId="0A291D2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豆腐生产全生命周期碳当量排放强度</w:t>
            </w:r>
          </w:p>
        </w:tc>
        <w:tc>
          <w:tcPr>
            <w:tcW w:w="0" w:type="auto"/>
            <w:shd w:val="clear" w:color="auto" w:fill="FFFFFF"/>
          </w:tcPr>
          <w:p w14:paraId="206728D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9.38</w:t>
            </w:r>
          </w:p>
        </w:tc>
        <w:tc>
          <w:tcPr>
            <w:tcW w:w="0" w:type="auto"/>
            <w:shd w:val="clear" w:color="auto" w:fill="FFFFFF"/>
          </w:tcPr>
          <w:p w14:paraId="2B71C217">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0CE1AA18">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kgCO</w:t>
            </w:r>
            <w:r>
              <w:rPr>
                <w:rFonts w:ascii="Cambria Math" w:hAnsi="Cambria Math" w:cs="Cambria Math" w:eastAsiaTheme="minorEastAsia"/>
                <w:color w:val="000000"/>
              </w:rPr>
              <w:t>₂</w:t>
            </w:r>
            <w:r>
              <w:rPr>
                <w:rFonts w:cs="Times New Roman" w:asciiTheme="minorEastAsia" w:hAnsiTheme="minorEastAsia" w:eastAsiaTheme="minorEastAsia"/>
                <w:color w:val="000000"/>
              </w:rPr>
              <w:t>e/kg</w:t>
            </w:r>
          </w:p>
        </w:tc>
        <w:tc>
          <w:tcPr>
            <w:tcW w:w="0" w:type="auto"/>
            <w:shd w:val="clear" w:color="auto" w:fill="FFFFFF"/>
          </w:tcPr>
          <w:p w14:paraId="3AE820A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Ecoinvent数据库；作者计算</w:t>
            </w:r>
          </w:p>
        </w:tc>
      </w:tr>
      <w:tr w14:paraId="34393A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8" w:hRule="atLeast"/>
        </w:trPr>
        <w:tc>
          <w:tcPr>
            <w:tcW w:w="0" w:type="auto"/>
            <w:tcBorders>
              <w:bottom w:val="single" w:color="000000" w:sz="12" w:space="0"/>
            </w:tcBorders>
            <w:shd w:val="clear" w:color="auto" w:fill="FFFFFF"/>
          </w:tcPr>
          <w:p w14:paraId="792FC71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社会碳成本 (SCC)</w:t>
            </w:r>
          </w:p>
        </w:tc>
        <w:tc>
          <w:tcPr>
            <w:tcW w:w="0" w:type="auto"/>
            <w:tcBorders>
              <w:bottom w:val="single" w:color="000000" w:sz="12" w:space="0"/>
            </w:tcBorders>
            <w:shd w:val="clear" w:color="auto" w:fill="FFFFFF"/>
          </w:tcPr>
          <w:p w14:paraId="4B2E78E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每吨碳当量的社会成本</w:t>
            </w:r>
          </w:p>
        </w:tc>
        <w:tc>
          <w:tcPr>
            <w:tcW w:w="0" w:type="auto"/>
            <w:tcBorders>
              <w:bottom w:val="single" w:color="000000" w:sz="12" w:space="0"/>
            </w:tcBorders>
            <w:shd w:val="clear" w:color="auto" w:fill="FFFFFF"/>
          </w:tcPr>
          <w:p w14:paraId="6307D9B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185</w:t>
            </w:r>
          </w:p>
        </w:tc>
        <w:tc>
          <w:tcPr>
            <w:tcW w:w="0" w:type="auto"/>
            <w:tcBorders>
              <w:bottom w:val="single" w:color="000000" w:sz="12" w:space="0"/>
            </w:tcBorders>
            <w:shd w:val="clear" w:color="auto" w:fill="FFFFFF"/>
          </w:tcPr>
          <w:p w14:paraId="04B8BFC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44–413</w:t>
            </w:r>
          </w:p>
        </w:tc>
        <w:tc>
          <w:tcPr>
            <w:tcW w:w="0" w:type="auto"/>
            <w:tcBorders>
              <w:bottom w:val="single" w:color="000000" w:sz="12" w:space="0"/>
            </w:tcBorders>
            <w:shd w:val="clear" w:color="auto" w:fill="FFFFFF"/>
          </w:tcPr>
          <w:p w14:paraId="2AADD10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美元/tCO</w:t>
            </w:r>
            <w:r>
              <w:rPr>
                <w:rFonts w:ascii="Cambria Math" w:hAnsi="Cambria Math" w:cs="Cambria Math" w:eastAsiaTheme="minorEastAsia"/>
                <w:color w:val="000000"/>
              </w:rPr>
              <w:t>₂</w:t>
            </w:r>
            <w:r>
              <w:rPr>
                <w:rFonts w:cs="Times New Roman" w:asciiTheme="minorEastAsia" w:hAnsiTheme="minorEastAsia" w:eastAsiaTheme="minorEastAsia"/>
                <w:color w:val="000000"/>
              </w:rPr>
              <w:t>e</w:t>
            </w:r>
          </w:p>
        </w:tc>
        <w:tc>
          <w:tcPr>
            <w:tcW w:w="0" w:type="auto"/>
            <w:tcBorders>
              <w:bottom w:val="single" w:color="000000" w:sz="12" w:space="0"/>
            </w:tcBorders>
            <w:shd w:val="clear" w:color="auto" w:fill="FFFFFF"/>
          </w:tcPr>
          <w:p w14:paraId="138DF36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Rennert et al. (2022), Nature</w:t>
            </w:r>
          </w:p>
        </w:tc>
      </w:tr>
      <w:tr w14:paraId="4E3CC9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50" w:hRule="atLeast"/>
        </w:trPr>
        <w:tc>
          <w:tcPr>
            <w:tcW w:w="0" w:type="auto"/>
            <w:gridSpan w:val="6"/>
            <w:tcBorders>
              <w:top w:val="single" w:color="000000" w:sz="12" w:space="0"/>
              <w:bottom w:val="single" w:color="000000" w:sz="4" w:space="0"/>
              <w:tl2br w:val="nil"/>
            </w:tcBorders>
            <w:shd w:val="clear" w:color="auto" w:fill="FFFFFF"/>
          </w:tcPr>
          <w:p w14:paraId="6E9C6BAF">
            <w:pPr>
              <w:pStyle w:val="23"/>
              <w:rPr>
                <w:rFonts w:hint="eastAsia" w:cs="Times New Roman" w:asciiTheme="minorEastAsia" w:hAnsiTheme="minorEastAsia" w:eastAsiaTheme="minorEastAsia"/>
                <w:color w:val="000000"/>
              </w:rPr>
            </w:pPr>
            <w:r>
              <w:rPr>
                <w:rFonts w:hint="eastAsia" w:cs="Times New Roman" w:asciiTheme="minorEastAsia" w:hAnsiTheme="minorEastAsia" w:eastAsiaTheme="minorEastAsia"/>
                <w:color w:val="000000"/>
              </w:rPr>
              <w:t>[</w:t>
            </w:r>
            <w:r>
              <w:rPr>
                <w:rFonts w:cs="Times New Roman" w:asciiTheme="minorEastAsia" w:hAnsiTheme="minorEastAsia" w:eastAsiaTheme="minorEastAsia"/>
                <w:color w:val="000000"/>
              </w:rPr>
              <w:t>核算结果</w:t>
            </w:r>
            <w:r>
              <w:rPr>
                <w:rFonts w:hint="eastAsia" w:cs="Times New Roman" w:asciiTheme="minorEastAsia" w:hAnsiTheme="minorEastAsia" w:eastAsiaTheme="minorEastAsia"/>
                <w:color w:val="000000"/>
              </w:rPr>
              <w:t>]</w:t>
            </w:r>
          </w:p>
        </w:tc>
      </w:tr>
      <w:tr w14:paraId="24EF6F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87" w:hRule="atLeast"/>
        </w:trPr>
        <w:tc>
          <w:tcPr>
            <w:tcW w:w="0" w:type="auto"/>
            <w:tcBorders>
              <w:top w:val="single" w:color="000000" w:sz="4" w:space="0"/>
            </w:tcBorders>
            <w:shd w:val="clear" w:color="auto" w:fill="FFFFFF"/>
          </w:tcPr>
          <w:p w14:paraId="4448CC82">
            <w:pPr>
              <w:pStyle w:val="23"/>
              <w:rPr>
                <w:rFonts w:hint="eastAsia" w:cs="Times New Roman" w:asciiTheme="minorEastAsia" w:hAnsiTheme="minorEastAsia" w:eastAsiaTheme="minorEastAsia"/>
                <w:color w:val="000000"/>
              </w:rPr>
            </w:pPr>
            <w:r>
              <w:rPr>
                <w:rFonts w:cs="Cambria Math" w:asciiTheme="minorEastAsia" w:hAnsiTheme="minorEastAsia" w:eastAsiaTheme="minorEastAsia"/>
                <w:color w:val="000000"/>
              </w:rPr>
              <w:t>△</w:t>
            </w:r>
            <w:r>
              <w:rPr>
                <w:rFonts w:cs="Times New Roman" w:asciiTheme="minorEastAsia" w:hAnsiTheme="minorEastAsia" w:eastAsiaTheme="minorEastAsia"/>
                <w:color w:val="000000"/>
              </w:rPr>
              <w:t>购置成本</w:t>
            </w:r>
          </w:p>
        </w:tc>
        <w:tc>
          <w:tcPr>
            <w:tcW w:w="0" w:type="auto"/>
            <w:tcBorders>
              <w:top w:val="single" w:color="000000" w:sz="4" w:space="0"/>
            </w:tcBorders>
            <w:shd w:val="clear" w:color="auto" w:fill="FFFFFF"/>
          </w:tcPr>
          <w:p w14:paraId="32A7FC4F">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豆腐 vs. 肉类年均食材成本差额（净收益）</w:t>
            </w:r>
          </w:p>
        </w:tc>
        <w:tc>
          <w:tcPr>
            <w:tcW w:w="0" w:type="auto"/>
            <w:tcBorders>
              <w:top w:val="single" w:color="000000" w:sz="4" w:space="0"/>
            </w:tcBorders>
            <w:shd w:val="clear" w:color="auto" w:fill="FFFFFF"/>
          </w:tcPr>
          <w:p w14:paraId="08813C7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+958.39</w:t>
            </w:r>
          </w:p>
        </w:tc>
        <w:tc>
          <w:tcPr>
            <w:tcW w:w="0" w:type="auto"/>
            <w:tcBorders>
              <w:top w:val="single" w:color="000000" w:sz="4" w:space="0"/>
            </w:tcBorders>
            <w:shd w:val="clear" w:color="auto" w:fill="FFFFFF"/>
          </w:tcPr>
          <w:p w14:paraId="0EAEE0C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tcBorders>
              <w:top w:val="single" w:color="000000" w:sz="4" w:space="0"/>
            </w:tcBorders>
            <w:shd w:val="clear" w:color="auto" w:fill="FFFFFF"/>
          </w:tcPr>
          <w:p w14:paraId="5A6C093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tcBorders>
              <w:top w:val="single" w:color="000000" w:sz="4" w:space="0"/>
            </w:tcBorders>
            <w:shd w:val="clear" w:color="auto" w:fill="FFFFFF"/>
          </w:tcPr>
          <w:p w14:paraId="21B6275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74A7B0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50" w:hRule="atLeast"/>
        </w:trPr>
        <w:tc>
          <w:tcPr>
            <w:tcW w:w="0" w:type="auto"/>
            <w:shd w:val="clear" w:color="auto" w:fill="FFFFFF"/>
          </w:tcPr>
          <w:p w14:paraId="696228EE">
            <w:pPr>
              <w:pStyle w:val="23"/>
              <w:rPr>
                <w:rFonts w:hint="eastAsia" w:cs="Times New Roman" w:asciiTheme="minorEastAsia" w:hAnsiTheme="minorEastAsia" w:eastAsiaTheme="minorEastAsia"/>
                <w:color w:val="000000"/>
              </w:rPr>
            </w:pPr>
            <w:r>
              <w:rPr>
                <w:rFonts w:cs="Cambria Math" w:asciiTheme="minorEastAsia" w:hAnsiTheme="minorEastAsia" w:eastAsiaTheme="minorEastAsia"/>
                <w:color w:val="000000"/>
              </w:rPr>
              <w:t>△</w:t>
            </w:r>
            <w:r>
              <w:rPr>
                <w:rFonts w:cs="Times New Roman" w:asciiTheme="minorEastAsia" w:hAnsiTheme="minorEastAsia" w:eastAsiaTheme="minorEastAsia"/>
                <w:color w:val="000000"/>
              </w:rPr>
              <w:t>饮食习惯改变心理成本</w:t>
            </w:r>
          </w:p>
        </w:tc>
        <w:tc>
          <w:tcPr>
            <w:tcW w:w="0" w:type="auto"/>
            <w:shd w:val="clear" w:color="auto" w:fill="FFFFFF"/>
          </w:tcPr>
          <w:p w14:paraId="54BCE17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心理厌恶与适应成本（净损失）</w:t>
            </w:r>
          </w:p>
        </w:tc>
        <w:tc>
          <w:tcPr>
            <w:tcW w:w="0" w:type="auto"/>
            <w:shd w:val="clear" w:color="auto" w:fill="FFFFFF"/>
          </w:tcPr>
          <w:p w14:paraId="3F2E1254">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822.03</w:t>
            </w:r>
          </w:p>
        </w:tc>
        <w:tc>
          <w:tcPr>
            <w:tcW w:w="0" w:type="auto"/>
            <w:shd w:val="clear" w:color="auto" w:fill="FFFFFF"/>
          </w:tcPr>
          <w:p w14:paraId="27C8595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4025A0B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shd w:val="clear" w:color="auto" w:fill="FFFFFF"/>
          </w:tcPr>
          <w:p w14:paraId="25767B3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3FA753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8" w:hRule="atLeast"/>
        </w:trPr>
        <w:tc>
          <w:tcPr>
            <w:tcW w:w="0" w:type="auto"/>
            <w:shd w:val="clear" w:color="auto" w:fill="FFFFFF"/>
          </w:tcPr>
          <w:p w14:paraId="274FE2B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个人福利净变化</w:t>
            </w:r>
          </w:p>
        </w:tc>
        <w:tc>
          <w:tcPr>
            <w:tcW w:w="0" w:type="auto"/>
            <w:shd w:val="clear" w:color="auto" w:fill="FFFFFF"/>
          </w:tcPr>
          <w:p w14:paraId="3121C51C">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个人层面综合福利变化</w:t>
            </w:r>
          </w:p>
        </w:tc>
        <w:tc>
          <w:tcPr>
            <w:tcW w:w="0" w:type="auto"/>
            <w:shd w:val="clear" w:color="auto" w:fill="FFFFFF"/>
          </w:tcPr>
          <w:p w14:paraId="257FE53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+136.36</w:t>
            </w:r>
          </w:p>
        </w:tc>
        <w:tc>
          <w:tcPr>
            <w:tcW w:w="0" w:type="auto"/>
            <w:shd w:val="clear" w:color="auto" w:fill="FFFFFF"/>
          </w:tcPr>
          <w:p w14:paraId="2B99D4D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598DD0C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shd w:val="clear" w:color="auto" w:fill="FFFFFF"/>
          </w:tcPr>
          <w:p w14:paraId="76BC4DC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1E9821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8" w:hRule="atLeast"/>
        </w:trPr>
        <w:tc>
          <w:tcPr>
            <w:tcW w:w="0" w:type="auto"/>
            <w:shd w:val="clear" w:color="auto" w:fill="FFFFFF"/>
          </w:tcPr>
          <w:p w14:paraId="7AFDED0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年减排量</w:t>
            </w:r>
          </w:p>
        </w:tc>
        <w:tc>
          <w:tcPr>
            <w:tcW w:w="0" w:type="auto"/>
            <w:shd w:val="clear" w:color="auto" w:fill="FFFFFF"/>
          </w:tcPr>
          <w:p w14:paraId="211ADF8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每人每年节约的碳排放量</w:t>
            </w:r>
          </w:p>
        </w:tc>
        <w:tc>
          <w:tcPr>
            <w:tcW w:w="0" w:type="auto"/>
            <w:shd w:val="clear" w:color="auto" w:fill="FFFFFF"/>
          </w:tcPr>
          <w:p w14:paraId="5B71753D">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73.65</w:t>
            </w:r>
          </w:p>
        </w:tc>
        <w:tc>
          <w:tcPr>
            <w:tcW w:w="0" w:type="auto"/>
            <w:shd w:val="clear" w:color="auto" w:fill="FFFFFF"/>
          </w:tcPr>
          <w:p w14:paraId="0883CB7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407AEF3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kgCO</w:t>
            </w:r>
            <w:r>
              <w:rPr>
                <w:rFonts w:ascii="Cambria Math" w:hAnsi="Cambria Math" w:cs="Cambria Math" w:eastAsiaTheme="minorEastAsia"/>
                <w:color w:val="000000"/>
              </w:rPr>
              <w:t>₂</w:t>
            </w:r>
            <w:r>
              <w:rPr>
                <w:rFonts w:cs="Times New Roman" w:asciiTheme="minorEastAsia" w:hAnsiTheme="minorEastAsia" w:eastAsiaTheme="minorEastAsia"/>
                <w:color w:val="000000"/>
              </w:rPr>
              <w:t>e/人·年</w:t>
            </w:r>
          </w:p>
        </w:tc>
        <w:tc>
          <w:tcPr>
            <w:tcW w:w="0" w:type="auto"/>
            <w:shd w:val="clear" w:color="auto" w:fill="FFFFFF"/>
          </w:tcPr>
          <w:p w14:paraId="1C0E69F5">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5859C8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8" w:hRule="atLeast"/>
        </w:trPr>
        <w:tc>
          <w:tcPr>
            <w:tcW w:w="0" w:type="auto"/>
            <w:shd w:val="clear" w:color="auto" w:fill="FFFFFF"/>
          </w:tcPr>
          <w:p w14:paraId="6CB7F6F1">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社会福利净变化</w:t>
            </w:r>
          </w:p>
        </w:tc>
        <w:tc>
          <w:tcPr>
            <w:tcW w:w="0" w:type="auto"/>
            <w:shd w:val="clear" w:color="auto" w:fill="FFFFFF"/>
          </w:tcPr>
          <w:p w14:paraId="0E06EEBE">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含碳减排收益的社会层面福利变化</w:t>
            </w:r>
          </w:p>
        </w:tc>
        <w:tc>
          <w:tcPr>
            <w:tcW w:w="0" w:type="auto"/>
            <w:shd w:val="clear" w:color="auto" w:fill="FFFFFF"/>
          </w:tcPr>
          <w:p w14:paraId="36A21A2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+231.74</w:t>
            </w:r>
          </w:p>
        </w:tc>
        <w:tc>
          <w:tcPr>
            <w:tcW w:w="0" w:type="auto"/>
            <w:shd w:val="clear" w:color="auto" w:fill="FFFFFF"/>
          </w:tcPr>
          <w:p w14:paraId="2C210C3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shd w:val="clear" w:color="auto" w:fill="FFFFFF"/>
          </w:tcPr>
          <w:p w14:paraId="29A99EFB">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元/人·年</w:t>
            </w:r>
          </w:p>
        </w:tc>
        <w:tc>
          <w:tcPr>
            <w:tcW w:w="0" w:type="auto"/>
            <w:shd w:val="clear" w:color="auto" w:fill="FFFFFF"/>
          </w:tcPr>
          <w:p w14:paraId="7A902013">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r w14:paraId="5E0551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79" w:hRule="atLeast"/>
        </w:trPr>
        <w:tc>
          <w:tcPr>
            <w:tcW w:w="0" w:type="auto"/>
            <w:tcBorders>
              <w:bottom w:val="single" w:color="000000" w:sz="12" w:space="0"/>
            </w:tcBorders>
            <w:shd w:val="clear" w:color="auto" w:fill="FFFFFF"/>
          </w:tcPr>
          <w:p w14:paraId="1A9038E4">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减排成本</w:t>
            </w:r>
          </w:p>
        </w:tc>
        <w:tc>
          <w:tcPr>
            <w:tcW w:w="0" w:type="auto"/>
            <w:tcBorders>
              <w:bottom w:val="single" w:color="000000" w:sz="12" w:space="0"/>
            </w:tcBorders>
            <w:shd w:val="clear" w:color="auto" w:fill="FFFFFF"/>
          </w:tcPr>
          <w:p w14:paraId="52B012E9">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单位减排量的私人净收益</w:t>
            </w:r>
          </w:p>
        </w:tc>
        <w:tc>
          <w:tcPr>
            <w:tcW w:w="0" w:type="auto"/>
            <w:tcBorders>
              <w:bottom w:val="single" w:color="000000" w:sz="12" w:space="0"/>
            </w:tcBorders>
            <w:shd w:val="clear" w:color="auto" w:fill="FFFFFF"/>
          </w:tcPr>
          <w:p w14:paraId="45BE7D87">
            <w:pPr>
              <w:pStyle w:val="23"/>
              <w:rPr>
                <w:rFonts w:hint="eastAsia" w:cs="Times New Roman" w:asciiTheme="minorEastAsia" w:hAnsiTheme="minorEastAsia" w:eastAsiaTheme="minorEastAsia"/>
                <w:color w:val="000000"/>
              </w:rPr>
            </w:pPr>
            <w:r>
              <w:rPr>
                <w:rFonts w:ascii="Cambria Math" w:hAnsi="Cambria Math" w:cs="Cambria Math" w:eastAsiaTheme="minorEastAsia"/>
                <w:color w:val="000000"/>
              </w:rPr>
              <w:t>−</w:t>
            </w:r>
            <w:r>
              <w:rPr>
                <w:rFonts w:cs="Times New Roman" w:asciiTheme="minorEastAsia" w:hAnsiTheme="minorEastAsia" w:eastAsiaTheme="minorEastAsia"/>
                <w:color w:val="000000"/>
              </w:rPr>
              <w:t>1,851</w:t>
            </w:r>
          </w:p>
        </w:tc>
        <w:tc>
          <w:tcPr>
            <w:tcW w:w="0" w:type="auto"/>
            <w:tcBorders>
              <w:bottom w:val="single" w:color="000000" w:sz="12" w:space="0"/>
            </w:tcBorders>
            <w:shd w:val="clear" w:color="auto" w:fill="FFFFFF"/>
          </w:tcPr>
          <w:p w14:paraId="2148786A">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w:t>
            </w:r>
          </w:p>
        </w:tc>
        <w:tc>
          <w:tcPr>
            <w:tcW w:w="0" w:type="auto"/>
            <w:tcBorders>
              <w:bottom w:val="single" w:color="000000" w:sz="12" w:space="0"/>
            </w:tcBorders>
            <w:shd w:val="clear" w:color="auto" w:fill="FFFFFF"/>
          </w:tcPr>
          <w:p w14:paraId="5B5ED1B0">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元/tCO</w:t>
            </w:r>
            <w:r>
              <w:rPr>
                <w:rFonts w:ascii="Cambria Math" w:hAnsi="Cambria Math" w:cs="Cambria Math" w:eastAsiaTheme="minorEastAsia"/>
                <w:color w:val="000000"/>
              </w:rPr>
              <w:t>₂</w:t>
            </w:r>
            <w:r>
              <w:rPr>
                <w:rFonts w:cs="Times New Roman" w:asciiTheme="minorEastAsia" w:hAnsiTheme="minorEastAsia" w:eastAsiaTheme="minorEastAsia"/>
                <w:color w:val="000000"/>
              </w:rPr>
              <w:t>e</w:t>
            </w:r>
          </w:p>
        </w:tc>
        <w:tc>
          <w:tcPr>
            <w:tcW w:w="0" w:type="auto"/>
            <w:tcBorders>
              <w:bottom w:val="single" w:color="000000" w:sz="12" w:space="0"/>
            </w:tcBorders>
            <w:shd w:val="clear" w:color="auto" w:fill="FFFFFF"/>
          </w:tcPr>
          <w:p w14:paraId="149B2412">
            <w:pPr>
              <w:pStyle w:val="23"/>
              <w:rPr>
                <w:rFonts w:hint="eastAsia" w:cs="Times New Roman" w:asciiTheme="minorEastAsia" w:hAnsiTheme="minorEastAsia" w:eastAsiaTheme="minorEastAsia"/>
                <w:color w:val="000000"/>
              </w:rPr>
            </w:pPr>
            <w:r>
              <w:rPr>
                <w:rFonts w:cs="Times New Roman" w:asciiTheme="minorEastAsia" w:hAnsiTheme="minorEastAsia" w:eastAsiaTheme="minorEastAsia"/>
                <w:color w:val="000000"/>
              </w:rPr>
              <w:t>综合计算</w:t>
            </w:r>
          </w:p>
        </w:tc>
      </w:tr>
    </w:tbl>
    <w:p w14:paraId="2A3B88F7">
      <w:pPr>
        <w:ind w:firstLine="480"/>
        <w:rPr>
          <w:rFonts w:cs="Times New Roman"/>
        </w:rPr>
      </w:pPr>
      <w:r>
        <w:rPr>
          <w:rFonts w:cs="Times New Roman"/>
        </w:rPr>
        <w:t>需要特别说明的是，近期部分基于北京特定城市样本的评估（如 Tan-Soo 等，2024）认为“豆腐代肉”具有较低的非经济成本与正向社会福利。然而，本研究采用效益转移法核算的全国性综合心理成本基准高达 36.13 元/kg。这一高阻力设定在本研究第 5.1.3 节的 MaxDiff 离散选择实验中得到了强有力的交叉验证——受访者将“豆腐代肉”选为“最不愿意/最困难执行”的比例高达 68.0%，意愿分数绝对垫底（-35.97）。这表明，脱离特定高环保认同圈层，在更广泛的公众语境下，颠覆核心饮食习惯依然面临极高的客观与主观阻力。</w:t>
      </w:r>
    </w:p>
    <w:p w14:paraId="1FEB2C6E">
      <w:pPr>
        <w:ind w:firstLine="480"/>
      </w:pPr>
      <w:r>
        <w:br w:type="page"/>
      </w:r>
    </w:p>
    <w:p w14:paraId="64CD1506">
      <w:pPr>
        <w:pStyle w:val="4"/>
        <w:bidi w:val="0"/>
        <w:rPr>
          <w:rFonts w:hint="default"/>
        </w:rPr>
      </w:pPr>
      <w:bookmarkStart w:id="55" w:name="_Toc24248"/>
      <w:r>
        <w:t>D.</w:t>
      </w:r>
      <w:r>
        <w:rPr>
          <w:rFonts w:hint="default"/>
        </w:rPr>
        <w:t>7 参数说明</w:t>
      </w:r>
      <w:bookmarkEnd w:id="55"/>
    </w:p>
    <w:p w14:paraId="50887B0D">
      <w:pPr>
        <w:ind w:firstLine="480"/>
        <w:rPr>
          <w:rFonts w:cs="Times New Roman"/>
        </w:rPr>
      </w:pPr>
      <w:r>
        <w:rPr>
          <w:rFonts w:cs="Times New Roman"/>
        </w:rPr>
        <w:t>1. 分布类型：正态（Normal）、对数正态（Lognormal）、三角（Triangular）、均匀（Uniform）的选择依据原论文的Monte Carlo模拟惯例——数据点充足（&gt;10个）时采用正态或对数正态；数据点稀疏（3–5个）时采用三角分布；数据点极少（&lt;3个）时采用均匀分布。</w:t>
      </w:r>
    </w:p>
    <w:p w14:paraId="219958ED">
      <w:pPr>
        <w:ind w:firstLine="480"/>
        <w:rPr>
          <w:rFonts w:cs="Times New Roman"/>
        </w:rPr>
      </w:pPr>
      <w:r>
        <w:rPr>
          <w:rFonts w:cs="Times New Roman"/>
        </w:rPr>
        <w:t>2. 第10/90百分位来源：有完整原始数据分布时，直接计算；仅有单点估计时，以均值±1.28×估算标准差推算；若原始数据不足，标注“—”。</w:t>
      </w:r>
    </w:p>
    <w:p w14:paraId="7B090842">
      <w:pPr>
        <w:ind w:firstLine="480"/>
        <w:rPr>
          <w:rFonts w:cs="Times New Roman"/>
        </w:rPr>
      </w:pPr>
      <w:r>
        <w:rPr>
          <w:rFonts w:cs="Times New Roman"/>
        </w:rPr>
        <w:t>3. 时间价值统一设定：所有行为的时间价值均采用中国统计年鉴（2024）全国人均工资折算的时薪（上限49.11元/小时，下限12.28元/小时，中值30.69元/小时），以保证跨行为比较的一致性。</w:t>
      </w:r>
    </w:p>
    <w:p w14:paraId="53E12707">
      <w:pPr>
        <w:ind w:firstLine="480"/>
        <w:rPr>
          <w:rFonts w:cs="Times New Roman"/>
        </w:rPr>
      </w:pPr>
      <w:r>
        <w:rPr>
          <w:rFonts w:cs="Times New Roman"/>
        </w:rPr>
        <w:t>4. 社会福利计算：社会福利变化 = 私人福利变化 + CO₂e减排量 × SCC（1,295元/tCO₂e）。减排成本（元/tCO₂e）= −私人福利变化 / CO₂e减排量（吨）。</w:t>
      </w:r>
    </w:p>
    <w:p w14:paraId="6E671F79">
      <w:pPr>
        <w:ind w:firstLine="480"/>
        <w:rPr>
          <w:rFonts w:cs="Times New Roman"/>
        </w:rPr>
      </w:pPr>
      <w:r>
        <w:rPr>
          <w:rFonts w:cs="Times New Roman"/>
        </w:rPr>
        <w:t>5. 所有货币参数均以2024年人民币为基准；跨期参数按折现率5%（年）折算至当期。</w:t>
      </w:r>
    </w:p>
    <w:p w14:paraId="73A270BE">
      <w:pPr>
        <w:ind w:firstLine="480"/>
        <w:rPr>
          <w:rFonts w:cs="Times New Roman"/>
        </w:rPr>
      </w:pPr>
      <w:r>
        <w:rPr>
          <w:rFonts w:cs="Times New Roman"/>
        </w:rPr>
        <w:t>6. 非经济成本（NPC）中涉及支付意愿（WTP）的估算，均采用Viscusi &amp; Aldy (2003)收入弹性调整的效益转移方法，收入弹性系数取0.5。</w:t>
      </w:r>
    </w:p>
    <w:p w14:paraId="64B20F21">
      <w:pPr>
        <w:ind w:firstLine="480"/>
        <w:rPr>
          <w:rFonts w:cs="Times New Roman"/>
        </w:rPr>
      </w:pPr>
      <w:r>
        <w:rPr>
          <w:rFonts w:cs="Times New Roman"/>
        </w:rPr>
        <w:t>7. 碳排放因子来源优先采用中国本土数据（生态环境部、国家铁路局、工信部等官方数据库），其次采用IPCC AR6及Ecoinvent生命周期评估数据库。</w:t>
      </w:r>
    </w:p>
    <w:p w14:paraId="31AF465A">
      <w:pPr>
        <w:ind w:firstLine="480"/>
        <w:rPr>
          <w:rFonts w:cs="Times New Roman"/>
        </w:rPr>
      </w:pPr>
      <w:r>
        <w:rPr>
          <w:rFonts w:cs="Times New Roman"/>
        </w:rPr>
        <w:t>8. 社会碳成本（SCC）采用 Rennert et al. (2022) 基于美国政府综合评估模型更新的估计值（中位数185美元/tCO₂e），该值为当前文献引用最广泛的最新估计。</w:t>
      </w:r>
    </w:p>
    <w:p w14:paraId="1A68596C">
      <w:pPr>
        <w:ind w:firstLine="480"/>
        <w:rPr>
          <w:rFonts w:cs="Times New Roman"/>
        </w:rPr>
        <w:sectPr>
          <w:headerReference r:id="rId8" w:type="default"/>
          <w:footerReference r:id="rId9" w:type="default"/>
          <w:pgSz w:w="12240" w:h="15840"/>
          <w:pgMar w:top="1440" w:right="1800" w:bottom="1440" w:left="1800" w:header="720" w:footer="720" w:gutter="0"/>
          <w:pgNumType w:fmt="decimal"/>
          <w:cols w:space="425" w:num="1"/>
          <w:docGrid w:type="lines" w:linePitch="312" w:charSpace="0"/>
        </w:sectPr>
      </w:pPr>
      <w:r>
        <w:rPr>
          <w:rFonts w:cs="Times New Roman"/>
        </w:rPr>
        <w:t>9. 部分参数（如BEV找桩等待成本、一次性餐具清洁时间）来自作者调研估算，已在蒙特卡洛模拟中进行±50%的宽区间敏感性检验</w:t>
      </w:r>
    </w:p>
    <w:p w14:paraId="2FFE59B8">
      <w:pPr>
        <w:ind w:firstLine="480"/>
        <w:rPr>
          <w:rFonts w:hint="default" w:cs="Times New Roman"/>
          <w:lang w:val="en-US" w:eastAsia="zh-CN"/>
        </w:rPr>
      </w:pPr>
    </w:p>
    <w:sectPr>
      <w:pgSz w:w="12240" w:h="15840"/>
      <w:pgMar w:top="1440" w:right="1800" w:bottom="1440" w:left="1800" w:header="720" w:footer="720"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啦啦啦" w:date="2026-03-30T15:15:48Z" w:initials="">
    <w:p w14:paraId="3992D786">
      <w:pPr>
        <w:pStyle w:val="6"/>
        <w:rPr>
          <w:rFonts w:hint="default" w:eastAsia="宋体"/>
          <w:lang w:val="en-US" w:eastAsia="zh-CN"/>
        </w:rPr>
      </w:pPr>
      <w:r>
        <w:rPr>
          <w:rFonts w:hint="eastAsia"/>
          <w:lang w:val="en-US" w:eastAsia="zh-CN"/>
        </w:rPr>
        <w:t>为什么</w:t>
      </w:r>
      <w:r>
        <w:rPr>
          <w:rFonts w:hint="eastAsia"/>
          <w:lang w:val="en-US" w:eastAsia="zh-CN"/>
        </w:rPr>
        <w:br w:type="textWrapping"/>
      </w:r>
      <w:r>
        <w:rPr>
          <w:rFonts w:hint="eastAsia"/>
          <w:lang w:val="en-US" w:eastAsia="zh-CN"/>
        </w:rPr>
        <w:t>理论和方法</w:t>
      </w:r>
      <w:r>
        <w:rPr>
          <w:rFonts w:hint="eastAsia"/>
          <w:lang w:val="en-US" w:eastAsia="zh-CN"/>
        </w:rPr>
        <w:br w:type="textWrapping"/>
      </w:r>
      <w:r>
        <w:rPr>
          <w:rFonts w:hint="eastAsia"/>
          <w:lang w:val="en-US" w:eastAsia="zh-CN"/>
        </w:rPr>
        <w:t>得出结论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92D78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56F48">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5B2082">
                          <w:pPr>
                            <w:pStyle w:val="8"/>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6A5B2082">
                    <w:pPr>
                      <w:pStyle w:val="8"/>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24E71">
    <w:pPr>
      <w:pStyle w:val="8"/>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0E4853">
                          <w:pPr>
                            <w:pStyle w:val="8"/>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90</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3A0E4853">
                    <w:pPr>
                      <w:pStyle w:val="8"/>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90</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1593E">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DEC4C"/>
    <w:multiLevelType w:val="singleLevel"/>
    <w:tmpl w:val="806DEC4C"/>
    <w:lvl w:ilvl="0" w:tentative="0">
      <w:start w:val="1"/>
      <w:numFmt w:val="decimal"/>
      <w:lvlText w:val="%1."/>
      <w:lvlJc w:val="left"/>
      <w:pPr>
        <w:tabs>
          <w:tab w:val="left" w:pos="312"/>
        </w:tabs>
      </w:pPr>
    </w:lvl>
  </w:abstractNum>
  <w:abstractNum w:abstractNumId="1">
    <w:nsid w:val="C4742ACC"/>
    <w:multiLevelType w:val="singleLevel"/>
    <w:tmpl w:val="C4742ACC"/>
    <w:lvl w:ilvl="0" w:tentative="0">
      <w:start w:val="2"/>
      <w:numFmt w:val="decimal"/>
      <w:suff w:val="space"/>
      <w:lvlText w:val="%1."/>
      <w:lvlJc w:val="left"/>
    </w:lvl>
  </w:abstractNum>
  <w:abstractNum w:abstractNumId="2">
    <w:nsid w:val="0D7557DA"/>
    <w:multiLevelType w:val="singleLevel"/>
    <w:tmpl w:val="0D7557DA"/>
    <w:lvl w:ilvl="0" w:tentative="0">
      <w:start w:val="1"/>
      <w:numFmt w:val="decimal"/>
      <w:suff w:val="nothing"/>
      <w:lvlText w:val="（%1）"/>
      <w:lvlJc w:val="left"/>
    </w:lvl>
  </w:abstractNum>
  <w:abstractNum w:abstractNumId="3">
    <w:nsid w:val="15B79E0D"/>
    <w:multiLevelType w:val="multilevel"/>
    <w:tmpl w:val="15B79E0D"/>
    <w:lvl w:ilvl="0" w:tentative="0">
      <w:start w:val="1"/>
      <w:numFmt w:val="decimal"/>
      <w:pStyle w:val="25"/>
      <w:lvlText w:val="第 %1 章"/>
      <w:lvlJc w:val="left"/>
      <w:pPr>
        <w:ind w:left="425" w:hanging="425"/>
      </w:pPr>
      <w:rPr>
        <w:rFonts w:hint="default" w:eastAsia="黑体"/>
        <w:sz w:val="30"/>
      </w:rPr>
    </w:lvl>
    <w:lvl w:ilvl="1" w:tentative="0">
      <w:start w:val="1"/>
      <w:numFmt w:val="decimal"/>
      <w:lvlText w:val="%1.%2  "/>
      <w:lvlJc w:val="left"/>
      <w:pPr>
        <w:ind w:left="850" w:hanging="453"/>
      </w:pPr>
      <w:rPr>
        <w:rFonts w:hint="default" w:eastAsia="黑体"/>
        <w:sz w:val="28"/>
      </w:rPr>
    </w:lvl>
    <w:lvl w:ilvl="2" w:tentative="0">
      <w:start w:val="1"/>
      <w:numFmt w:val="decimal"/>
      <w:lvlText w:val="%1.%2.%3  "/>
      <w:lvlJc w:val="left"/>
      <w:pPr>
        <w:ind w:left="1508" w:hanging="708"/>
      </w:pPr>
      <w:rPr>
        <w:rFonts w:hint="default" w:eastAsia="黑体"/>
        <w:sz w:val="24"/>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4">
    <w:nsid w:val="1BE592F9"/>
    <w:multiLevelType w:val="multilevel"/>
    <w:tmpl w:val="1BE592F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239F9340"/>
    <w:multiLevelType w:val="singleLevel"/>
    <w:tmpl w:val="239F9340"/>
    <w:lvl w:ilvl="0" w:tentative="0">
      <w:start w:val="1"/>
      <w:numFmt w:val="decimal"/>
      <w:suff w:val="nothing"/>
      <w:lvlText w:val="（%1）"/>
      <w:lvlJc w:val="left"/>
    </w:lvl>
  </w:abstractNum>
  <w:abstractNum w:abstractNumId="6">
    <w:nsid w:val="2967556A"/>
    <w:multiLevelType w:val="multilevel"/>
    <w:tmpl w:val="2967556A"/>
    <w:lvl w:ilvl="0" w:tentative="0">
      <w:start w:val="1"/>
      <w:numFmt w:val="decimal"/>
      <w:pStyle w:val="2"/>
      <w:lvlText w:val="第 %1 章"/>
      <w:lvlJc w:val="left"/>
      <w:pPr>
        <w:ind w:left="425" w:hanging="425"/>
      </w:pPr>
      <w:rPr>
        <w:rFonts w:hint="default" w:eastAsia="黑体"/>
        <w:sz w:val="30"/>
      </w:rPr>
    </w:lvl>
    <w:lvl w:ilvl="1" w:tentative="0">
      <w:start w:val="1"/>
      <w:numFmt w:val="decimal"/>
      <w:lvlText w:val="%1.%2  "/>
      <w:lvlJc w:val="left"/>
      <w:pPr>
        <w:ind w:left="850" w:hanging="453"/>
      </w:pPr>
      <w:rPr>
        <w:rFonts w:hint="default" w:eastAsia="黑体"/>
        <w:sz w:val="28"/>
      </w:rPr>
    </w:lvl>
    <w:lvl w:ilvl="2" w:tentative="0">
      <w:start w:val="1"/>
      <w:numFmt w:val="decimal"/>
      <w:lvlText w:val="%1.%2.%3  "/>
      <w:lvlJc w:val="left"/>
      <w:pPr>
        <w:ind w:left="1508" w:hanging="708"/>
      </w:pPr>
      <w:rPr>
        <w:rFonts w:hint="default" w:eastAsia="黑体"/>
        <w:sz w:val="24"/>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7">
    <w:nsid w:val="4C7D9B44"/>
    <w:multiLevelType w:val="singleLevel"/>
    <w:tmpl w:val="4C7D9B44"/>
    <w:lvl w:ilvl="0" w:tentative="0">
      <w:start w:val="1"/>
      <w:numFmt w:val="chineseCounting"/>
      <w:suff w:val="nothing"/>
      <w:lvlText w:val="第%1，"/>
      <w:lvlJc w:val="left"/>
      <w:rPr>
        <w:rFonts w:hint="eastAsia"/>
      </w:rPr>
    </w:lvl>
  </w:abstractNum>
  <w:num w:numId="1">
    <w:abstractNumId w:val="6"/>
  </w:num>
  <w:num w:numId="2">
    <w:abstractNumId w:val="3"/>
  </w:num>
  <w:num w:numId="3">
    <w:abstractNumId w:val="4"/>
  </w:num>
  <w:num w:numId="4">
    <w:abstractNumId w:val="2"/>
  </w:num>
  <w:num w:numId="5">
    <w:abstractNumId w:val="5"/>
  </w:num>
  <w:num w:numId="6">
    <w:abstractNumId w:val="7"/>
  </w:num>
  <w:num w:numId="7">
    <w:abstractNumId w:val="0"/>
  </w:num>
  <w:num w:numId="8">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啦啦啦">
    <w15:presenceInfo w15:providerId="WPS Office" w15:userId="14900359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IxNDkzN2UwMmY5YTA5YThmOTkzYjhhOGUxNjQxYzAifQ=="/>
  </w:docVars>
  <w:rsids>
    <w:rsidRoot w:val="5E3D3103"/>
    <w:rsid w:val="000D0D22"/>
    <w:rsid w:val="00165916"/>
    <w:rsid w:val="0017218F"/>
    <w:rsid w:val="001E1F51"/>
    <w:rsid w:val="001F449F"/>
    <w:rsid w:val="00206F17"/>
    <w:rsid w:val="00214742"/>
    <w:rsid w:val="0026764B"/>
    <w:rsid w:val="00284FEC"/>
    <w:rsid w:val="002B6923"/>
    <w:rsid w:val="003B3D04"/>
    <w:rsid w:val="004476A9"/>
    <w:rsid w:val="004A08FC"/>
    <w:rsid w:val="005D0399"/>
    <w:rsid w:val="00641973"/>
    <w:rsid w:val="006F0868"/>
    <w:rsid w:val="006F1C6F"/>
    <w:rsid w:val="00815199"/>
    <w:rsid w:val="008579AF"/>
    <w:rsid w:val="00A62D00"/>
    <w:rsid w:val="00AE16D4"/>
    <w:rsid w:val="00BD6D70"/>
    <w:rsid w:val="00D00036"/>
    <w:rsid w:val="00D67072"/>
    <w:rsid w:val="00DE6BF0"/>
    <w:rsid w:val="00E7091C"/>
    <w:rsid w:val="00EA27EE"/>
    <w:rsid w:val="00F14BD5"/>
    <w:rsid w:val="00F32E14"/>
    <w:rsid w:val="00F56350"/>
    <w:rsid w:val="00FF07DF"/>
    <w:rsid w:val="026E7510"/>
    <w:rsid w:val="02AE1145"/>
    <w:rsid w:val="049F2A3C"/>
    <w:rsid w:val="07610E7C"/>
    <w:rsid w:val="0A747118"/>
    <w:rsid w:val="0A825412"/>
    <w:rsid w:val="0B687318"/>
    <w:rsid w:val="0B9E18E6"/>
    <w:rsid w:val="0C3C5C5D"/>
    <w:rsid w:val="0CB170E8"/>
    <w:rsid w:val="0EBC4BEA"/>
    <w:rsid w:val="0F5735B8"/>
    <w:rsid w:val="0FF33436"/>
    <w:rsid w:val="10855BDB"/>
    <w:rsid w:val="118E2E4F"/>
    <w:rsid w:val="136F28CE"/>
    <w:rsid w:val="143F42F3"/>
    <w:rsid w:val="15510782"/>
    <w:rsid w:val="15E458B3"/>
    <w:rsid w:val="15F3275E"/>
    <w:rsid w:val="163C4F8E"/>
    <w:rsid w:val="17306C59"/>
    <w:rsid w:val="17964BA4"/>
    <w:rsid w:val="18FE477D"/>
    <w:rsid w:val="194075FB"/>
    <w:rsid w:val="1A7651FA"/>
    <w:rsid w:val="1E2273AF"/>
    <w:rsid w:val="1E637E89"/>
    <w:rsid w:val="200F7270"/>
    <w:rsid w:val="204809D3"/>
    <w:rsid w:val="20DC3A09"/>
    <w:rsid w:val="21CC3202"/>
    <w:rsid w:val="25034EC9"/>
    <w:rsid w:val="25D97F80"/>
    <w:rsid w:val="26001511"/>
    <w:rsid w:val="2964062C"/>
    <w:rsid w:val="2A64509A"/>
    <w:rsid w:val="2C1005F7"/>
    <w:rsid w:val="2FBB2F70"/>
    <w:rsid w:val="31CF7690"/>
    <w:rsid w:val="335D15B7"/>
    <w:rsid w:val="3392652C"/>
    <w:rsid w:val="339E020F"/>
    <w:rsid w:val="34285A89"/>
    <w:rsid w:val="344A48C2"/>
    <w:rsid w:val="36B822CD"/>
    <w:rsid w:val="377D6D5D"/>
    <w:rsid w:val="37EE7AF1"/>
    <w:rsid w:val="389071C9"/>
    <w:rsid w:val="38D155B2"/>
    <w:rsid w:val="39530C1B"/>
    <w:rsid w:val="3A38204A"/>
    <w:rsid w:val="3BE762FA"/>
    <w:rsid w:val="3C192535"/>
    <w:rsid w:val="3F962542"/>
    <w:rsid w:val="40F11FA7"/>
    <w:rsid w:val="41A64CCB"/>
    <w:rsid w:val="41BA3087"/>
    <w:rsid w:val="42831AC9"/>
    <w:rsid w:val="43B64C47"/>
    <w:rsid w:val="43F2400A"/>
    <w:rsid w:val="463F61A4"/>
    <w:rsid w:val="474533D8"/>
    <w:rsid w:val="47F141E6"/>
    <w:rsid w:val="48BA35D9"/>
    <w:rsid w:val="4B984A9A"/>
    <w:rsid w:val="4F380341"/>
    <w:rsid w:val="50C86E43"/>
    <w:rsid w:val="51531297"/>
    <w:rsid w:val="52462053"/>
    <w:rsid w:val="5391067E"/>
    <w:rsid w:val="541000EA"/>
    <w:rsid w:val="5464510E"/>
    <w:rsid w:val="55191A1B"/>
    <w:rsid w:val="55CE2A64"/>
    <w:rsid w:val="560745BE"/>
    <w:rsid w:val="576779AF"/>
    <w:rsid w:val="581A04AB"/>
    <w:rsid w:val="59457283"/>
    <w:rsid w:val="59653481"/>
    <w:rsid w:val="5AD61E6A"/>
    <w:rsid w:val="5B6836FC"/>
    <w:rsid w:val="5B8D6CBF"/>
    <w:rsid w:val="5BD75298"/>
    <w:rsid w:val="5D413D08"/>
    <w:rsid w:val="5E3D3103"/>
    <w:rsid w:val="60381D89"/>
    <w:rsid w:val="61333E65"/>
    <w:rsid w:val="623B41B9"/>
    <w:rsid w:val="689877F1"/>
    <w:rsid w:val="68C77275"/>
    <w:rsid w:val="6BB87D88"/>
    <w:rsid w:val="6CD258B0"/>
    <w:rsid w:val="6D9D237B"/>
    <w:rsid w:val="6E8126B3"/>
    <w:rsid w:val="6EDC1070"/>
    <w:rsid w:val="70E231B1"/>
    <w:rsid w:val="71C24870"/>
    <w:rsid w:val="71E865E8"/>
    <w:rsid w:val="720E010D"/>
    <w:rsid w:val="72343EE1"/>
    <w:rsid w:val="73196A11"/>
    <w:rsid w:val="76D3117F"/>
    <w:rsid w:val="778B20E7"/>
    <w:rsid w:val="79F51F26"/>
    <w:rsid w:val="7DEE1E93"/>
    <w:rsid w:val="7E6311EE"/>
    <w:rsid w:val="7F81683F"/>
    <w:rsid w:val="7FC86F51"/>
    <w:rsid w:val="EFF36DE6"/>
    <w:rsid w:val="EFFEF245"/>
    <w:rsid w:val="F3F613FD"/>
    <w:rsid w:val="FF7DFC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1044" w:firstLineChars="200"/>
      <w:jc w:val="both"/>
    </w:pPr>
    <w:rPr>
      <w:rFonts w:ascii="Times New Roman" w:hAnsi="Times New Roman" w:eastAsia="宋体" w:cs="Arial"/>
      <w:kern w:val="2"/>
      <w:sz w:val="24"/>
      <w:szCs w:val="22"/>
      <w:lang w:val="en-US" w:eastAsia="zh-CN" w:bidi="ar-SA"/>
    </w:rPr>
  </w:style>
  <w:style w:type="paragraph" w:styleId="2">
    <w:name w:val="heading 1"/>
    <w:basedOn w:val="1"/>
    <w:next w:val="1"/>
    <w:link w:val="30"/>
    <w:qFormat/>
    <w:uiPriority w:val="0"/>
    <w:pPr>
      <w:keepNext/>
      <w:keepLines/>
      <w:numPr>
        <w:ilvl w:val="0"/>
        <w:numId w:val="1"/>
      </w:numPr>
      <w:tabs>
        <w:tab w:val="left" w:pos="377"/>
      </w:tabs>
      <w:spacing w:after="220" w:line="360" w:lineRule="auto"/>
      <w:ind w:firstLine="0" w:firstLineChars="0"/>
      <w:jc w:val="center"/>
      <w:outlineLvl w:val="0"/>
    </w:pPr>
    <w:rPr>
      <w:rFonts w:ascii="黑体" w:hAnsi="黑体" w:eastAsia="黑体" w:cs="黑体"/>
      <w:kern w:val="44"/>
      <w:sz w:val="30"/>
      <w:szCs w:val="30"/>
    </w:rPr>
  </w:style>
  <w:style w:type="paragraph" w:styleId="3">
    <w:name w:val="heading 2"/>
    <w:basedOn w:val="1"/>
    <w:next w:val="1"/>
    <w:unhideWhenUsed/>
    <w:qFormat/>
    <w:uiPriority w:val="0"/>
    <w:pPr>
      <w:tabs>
        <w:tab w:val="left" w:pos="377"/>
      </w:tabs>
      <w:spacing w:before="156" w:beforeLines="50" w:line="360" w:lineRule="auto"/>
      <w:ind w:firstLine="0" w:firstLineChars="0"/>
      <w:jc w:val="left"/>
      <w:outlineLvl w:val="1"/>
    </w:pPr>
    <w:rPr>
      <w:rFonts w:eastAsia="黑体" w:cs="Times New Roman"/>
      <w:b/>
      <w:bCs/>
      <w:sz w:val="28"/>
      <w:szCs w:val="36"/>
    </w:rPr>
  </w:style>
  <w:style w:type="paragraph" w:styleId="4">
    <w:name w:val="heading 3"/>
    <w:basedOn w:val="1"/>
    <w:next w:val="1"/>
    <w:link w:val="31"/>
    <w:unhideWhenUsed/>
    <w:qFormat/>
    <w:uiPriority w:val="0"/>
    <w:pPr>
      <w:tabs>
        <w:tab w:val="left" w:pos="377"/>
      </w:tabs>
      <w:spacing w:before="156" w:beforeLines="50" w:line="360" w:lineRule="auto"/>
      <w:ind w:firstLine="0" w:firstLineChars="0"/>
      <w:jc w:val="left"/>
      <w:outlineLvl w:val="2"/>
    </w:pPr>
    <w:rPr>
      <w:rFonts w:eastAsia="黑体" w:cs="Times New Roman"/>
      <w:b/>
      <w:bCs/>
      <w:szCs w:val="27"/>
    </w:rPr>
  </w:style>
  <w:style w:type="paragraph" w:styleId="5">
    <w:name w:val="heading 4"/>
    <w:basedOn w:val="1"/>
    <w:next w:val="1"/>
    <w:unhideWhenUsed/>
    <w:qFormat/>
    <w:uiPriority w:val="0"/>
    <w:pPr>
      <w:keepNext/>
      <w:keepLines/>
      <w:spacing w:before="280" w:after="290" w:line="372" w:lineRule="auto"/>
      <w:outlineLvl w:val="3"/>
    </w:pPr>
    <w:rPr>
      <w:rFonts w:eastAsia="黑体"/>
      <w:b/>
      <w:sz w:val="28"/>
    </w:rPr>
  </w:style>
  <w:style w:type="character" w:default="1" w:styleId="15">
    <w:name w:val="Default Paragraph Font"/>
    <w:semiHidden/>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link w:val="33"/>
    <w:qFormat/>
    <w:uiPriority w:val="0"/>
    <w:pPr>
      <w:tabs>
        <w:tab w:val="center" w:pos="4153"/>
        <w:tab w:val="right" w:pos="8306"/>
      </w:tabs>
      <w:snapToGrid w:val="0"/>
      <w:jc w:val="left"/>
    </w:pPr>
    <w:rPr>
      <w:sz w:val="18"/>
      <w:szCs w:val="18"/>
    </w:rPr>
  </w:style>
  <w:style w:type="paragraph" w:styleId="9">
    <w:name w:val="header"/>
    <w:basedOn w:val="1"/>
    <w:link w:val="32"/>
    <w:qFormat/>
    <w:uiPriority w:val="0"/>
    <w:pPr>
      <w:tabs>
        <w:tab w:val="center" w:pos="4153"/>
        <w:tab w:val="right" w:pos="8306"/>
      </w:tabs>
      <w:snapToGrid w:val="0"/>
      <w:jc w:val="center"/>
    </w:pPr>
    <w:rPr>
      <w:sz w:val="18"/>
      <w:szCs w:val="18"/>
    </w:rPr>
  </w:style>
  <w:style w:type="paragraph" w:styleId="10">
    <w:name w:val="toc 1"/>
    <w:basedOn w:val="1"/>
    <w:next w:val="1"/>
    <w:qFormat/>
    <w:uiPriority w:val="0"/>
    <w:rPr>
      <w:rFonts w:ascii="黑体" w:hAnsi="黑体" w:eastAsia="黑体" w:cs="黑体"/>
      <w:sz w:val="30"/>
      <w:szCs w:val="30"/>
    </w:rPr>
  </w:style>
  <w:style w:type="paragraph" w:styleId="11">
    <w:name w:val="toc 2"/>
    <w:basedOn w:val="1"/>
    <w:next w:val="1"/>
    <w:qFormat/>
    <w:uiPriority w:val="0"/>
    <w:pPr>
      <w:ind w:left="420" w:leftChars="200"/>
    </w:pPr>
  </w:style>
  <w:style w:type="paragraph" w:styleId="12">
    <w:name w:val="Normal (Web)"/>
    <w:basedOn w:val="1"/>
    <w:qFormat/>
    <w:uiPriority w:val="0"/>
    <w:pPr>
      <w:widowControl/>
      <w:spacing w:beforeAutospacing="1" w:afterAutospacing="1"/>
      <w:jc w:val="left"/>
    </w:pPr>
    <w:rPr>
      <w:rFonts w:hint="eastAsia" w:ascii="宋体" w:hAnsi="宋体" w:cs="Times New Roman"/>
      <w:kern w:val="0"/>
      <w:szCs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FollowedHyperlink"/>
    <w:basedOn w:val="15"/>
    <w:qFormat/>
    <w:uiPriority w:val="0"/>
    <w:rPr>
      <w:color w:val="96607D"/>
      <w:u w:val="single"/>
    </w:rPr>
  </w:style>
  <w:style w:type="character" w:styleId="18">
    <w:name w:val="Hyperlink"/>
    <w:basedOn w:val="15"/>
    <w:qFormat/>
    <w:uiPriority w:val="0"/>
    <w:rPr>
      <w:color w:val="467886"/>
      <w:u w:val="single"/>
    </w:rPr>
  </w:style>
  <w:style w:type="character" w:styleId="19">
    <w:name w:val="HTML Code"/>
    <w:basedOn w:val="15"/>
    <w:qFormat/>
    <w:uiPriority w:val="0"/>
    <w:rPr>
      <w:rFonts w:ascii="Courier New" w:hAnsi="Courier New"/>
      <w:sz w:val="20"/>
    </w:rPr>
  </w:style>
  <w:style w:type="character" w:styleId="20">
    <w:name w:val="annotation reference"/>
    <w:basedOn w:val="15"/>
    <w:qFormat/>
    <w:uiPriority w:val="0"/>
    <w:rPr>
      <w:sz w:val="21"/>
      <w:szCs w:val="21"/>
    </w:rPr>
  </w:style>
  <w:style w:type="paragraph" w:customStyle="1" w:styleId="21">
    <w:name w:val="摘要标题"/>
    <w:basedOn w:val="2"/>
    <w:next w:val="1"/>
    <w:link w:val="38"/>
    <w:qFormat/>
    <w:uiPriority w:val="0"/>
    <w:pPr>
      <w:tabs>
        <w:tab w:val="right" w:leader="dot" w:pos="8494"/>
      </w:tabs>
    </w:pPr>
    <w:rPr>
      <w:rFonts w:hint="eastAsia" w:ascii="Times New Roman" w:hAnsi="Times New Roman" w:cs="Times New Roman"/>
    </w:rPr>
  </w:style>
  <w:style w:type="paragraph" w:customStyle="1" w:styleId="22">
    <w:name w:val="图片"/>
    <w:basedOn w:val="1"/>
    <w:qFormat/>
    <w:uiPriority w:val="0"/>
    <w:pPr>
      <w:tabs>
        <w:tab w:val="left" w:pos="377"/>
      </w:tabs>
      <w:jc w:val="center"/>
    </w:pPr>
    <w:rPr>
      <w:rFonts w:hint="eastAsia" w:eastAsia="黑体"/>
      <w:bCs/>
      <w:szCs w:val="21"/>
    </w:rPr>
  </w:style>
  <w:style w:type="paragraph" w:customStyle="1" w:styleId="23">
    <w:name w:val="表格"/>
    <w:basedOn w:val="1"/>
    <w:qFormat/>
    <w:uiPriority w:val="0"/>
    <w:pPr>
      <w:tabs>
        <w:tab w:val="left" w:pos="377"/>
      </w:tabs>
      <w:ind w:firstLine="0" w:firstLineChars="0"/>
      <w:jc w:val="center"/>
    </w:pPr>
    <w:rPr>
      <w:rFonts w:eastAsia="黑体"/>
    </w:rPr>
  </w:style>
  <w:style w:type="paragraph" w:customStyle="1" w:styleId="24">
    <w:name w:val="公式"/>
    <w:basedOn w:val="1"/>
    <w:qFormat/>
    <w:uiPriority w:val="0"/>
    <w:pPr>
      <w:tabs>
        <w:tab w:val="left" w:pos="377"/>
      </w:tabs>
      <w:spacing w:line="360" w:lineRule="auto"/>
      <w:jc w:val="center"/>
    </w:pPr>
    <w:rPr>
      <w:rFonts w:hint="eastAsia"/>
    </w:rPr>
  </w:style>
  <w:style w:type="paragraph" w:customStyle="1" w:styleId="25">
    <w:name w:val="参考文献标题"/>
    <w:basedOn w:val="2"/>
    <w:next w:val="1"/>
    <w:qFormat/>
    <w:uiPriority w:val="0"/>
    <w:pPr>
      <w:numPr>
        <w:numId w:val="2"/>
      </w:numPr>
      <w:tabs>
        <w:tab w:val="right" w:leader="dot" w:pos="8494"/>
      </w:tabs>
    </w:pPr>
    <w:rPr>
      <w:rFonts w:hint="eastAsia" w:ascii="Times New Roman" w:hAnsi="Times New Roman" w:cs="Times New Roman"/>
    </w:rPr>
  </w:style>
  <w:style w:type="paragraph" w:customStyle="1" w:styleId="26">
    <w:name w:val="参考文献"/>
    <w:qFormat/>
    <w:uiPriority w:val="0"/>
    <w:pPr>
      <w:spacing w:line="300" w:lineRule="auto"/>
    </w:pPr>
    <w:rPr>
      <w:rFonts w:ascii="宋体" w:hAnsi="宋体" w:eastAsia="宋体" w:cs="宋体"/>
      <w:b/>
      <w:bCs/>
      <w:sz w:val="21"/>
      <w:szCs w:val="21"/>
      <w:lang w:val="en-US" w:eastAsia="zh-CN" w:bidi="ar-SA"/>
    </w:rPr>
  </w:style>
  <w:style w:type="character" w:customStyle="1" w:styleId="27">
    <w:name w:val="math-inline"/>
    <w:basedOn w:val="15"/>
    <w:qFormat/>
    <w:uiPriority w:val="0"/>
  </w:style>
  <w:style w:type="table" w:customStyle="1" w:styleId="28">
    <w:name w:val="_Style 10"/>
    <w:basedOn w:val="29"/>
    <w:qFormat/>
    <w:uiPriority w:val="0"/>
  </w:style>
  <w:style w:type="table" w:customStyle="1" w:styleId="29">
    <w:name w:val="TableNormal"/>
    <w:qFormat/>
    <w:uiPriority w:val="0"/>
    <w:tblPr>
      <w:tblCellMar>
        <w:top w:w="100" w:type="dxa"/>
        <w:left w:w="100" w:type="dxa"/>
        <w:bottom w:w="100" w:type="dxa"/>
        <w:right w:w="100" w:type="dxa"/>
      </w:tblCellMar>
    </w:tblPr>
  </w:style>
  <w:style w:type="character" w:customStyle="1" w:styleId="30">
    <w:name w:val="标题 1 字符"/>
    <w:link w:val="2"/>
    <w:qFormat/>
    <w:uiPriority w:val="0"/>
    <w:rPr>
      <w:rFonts w:ascii="黑体" w:hAnsi="黑体" w:eastAsia="黑体" w:cs="黑体"/>
      <w:kern w:val="44"/>
      <w:sz w:val="30"/>
      <w:szCs w:val="30"/>
    </w:rPr>
  </w:style>
  <w:style w:type="character" w:customStyle="1" w:styleId="31">
    <w:name w:val="标题 3 字符"/>
    <w:link w:val="4"/>
    <w:qFormat/>
    <w:uiPriority w:val="0"/>
    <w:rPr>
      <w:rFonts w:ascii="Times New Roman" w:hAnsi="Times New Roman" w:eastAsia="黑体" w:cs="Times New Roman"/>
      <w:b/>
      <w:bCs/>
      <w:kern w:val="2"/>
      <w:sz w:val="24"/>
      <w:szCs w:val="27"/>
      <w:lang w:val="en-US" w:eastAsia="zh-CN" w:bidi="ar-SA"/>
    </w:rPr>
  </w:style>
  <w:style w:type="character" w:customStyle="1" w:styleId="32">
    <w:name w:val="页眉 字符"/>
    <w:basedOn w:val="15"/>
    <w:link w:val="9"/>
    <w:qFormat/>
    <w:uiPriority w:val="0"/>
    <w:rPr>
      <w:rFonts w:ascii="Arial" w:hAnsi="Arial" w:cs="Arial" w:eastAsiaTheme="minorEastAsia"/>
      <w:kern w:val="2"/>
      <w:sz w:val="18"/>
      <w:szCs w:val="18"/>
    </w:rPr>
  </w:style>
  <w:style w:type="character" w:customStyle="1" w:styleId="33">
    <w:name w:val="页脚 字符"/>
    <w:basedOn w:val="15"/>
    <w:link w:val="8"/>
    <w:qFormat/>
    <w:uiPriority w:val="0"/>
    <w:rPr>
      <w:rFonts w:ascii="Arial" w:hAnsi="Arial" w:cs="Arial" w:eastAsiaTheme="minorEastAsia"/>
      <w:kern w:val="2"/>
      <w:sz w:val="18"/>
      <w:szCs w:val="18"/>
    </w:rPr>
  </w:style>
  <w:style w:type="paragraph" w:customStyle="1" w:styleId="34">
    <w:name w:val="MTDisplayEquation"/>
    <w:basedOn w:val="1"/>
    <w:next w:val="1"/>
    <w:link w:val="35"/>
    <w:qFormat/>
    <w:uiPriority w:val="0"/>
    <w:pPr>
      <w:tabs>
        <w:tab w:val="center" w:pos="4320"/>
        <w:tab w:val="right" w:pos="8640"/>
      </w:tabs>
      <w:spacing w:before="160" w:after="160"/>
      <w:ind w:firstLine="0" w:firstLineChars="0"/>
    </w:pPr>
    <w:rPr>
      <w:rFonts w:eastAsia="Times New Roman" w:cs="Times New Roman"/>
      <w:szCs w:val="21"/>
    </w:rPr>
  </w:style>
  <w:style w:type="character" w:customStyle="1" w:styleId="35">
    <w:name w:val="MTDisplayEquation 字符"/>
    <w:basedOn w:val="15"/>
    <w:link w:val="34"/>
    <w:qFormat/>
    <w:uiPriority w:val="0"/>
    <w:rPr>
      <w:rFonts w:eastAsia="Times New Roman"/>
      <w:kern w:val="2"/>
      <w:sz w:val="21"/>
      <w:szCs w:val="21"/>
    </w:rPr>
  </w:style>
  <w:style w:type="paragraph" w:styleId="36">
    <w:name w:val="List Paragraph"/>
    <w:basedOn w:val="1"/>
    <w:unhideWhenUsed/>
    <w:qFormat/>
    <w:uiPriority w:val="99"/>
    <w:pPr>
      <w:ind w:firstLine="420"/>
    </w:pPr>
  </w:style>
  <w:style w:type="character" w:styleId="37">
    <w:name w:val="Placeholder Text"/>
    <w:basedOn w:val="15"/>
    <w:unhideWhenUsed/>
    <w:qFormat/>
    <w:uiPriority w:val="99"/>
    <w:rPr>
      <w:color w:val="666666"/>
    </w:rPr>
  </w:style>
  <w:style w:type="character" w:customStyle="1" w:styleId="38">
    <w:name w:val="摘要标题 Char"/>
    <w:link w:val="21"/>
    <w:qFormat/>
    <w:uiPriority w:val="0"/>
    <w:rPr>
      <w:rFonts w:hint="eastAsia"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1.xml"/><Relationship Id="rId73" Type="http://schemas.microsoft.com/office/2011/relationships/people" Target="people.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1.xml"/><Relationship Id="rId69" Type="http://schemas.openxmlformats.org/officeDocument/2006/relationships/customXml" Target="../customXml/item1.xml"/><Relationship Id="rId68" Type="http://schemas.openxmlformats.org/officeDocument/2006/relationships/image" Target="media/image37.png"/><Relationship Id="rId67" Type="http://schemas.openxmlformats.org/officeDocument/2006/relationships/image" Target="media/image36.jpeg"/><Relationship Id="rId66" Type="http://schemas.openxmlformats.org/officeDocument/2006/relationships/image" Target="media/image35.jpeg"/><Relationship Id="rId65" Type="http://schemas.openxmlformats.org/officeDocument/2006/relationships/image" Target="media/image34.jpeg"/><Relationship Id="rId64" Type="http://schemas.openxmlformats.org/officeDocument/2006/relationships/image" Target="media/image33.jpeg"/><Relationship Id="rId63" Type="http://schemas.openxmlformats.org/officeDocument/2006/relationships/image" Target="media/image32.jpeg"/><Relationship Id="rId62" Type="http://schemas.openxmlformats.org/officeDocument/2006/relationships/image" Target="media/image31.jpeg"/><Relationship Id="rId61" Type="http://schemas.openxmlformats.org/officeDocument/2006/relationships/image" Target="media/image30.png"/><Relationship Id="rId60" Type="http://schemas.openxmlformats.org/officeDocument/2006/relationships/image" Target="media/image29.png"/><Relationship Id="rId6" Type="http://schemas.openxmlformats.org/officeDocument/2006/relationships/endnotes" Target="endnotes.xml"/><Relationship Id="rId59" Type="http://schemas.openxmlformats.org/officeDocument/2006/relationships/image" Target="media/image28.wmf"/><Relationship Id="rId58" Type="http://schemas.openxmlformats.org/officeDocument/2006/relationships/oleObject" Target="embeddings/oleObject21.bin"/><Relationship Id="rId57" Type="http://schemas.openxmlformats.org/officeDocument/2006/relationships/image" Target="media/image27.wmf"/><Relationship Id="rId56" Type="http://schemas.openxmlformats.org/officeDocument/2006/relationships/oleObject" Target="embeddings/oleObject20.bin"/><Relationship Id="rId55" Type="http://schemas.openxmlformats.org/officeDocument/2006/relationships/image" Target="media/image26.wmf"/><Relationship Id="rId54" Type="http://schemas.openxmlformats.org/officeDocument/2006/relationships/oleObject" Target="embeddings/oleObject19.bin"/><Relationship Id="rId53" Type="http://schemas.openxmlformats.org/officeDocument/2006/relationships/image" Target="media/image25.wmf"/><Relationship Id="rId52" Type="http://schemas.openxmlformats.org/officeDocument/2006/relationships/oleObject" Target="embeddings/oleObject18.bin"/><Relationship Id="rId51" Type="http://schemas.openxmlformats.org/officeDocument/2006/relationships/image" Target="media/image24.wmf"/><Relationship Id="rId50" Type="http://schemas.openxmlformats.org/officeDocument/2006/relationships/oleObject" Target="embeddings/oleObject17.bin"/><Relationship Id="rId5" Type="http://schemas.openxmlformats.org/officeDocument/2006/relationships/footnotes" Target="footnotes.xml"/><Relationship Id="rId49" Type="http://schemas.openxmlformats.org/officeDocument/2006/relationships/image" Target="media/image23.wmf"/><Relationship Id="rId48" Type="http://schemas.openxmlformats.org/officeDocument/2006/relationships/oleObject" Target="embeddings/oleObject16.bin"/><Relationship Id="rId47" Type="http://schemas.openxmlformats.org/officeDocument/2006/relationships/image" Target="media/image22.wmf"/><Relationship Id="rId46" Type="http://schemas.openxmlformats.org/officeDocument/2006/relationships/oleObject" Target="embeddings/oleObject15.bin"/><Relationship Id="rId45" Type="http://schemas.openxmlformats.org/officeDocument/2006/relationships/image" Target="media/image21.wmf"/><Relationship Id="rId44" Type="http://schemas.openxmlformats.org/officeDocument/2006/relationships/oleObject" Target="embeddings/oleObject14.bin"/><Relationship Id="rId43" Type="http://schemas.openxmlformats.org/officeDocument/2006/relationships/image" Target="media/image20.wmf"/><Relationship Id="rId42" Type="http://schemas.openxmlformats.org/officeDocument/2006/relationships/oleObject" Target="embeddings/oleObject13.bin"/><Relationship Id="rId41" Type="http://schemas.openxmlformats.org/officeDocument/2006/relationships/image" Target="media/image19.wmf"/><Relationship Id="rId40" Type="http://schemas.openxmlformats.org/officeDocument/2006/relationships/oleObject" Target="embeddings/oleObject12.bin"/><Relationship Id="rId4" Type="http://schemas.microsoft.com/office/2011/relationships/commentsExtended" Target="commentsExtended.xml"/><Relationship Id="rId39" Type="http://schemas.openxmlformats.org/officeDocument/2006/relationships/image" Target="media/image18.wmf"/><Relationship Id="rId38" Type="http://schemas.openxmlformats.org/officeDocument/2006/relationships/oleObject" Target="embeddings/oleObject11.bin"/><Relationship Id="rId37" Type="http://schemas.openxmlformats.org/officeDocument/2006/relationships/image" Target="media/image17.wmf"/><Relationship Id="rId36" Type="http://schemas.openxmlformats.org/officeDocument/2006/relationships/oleObject" Target="embeddings/oleObject10.bin"/><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wmf"/><Relationship Id="rId30" Type="http://schemas.openxmlformats.org/officeDocument/2006/relationships/oleObject" Target="embeddings/oleObject9.bin"/><Relationship Id="rId3" Type="http://schemas.openxmlformats.org/officeDocument/2006/relationships/comments" Target="comments.xml"/><Relationship Id="rId29" Type="http://schemas.openxmlformats.org/officeDocument/2006/relationships/image" Target="media/image11.wmf"/><Relationship Id="rId28" Type="http://schemas.openxmlformats.org/officeDocument/2006/relationships/oleObject" Target="embeddings/oleObject8.bin"/><Relationship Id="rId27" Type="http://schemas.openxmlformats.org/officeDocument/2006/relationships/image" Target="media/image10.wmf"/><Relationship Id="rId26" Type="http://schemas.openxmlformats.org/officeDocument/2006/relationships/oleObject" Target="embeddings/oleObject7.bin"/><Relationship Id="rId25" Type="http://schemas.openxmlformats.org/officeDocument/2006/relationships/image" Target="media/image9.wmf"/><Relationship Id="rId24" Type="http://schemas.openxmlformats.org/officeDocument/2006/relationships/oleObject" Target="embeddings/oleObject6.bin"/><Relationship Id="rId23" Type="http://schemas.openxmlformats.org/officeDocument/2006/relationships/image" Target="media/image8.wmf"/><Relationship Id="rId22" Type="http://schemas.openxmlformats.org/officeDocument/2006/relationships/oleObject" Target="embeddings/oleObject5.bin"/><Relationship Id="rId21" Type="http://schemas.openxmlformats.org/officeDocument/2006/relationships/image" Target="media/image7.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3.bin"/><Relationship Id="rId17" Type="http://schemas.openxmlformats.org/officeDocument/2006/relationships/image" Target="media/image5.wmf"/><Relationship Id="rId16" Type="http://schemas.openxmlformats.org/officeDocument/2006/relationships/oleObject" Target="embeddings/oleObject2.bin"/><Relationship Id="rId15" Type="http://schemas.openxmlformats.org/officeDocument/2006/relationships/image" Target="media/image4.png"/><Relationship Id="rId14" Type="http://schemas.openxmlformats.org/officeDocument/2006/relationships/image" Target="media/image3.wmf"/><Relationship Id="rId13" Type="http://schemas.openxmlformats.org/officeDocument/2006/relationships/oleObject" Target="embeddings/oleObject1.bin"/><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37B7D7-E0E0-4210-9889-0C0035A3EEAE}">
  <ds:schemaRefs/>
</ds:datastoreItem>
</file>

<file path=docProps/app.xml><?xml version="1.0" encoding="utf-8"?>
<Properties xmlns="http://schemas.openxmlformats.org/officeDocument/2006/extended-properties" xmlns:vt="http://schemas.openxmlformats.org/officeDocument/2006/docPropsVTypes">
  <Template>Normal</Template>
  <Company>金山办公软件有限公司</Company>
  <Pages>88</Pages>
  <Words>1446</Words>
  <Characters>2485</Characters>
  <Lines>3375</Lines>
  <Paragraphs>2774</Paragraphs>
  <TotalTime>8</TotalTime>
  <ScaleCrop>false</ScaleCrop>
  <LinksUpToDate>false</LinksUpToDate>
  <CharactersWithSpaces>2791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2024-07-25T10:24:00Z</dcterms:created>
  <dc:creator>作者名称</dc:creator>
  <cp:lastModifiedBy>啦啦啦</cp:lastModifiedBy>
  <dcterms:modified xsi:type="dcterms:W3CDTF">2026-04-03T04:53:45Z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522E1DD9814A46F68F7D532BBE2BD2B0_13</vt:lpwstr>
  </property>
  <property fmtid="{D5CDD505-2E9C-101B-9397-08002B2CF9AE}" pid="4" name="KSOTemplateDocerSaveRecord">
    <vt:lpwstr>eyJoZGlkIjoiNjQ1NWI5NGJjOGI3NzJjYmI2NTNiZjA5ZjI0MzQ5N2UiLCJ1c2VySWQiOiIzMDM3ODk1NzkifQ==</vt:lpwstr>
  </property>
</Properties>
</file>