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3360" w:leftChars="0" w:firstLine="420" w:firstLineChars="0"/>
        <w:rPr>
          <w:rFonts w:hint="eastAsia"/>
          <w:lang w:val="en-US" w:eastAsia="zh-CN"/>
        </w:rPr>
      </w:pPr>
      <w:r>
        <w:rPr>
          <w:rStyle w:val="10"/>
          <w:rFonts w:hint="eastAsia"/>
          <w:lang w:val="en-US" w:eastAsia="zh-CN"/>
        </w:rPr>
        <w:t>答题卡</w:t>
      </w:r>
      <w:r>
        <w:rPr>
          <w:rFonts w:hint="eastAsia"/>
          <w:lang w:val="en-US" w:eastAsia="zh-CN"/>
        </w:rPr>
        <w:t xml:space="preserve">    </w:t>
      </w:r>
    </w:p>
    <w:p>
      <w:pPr>
        <w:ind w:left="5880" w:leftChars="0" w:firstLine="420" w:firstLineChars="0"/>
        <w:rPr>
          <w:rFonts w:hint="eastAsia"/>
          <w:lang w:val="en-US" w:eastAsia="zh-CN"/>
        </w:rPr>
      </w:pPr>
      <w:r>
        <w:rPr>
          <w:rFonts w:hint="eastAsia"/>
          <w:lang w:val="en-US" w:eastAsia="zh-CN"/>
        </w:rPr>
        <w:t>13554677942 程序猿</w:t>
      </w:r>
    </w:p>
    <w:p>
      <w:pPr>
        <w:pStyle w:val="3"/>
        <w:rPr>
          <w:rFonts w:hint="eastAsia"/>
          <w:lang w:val="en-US" w:eastAsia="zh-CN"/>
        </w:rPr>
      </w:pPr>
      <w:r>
        <w:rPr>
          <w:rFonts w:hint="eastAsia"/>
          <w:lang w:val="en-US" w:eastAsia="zh-CN"/>
        </w:rPr>
        <w:t>【通关题】</w:t>
      </w:r>
    </w:p>
    <w:p>
      <w:pPr>
        <w:pStyle w:val="4"/>
        <w:numPr>
          <w:ilvl w:val="0"/>
          <w:numId w:val="1"/>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2010年底中小板和创业板分别上市了两家泵业企业，到2012年12月3日（前一轮熊市中小板和创业板）的底部，两家公司相比发行价分别下跌了多少？</w:t>
      </w:r>
    </w:p>
    <w:p>
      <w:pPr>
        <w:widowControl w:val="0"/>
        <w:numPr>
          <w:ilvl w:val="0"/>
          <w:numId w:val="0"/>
        </w:numPr>
        <w:jc w:val="both"/>
        <w:rPr>
          <w:rFonts w:hint="eastAsia"/>
          <w:lang w:val="en-US" w:eastAsia="zh-CN"/>
        </w:rPr>
      </w:pPr>
      <w:r>
        <w:rPr>
          <w:rFonts w:hint="eastAsia"/>
          <w:lang w:val="en-US" w:eastAsia="zh-CN"/>
        </w:rPr>
        <w:t>南方泵业：2010年12月9日发行价37.80元，2012年12月3日价格16.29元。下跌了21.51元，幅度为56.9%。</w:t>
      </w:r>
    </w:p>
    <w:p>
      <w:pPr>
        <w:widowControl w:val="0"/>
        <w:numPr>
          <w:ilvl w:val="0"/>
          <w:numId w:val="0"/>
        </w:numPr>
        <w:jc w:val="both"/>
        <w:rPr>
          <w:rFonts w:hint="eastAsia"/>
          <w:lang w:val="en-US" w:eastAsia="zh-CN"/>
        </w:rPr>
      </w:pPr>
      <w:r>
        <w:rPr>
          <w:rFonts w:hint="eastAsia"/>
          <w:lang w:val="en-US" w:eastAsia="zh-CN"/>
        </w:rPr>
        <w:t>新界泵业：2010年12月31日发行价32.88元，2012年12月3日价格15.76元。下跌了17.12元，幅度为52.07%。</w:t>
      </w:r>
    </w:p>
    <w:p>
      <w:pPr>
        <w:widowControl w:val="0"/>
        <w:numPr>
          <w:ilvl w:val="0"/>
          <w:numId w:val="0"/>
        </w:numPr>
        <w:jc w:val="both"/>
        <w:rPr>
          <w:rFonts w:hint="eastAsia"/>
          <w:lang w:val="en-US" w:eastAsia="zh-CN"/>
        </w:rPr>
      </w:pPr>
    </w:p>
    <w:p>
      <w:pPr>
        <w:pStyle w:val="4"/>
        <w:numPr>
          <w:ilvl w:val="0"/>
          <w:numId w:val="1"/>
        </w:numPr>
        <w:rPr>
          <w:rFonts w:hint="eastAsia" w:asciiTheme="minorEastAsia" w:hAnsiTheme="minorEastAsia" w:eastAsiaTheme="minorEastAsia" w:cstheme="minorEastAsia"/>
          <w:b/>
          <w:sz w:val="21"/>
          <w:szCs w:val="21"/>
          <w:lang w:val="en-US" w:eastAsia="zh-CN"/>
        </w:rPr>
      </w:pPr>
      <w:r>
        <w:rPr>
          <w:rFonts w:hint="eastAsia" w:asciiTheme="minorEastAsia" w:hAnsiTheme="minorEastAsia" w:eastAsiaTheme="minorEastAsia" w:cstheme="minorEastAsia"/>
          <w:b/>
          <w:sz w:val="21"/>
          <w:szCs w:val="21"/>
          <w:lang w:val="en-US" w:eastAsia="zh-CN"/>
        </w:rPr>
        <w:t>下跌的主要原因是什么？业绩还是估值，请定量说明。</w:t>
      </w:r>
    </w:p>
    <w:p>
      <w:pPr>
        <w:numPr>
          <w:ilvl w:val="0"/>
          <w:numId w:val="0"/>
        </w:numPr>
        <w:ind w:leftChars="0"/>
        <w:rPr>
          <w:rFonts w:hint="eastAsia"/>
          <w:lang w:val="en-US" w:eastAsia="zh-CN"/>
        </w:rPr>
      </w:pPr>
      <w:r>
        <w:rPr>
          <w:rFonts w:hint="eastAsia"/>
          <w:lang w:val="en-US" w:eastAsia="zh-CN"/>
        </w:rPr>
        <w:t>市场行情在2010年12月9日~2012年12月3日期间的总体走势为：</w:t>
      </w:r>
    </w:p>
    <w:p>
      <w:pPr>
        <w:numPr>
          <w:ilvl w:val="0"/>
          <w:numId w:val="0"/>
        </w:numPr>
        <w:ind w:leftChars="0"/>
        <w:rPr>
          <w:rFonts w:hint="eastAsia"/>
          <w:lang w:val="en-US" w:eastAsia="zh-CN"/>
        </w:rPr>
      </w:pPr>
      <w:r>
        <w:rPr>
          <w:rFonts w:hint="eastAsia"/>
          <w:lang w:val="en-US" w:eastAsia="zh-CN"/>
        </w:rPr>
        <w:t>上证指数在2010年12月9日收盘2810点，到2012年12月3日收盘1959点，下跌30%。</w:t>
      </w:r>
    </w:p>
    <w:p>
      <w:pPr>
        <w:numPr>
          <w:ilvl w:val="0"/>
          <w:numId w:val="0"/>
        </w:numPr>
        <w:ind w:leftChars="0"/>
        <w:rPr>
          <w:rFonts w:hint="eastAsia"/>
          <w:lang w:val="en-US" w:eastAsia="zh-CN"/>
        </w:rPr>
      </w:pPr>
      <w:r>
        <w:rPr>
          <w:rFonts w:hint="eastAsia"/>
          <w:lang w:val="en-US" w:eastAsia="zh-CN"/>
        </w:rPr>
        <w:t>中小板指数在2010年12月9日收盘6811点，到2012年12月3日收盘3590点，下跌47%。</w:t>
      </w:r>
    </w:p>
    <w:p>
      <w:pPr>
        <w:numPr>
          <w:ilvl w:val="0"/>
          <w:numId w:val="0"/>
        </w:numPr>
        <w:ind w:leftChars="0"/>
        <w:rPr>
          <w:rFonts w:hint="eastAsia"/>
          <w:lang w:val="en-US" w:eastAsia="zh-CN"/>
        </w:rPr>
      </w:pPr>
      <w:r>
        <w:rPr>
          <w:rFonts w:hint="eastAsia"/>
          <w:lang w:val="en-US" w:eastAsia="zh-CN"/>
        </w:rPr>
        <w:t>创业板指数在2010年12月9日收盘1144点，到2012年12月3日收盘593点，下跌48%。</w:t>
      </w:r>
    </w:p>
    <w:p>
      <w:pPr>
        <w:numPr>
          <w:ilvl w:val="0"/>
          <w:numId w:val="0"/>
        </w:numPr>
        <w:ind w:leftChars="0"/>
        <w:rPr>
          <w:rFonts w:hint="eastAsia"/>
          <w:lang w:val="en-US" w:eastAsia="zh-CN"/>
        </w:rPr>
      </w:pPr>
      <w:r>
        <w:rPr>
          <w:rFonts w:hint="eastAsia"/>
          <w:lang w:val="en-US" w:eastAsia="zh-CN"/>
        </w:rPr>
        <w:t>总体市场处于系统性风险大幅下跌状态，而且中小创下跌幅度大于蓝筹股。</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在2010~2012期间</w:t>
      </w:r>
    </w:p>
    <w:p>
      <w:pPr>
        <w:numPr>
          <w:ilvl w:val="0"/>
          <w:numId w:val="0"/>
        </w:numPr>
        <w:ind w:leftChars="0"/>
        <w:rPr>
          <w:rFonts w:hint="eastAsia"/>
          <w:lang w:val="en-US" w:eastAsia="zh-CN"/>
        </w:rPr>
      </w:pPr>
      <w:r>
        <w:rPr>
          <w:rFonts w:hint="eastAsia"/>
          <w:lang w:val="en-US" w:eastAsia="zh-CN"/>
        </w:rPr>
        <w:t>南方泵业业绩、利润总体大幅上升，但是增长率下降；</w:t>
      </w:r>
    </w:p>
    <w:p>
      <w:pPr>
        <w:numPr>
          <w:ilvl w:val="0"/>
          <w:numId w:val="0"/>
        </w:numPr>
        <w:ind w:leftChars="0"/>
        <w:rPr>
          <w:rFonts w:hint="eastAsia"/>
          <w:lang w:val="en-US" w:eastAsia="zh-CN"/>
        </w:rPr>
      </w:pPr>
      <w:r>
        <w:rPr>
          <w:rFonts w:hint="eastAsia"/>
          <w:lang w:val="en-US" w:eastAsia="zh-CN"/>
        </w:rPr>
        <w:t>新界泵业业绩、利润总体大幅上升，但是增长率在2011年下降。</w:t>
      </w:r>
    </w:p>
    <w:p>
      <w:pPr>
        <w:numPr>
          <w:ilvl w:val="0"/>
          <w:numId w:val="0"/>
        </w:numPr>
        <w:ind w:leftChars="0"/>
        <w:rPr>
          <w:rFonts w:hint="eastAsia"/>
          <w:lang w:val="en-US" w:eastAsia="zh-CN"/>
        </w:rPr>
      </w:pPr>
      <w:r>
        <w:rPr>
          <w:rFonts w:hint="eastAsia"/>
          <w:lang w:val="en-US" w:eastAsia="zh-CN"/>
        </w:rPr>
        <w:t>但是都下跌50%左右，所以业绩不是下跌主因。</w:t>
      </w:r>
    </w:p>
    <w:p>
      <w:pPr>
        <w:numPr>
          <w:ilvl w:val="0"/>
          <w:numId w:val="0"/>
        </w:numPr>
        <w:ind w:leftChars="0"/>
        <w:rPr>
          <w:rFonts w:hint="eastAsia"/>
          <w:lang w:val="en-US" w:eastAsia="zh-CN"/>
        </w:rPr>
      </w:pPr>
      <w:r>
        <w:rPr>
          <w:rFonts w:hint="eastAsia"/>
          <w:lang w:val="en-US" w:eastAsia="zh-CN"/>
        </w:rPr>
        <w:t>由于系统性风险造成的估值下降是造成下跌的主因。</w:t>
      </w:r>
    </w:p>
    <w:p>
      <w:pPr>
        <w:numPr>
          <w:ilvl w:val="0"/>
          <w:numId w:val="0"/>
        </w:numPr>
        <w:ind w:leftChars="0"/>
        <w:rPr>
          <w:rFonts w:hint="eastAsia" w:eastAsiaTheme="minorEastAsia"/>
          <w:lang w:val="en-US" w:eastAsia="zh-CN"/>
        </w:rPr>
      </w:pPr>
    </w:p>
    <w:tbl>
      <w:tblPr>
        <w:tblStyle w:val="8"/>
        <w:tblW w:w="925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594"/>
        <w:gridCol w:w="1188"/>
        <w:gridCol w:w="1223"/>
        <w:gridCol w:w="1264"/>
        <w:gridCol w:w="19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50" w:hRule="atLeast"/>
        </w:trPr>
        <w:tc>
          <w:tcPr>
            <w:tcW w:w="3594" w:type="dxa"/>
            <w:tcBorders>
              <w:top w:val="single" w:color="000000" w:sz="4" w:space="0"/>
              <w:left w:val="single" w:color="000000" w:sz="4" w:space="0"/>
              <w:bottom w:val="single" w:color="000000" w:sz="4" w:space="0"/>
              <w:right w:val="single" w:color="000000" w:sz="4" w:space="0"/>
            </w:tcBorders>
            <w:shd w:val="clear" w:color="auto" w:fill="5B9BD5"/>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中金环境（南方泵业）</w:t>
            </w:r>
          </w:p>
        </w:tc>
        <w:tc>
          <w:tcPr>
            <w:tcW w:w="1188" w:type="dxa"/>
            <w:tcBorders>
              <w:top w:val="single" w:color="000000" w:sz="4" w:space="0"/>
              <w:left w:val="single" w:color="000000" w:sz="4" w:space="0"/>
              <w:bottom w:val="single" w:color="000000" w:sz="4" w:space="0"/>
              <w:right w:val="single" w:color="000000" w:sz="4" w:space="0"/>
            </w:tcBorders>
            <w:shd w:val="clear" w:color="auto" w:fill="5B9BD5"/>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2010-12-31</w:t>
            </w:r>
          </w:p>
        </w:tc>
        <w:tc>
          <w:tcPr>
            <w:tcW w:w="1223" w:type="dxa"/>
            <w:tcBorders>
              <w:top w:val="single" w:color="000000" w:sz="4" w:space="0"/>
              <w:left w:val="single" w:color="000000" w:sz="4" w:space="0"/>
              <w:bottom w:val="single" w:color="000000" w:sz="4" w:space="0"/>
              <w:right w:val="single" w:color="000000" w:sz="4" w:space="0"/>
            </w:tcBorders>
            <w:shd w:val="clear" w:color="auto" w:fill="5B9BD5"/>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2011-12-31</w:t>
            </w:r>
          </w:p>
        </w:tc>
        <w:tc>
          <w:tcPr>
            <w:tcW w:w="1264" w:type="dxa"/>
            <w:tcBorders>
              <w:top w:val="single" w:color="000000" w:sz="4" w:space="0"/>
              <w:left w:val="single" w:color="000000" w:sz="4" w:space="0"/>
              <w:bottom w:val="single" w:color="000000" w:sz="4" w:space="0"/>
              <w:right w:val="single" w:color="000000" w:sz="4" w:space="0"/>
            </w:tcBorders>
            <w:shd w:val="clear" w:color="auto" w:fill="5B9BD5"/>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2012-12-31</w:t>
            </w:r>
          </w:p>
        </w:tc>
        <w:tc>
          <w:tcPr>
            <w:tcW w:w="1987" w:type="dxa"/>
            <w:tcBorders>
              <w:top w:val="single" w:color="000000" w:sz="4" w:space="0"/>
              <w:left w:val="single" w:color="000000" w:sz="4" w:space="0"/>
              <w:bottom w:val="single" w:color="000000" w:sz="4" w:space="0"/>
              <w:right w:val="single" w:color="000000" w:sz="4" w:space="0"/>
            </w:tcBorders>
            <w:shd w:val="clear" w:color="auto" w:fill="5B9BD5"/>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分析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50" w:hRule="atLeast"/>
        </w:trPr>
        <w:tc>
          <w:tcPr>
            <w:tcW w:w="35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报告期</w:t>
            </w:r>
          </w:p>
        </w:tc>
        <w:tc>
          <w:tcPr>
            <w:tcW w:w="11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年报</w:t>
            </w:r>
          </w:p>
        </w:tc>
        <w:tc>
          <w:tcPr>
            <w:tcW w:w="122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年报</w:t>
            </w:r>
          </w:p>
        </w:tc>
        <w:tc>
          <w:tcPr>
            <w:tcW w:w="12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年报</w:t>
            </w:r>
          </w:p>
        </w:tc>
        <w:tc>
          <w:tcPr>
            <w:tcW w:w="198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50" w:hRule="atLeast"/>
        </w:trPr>
        <w:tc>
          <w:tcPr>
            <w:tcW w:w="35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利润表摘要</w:t>
            </w:r>
          </w:p>
        </w:tc>
        <w:tc>
          <w:tcPr>
            <w:tcW w:w="1188"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c>
          <w:tcPr>
            <w:tcW w:w="1223"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c>
          <w:tcPr>
            <w:tcW w:w="1264"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c>
          <w:tcPr>
            <w:tcW w:w="198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50" w:hRule="atLeast"/>
        </w:trPr>
        <w:tc>
          <w:tcPr>
            <w:tcW w:w="35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营业总收入</w:t>
            </w:r>
          </w:p>
        </w:tc>
        <w:tc>
          <w:tcPr>
            <w:tcW w:w="11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63,565.37 </w:t>
            </w:r>
          </w:p>
        </w:tc>
        <w:tc>
          <w:tcPr>
            <w:tcW w:w="122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86,502.52 </w:t>
            </w:r>
          </w:p>
        </w:tc>
        <w:tc>
          <w:tcPr>
            <w:tcW w:w="12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104,877.39 </w:t>
            </w:r>
          </w:p>
        </w:tc>
        <w:tc>
          <w:tcPr>
            <w:tcW w:w="198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50" w:hRule="atLeast"/>
        </w:trPr>
        <w:tc>
          <w:tcPr>
            <w:tcW w:w="35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同比(%)</w:t>
            </w:r>
          </w:p>
        </w:tc>
        <w:tc>
          <w:tcPr>
            <w:tcW w:w="11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60.14 </w:t>
            </w:r>
          </w:p>
        </w:tc>
        <w:tc>
          <w:tcPr>
            <w:tcW w:w="122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36.08 </w:t>
            </w:r>
          </w:p>
        </w:tc>
        <w:tc>
          <w:tcPr>
            <w:tcW w:w="12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21.24 </w:t>
            </w:r>
          </w:p>
        </w:tc>
        <w:tc>
          <w:tcPr>
            <w:tcW w:w="198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营业收入增长率大幅下降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50" w:hRule="atLeast"/>
        </w:trPr>
        <w:tc>
          <w:tcPr>
            <w:tcW w:w="35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营业总成本</w:t>
            </w:r>
          </w:p>
        </w:tc>
        <w:tc>
          <w:tcPr>
            <w:tcW w:w="11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56,010.23 </w:t>
            </w:r>
          </w:p>
        </w:tc>
        <w:tc>
          <w:tcPr>
            <w:tcW w:w="122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74,080.78 </w:t>
            </w:r>
          </w:p>
        </w:tc>
        <w:tc>
          <w:tcPr>
            <w:tcW w:w="12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90,232.94 </w:t>
            </w:r>
          </w:p>
        </w:tc>
        <w:tc>
          <w:tcPr>
            <w:tcW w:w="198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50" w:hRule="atLeast"/>
        </w:trPr>
        <w:tc>
          <w:tcPr>
            <w:tcW w:w="35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营业利润</w:t>
            </w:r>
          </w:p>
        </w:tc>
        <w:tc>
          <w:tcPr>
            <w:tcW w:w="11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7,674.56 </w:t>
            </w:r>
          </w:p>
        </w:tc>
        <w:tc>
          <w:tcPr>
            <w:tcW w:w="122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12,424.51 </w:t>
            </w:r>
          </w:p>
        </w:tc>
        <w:tc>
          <w:tcPr>
            <w:tcW w:w="12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14,646.84 </w:t>
            </w:r>
          </w:p>
        </w:tc>
        <w:tc>
          <w:tcPr>
            <w:tcW w:w="198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50" w:hRule="atLeast"/>
        </w:trPr>
        <w:tc>
          <w:tcPr>
            <w:tcW w:w="35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同比(%)</w:t>
            </w:r>
          </w:p>
        </w:tc>
        <w:tc>
          <w:tcPr>
            <w:tcW w:w="11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58.91 </w:t>
            </w:r>
          </w:p>
        </w:tc>
        <w:tc>
          <w:tcPr>
            <w:tcW w:w="122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61.89 </w:t>
            </w:r>
          </w:p>
        </w:tc>
        <w:tc>
          <w:tcPr>
            <w:tcW w:w="12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17.89 </w:t>
            </w:r>
          </w:p>
        </w:tc>
        <w:tc>
          <w:tcPr>
            <w:tcW w:w="198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营业利润增长率大幅下降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50" w:hRule="atLeast"/>
        </w:trPr>
        <w:tc>
          <w:tcPr>
            <w:tcW w:w="35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利润总额</w:t>
            </w:r>
          </w:p>
        </w:tc>
        <w:tc>
          <w:tcPr>
            <w:tcW w:w="11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8,362.92 </w:t>
            </w:r>
          </w:p>
        </w:tc>
        <w:tc>
          <w:tcPr>
            <w:tcW w:w="122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12,548.69 </w:t>
            </w:r>
          </w:p>
        </w:tc>
        <w:tc>
          <w:tcPr>
            <w:tcW w:w="12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15,239.80 </w:t>
            </w:r>
          </w:p>
        </w:tc>
        <w:tc>
          <w:tcPr>
            <w:tcW w:w="198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FF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661" w:hRule="atLeast"/>
        </w:trPr>
        <w:tc>
          <w:tcPr>
            <w:tcW w:w="35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同比(%)</w:t>
            </w:r>
          </w:p>
        </w:tc>
        <w:tc>
          <w:tcPr>
            <w:tcW w:w="11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63.56 </w:t>
            </w:r>
          </w:p>
        </w:tc>
        <w:tc>
          <w:tcPr>
            <w:tcW w:w="122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50.05 </w:t>
            </w:r>
          </w:p>
        </w:tc>
        <w:tc>
          <w:tcPr>
            <w:tcW w:w="12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21.45 </w:t>
            </w:r>
          </w:p>
        </w:tc>
        <w:tc>
          <w:tcPr>
            <w:tcW w:w="198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利润总额增长率大幅下降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50" w:hRule="atLeast"/>
        </w:trPr>
        <w:tc>
          <w:tcPr>
            <w:tcW w:w="35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净利润</w:t>
            </w:r>
          </w:p>
        </w:tc>
        <w:tc>
          <w:tcPr>
            <w:tcW w:w="11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7,042.65 </w:t>
            </w:r>
          </w:p>
        </w:tc>
        <w:tc>
          <w:tcPr>
            <w:tcW w:w="122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10,096.04 </w:t>
            </w:r>
          </w:p>
        </w:tc>
        <w:tc>
          <w:tcPr>
            <w:tcW w:w="12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12,294.77 </w:t>
            </w:r>
          </w:p>
        </w:tc>
        <w:tc>
          <w:tcPr>
            <w:tcW w:w="198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FF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50" w:hRule="atLeast"/>
        </w:trPr>
        <w:tc>
          <w:tcPr>
            <w:tcW w:w="35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归属母公司股东的净利润</w:t>
            </w:r>
          </w:p>
        </w:tc>
        <w:tc>
          <w:tcPr>
            <w:tcW w:w="11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6,735.98 </w:t>
            </w:r>
          </w:p>
        </w:tc>
        <w:tc>
          <w:tcPr>
            <w:tcW w:w="122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9,729.95 </w:t>
            </w:r>
          </w:p>
        </w:tc>
        <w:tc>
          <w:tcPr>
            <w:tcW w:w="12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12,089.02 </w:t>
            </w:r>
          </w:p>
        </w:tc>
        <w:tc>
          <w:tcPr>
            <w:tcW w:w="198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FF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50" w:hRule="atLeast"/>
        </w:trPr>
        <w:tc>
          <w:tcPr>
            <w:tcW w:w="35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同比(%)</w:t>
            </w:r>
          </w:p>
        </w:tc>
        <w:tc>
          <w:tcPr>
            <w:tcW w:w="11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47.07 </w:t>
            </w:r>
          </w:p>
        </w:tc>
        <w:tc>
          <w:tcPr>
            <w:tcW w:w="122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44.45 </w:t>
            </w:r>
          </w:p>
        </w:tc>
        <w:tc>
          <w:tcPr>
            <w:tcW w:w="12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24.25 </w:t>
            </w:r>
          </w:p>
        </w:tc>
        <w:tc>
          <w:tcPr>
            <w:tcW w:w="198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净利润增长率大幅下降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50" w:hRule="atLeast"/>
        </w:trPr>
        <w:tc>
          <w:tcPr>
            <w:tcW w:w="35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非经常性损益</w:t>
            </w:r>
          </w:p>
        </w:tc>
        <w:tc>
          <w:tcPr>
            <w:tcW w:w="11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527.09 </w:t>
            </w:r>
          </w:p>
        </w:tc>
        <w:tc>
          <w:tcPr>
            <w:tcW w:w="122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87.12 </w:t>
            </w:r>
          </w:p>
        </w:tc>
        <w:tc>
          <w:tcPr>
            <w:tcW w:w="12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392.80 </w:t>
            </w:r>
          </w:p>
        </w:tc>
        <w:tc>
          <w:tcPr>
            <w:tcW w:w="198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FF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50" w:hRule="atLeast"/>
        </w:trPr>
        <w:tc>
          <w:tcPr>
            <w:tcW w:w="35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扣非后归属母公司股东的净利润</w:t>
            </w:r>
          </w:p>
        </w:tc>
        <w:tc>
          <w:tcPr>
            <w:tcW w:w="11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6,208.89 </w:t>
            </w:r>
          </w:p>
        </w:tc>
        <w:tc>
          <w:tcPr>
            <w:tcW w:w="122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9,642.83 </w:t>
            </w:r>
          </w:p>
        </w:tc>
        <w:tc>
          <w:tcPr>
            <w:tcW w:w="12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11,696.22 </w:t>
            </w:r>
          </w:p>
        </w:tc>
        <w:tc>
          <w:tcPr>
            <w:tcW w:w="198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FF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50" w:hRule="atLeast"/>
        </w:trPr>
        <w:tc>
          <w:tcPr>
            <w:tcW w:w="35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同比(%)</w:t>
            </w:r>
          </w:p>
        </w:tc>
        <w:tc>
          <w:tcPr>
            <w:tcW w:w="11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52.27 </w:t>
            </w:r>
          </w:p>
        </w:tc>
        <w:tc>
          <w:tcPr>
            <w:tcW w:w="122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55.31 </w:t>
            </w:r>
          </w:p>
        </w:tc>
        <w:tc>
          <w:tcPr>
            <w:tcW w:w="12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21.29 </w:t>
            </w:r>
          </w:p>
        </w:tc>
        <w:tc>
          <w:tcPr>
            <w:tcW w:w="198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FF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60" w:hRule="atLeast"/>
        </w:trPr>
        <w:tc>
          <w:tcPr>
            <w:tcW w:w="35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研发费用</w:t>
            </w:r>
          </w:p>
        </w:tc>
        <w:tc>
          <w:tcPr>
            <w:tcW w:w="11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1,994.60 </w:t>
            </w:r>
          </w:p>
        </w:tc>
        <w:tc>
          <w:tcPr>
            <w:tcW w:w="122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2,822.44 </w:t>
            </w:r>
          </w:p>
        </w:tc>
        <w:tc>
          <w:tcPr>
            <w:tcW w:w="12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3,517.15 </w:t>
            </w:r>
          </w:p>
        </w:tc>
        <w:tc>
          <w:tcPr>
            <w:tcW w:w="198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研发费用大幅上升</w:t>
            </w:r>
          </w:p>
        </w:tc>
      </w:tr>
    </w:tbl>
    <w:p>
      <w:pPr>
        <w:numPr>
          <w:ilvl w:val="0"/>
          <w:numId w:val="0"/>
        </w:numPr>
        <w:ind w:leftChars="0"/>
        <w:rPr>
          <w:rFonts w:hint="eastAsia" w:eastAsiaTheme="minorEastAsia"/>
          <w:lang w:val="en-US" w:eastAsia="zh-CN"/>
        </w:rPr>
      </w:pPr>
    </w:p>
    <w:p>
      <w:pPr>
        <w:numPr>
          <w:ilvl w:val="0"/>
          <w:numId w:val="0"/>
        </w:numPr>
        <w:ind w:leftChars="0"/>
        <w:rPr>
          <w:rFonts w:hint="eastAsia" w:eastAsiaTheme="minorEastAsia"/>
          <w:lang w:val="en-US" w:eastAsia="zh-CN"/>
        </w:rPr>
      </w:pPr>
    </w:p>
    <w:p>
      <w:pPr>
        <w:numPr>
          <w:ilvl w:val="0"/>
          <w:numId w:val="0"/>
        </w:numPr>
        <w:ind w:leftChars="0"/>
        <w:rPr>
          <w:rFonts w:hint="eastAsia"/>
          <w:lang w:val="en-US" w:eastAsia="zh-CN"/>
        </w:rPr>
      </w:pPr>
    </w:p>
    <w:tbl>
      <w:tblPr>
        <w:tblStyle w:val="8"/>
        <w:tblW w:w="956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481"/>
        <w:gridCol w:w="1375"/>
        <w:gridCol w:w="1237"/>
        <w:gridCol w:w="1213"/>
        <w:gridCol w:w="22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44" w:hRule="atLeast"/>
        </w:trPr>
        <w:tc>
          <w:tcPr>
            <w:tcW w:w="3481" w:type="dxa"/>
            <w:tcBorders>
              <w:top w:val="single" w:color="000000" w:sz="4" w:space="0"/>
              <w:left w:val="single" w:color="000000" w:sz="4" w:space="0"/>
              <w:bottom w:val="single" w:color="000000" w:sz="4" w:space="0"/>
              <w:right w:val="single" w:color="000000" w:sz="4" w:space="0"/>
            </w:tcBorders>
            <w:shd w:val="clear" w:color="auto" w:fill="5B9BD5"/>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新界泵业</w:t>
            </w:r>
          </w:p>
        </w:tc>
        <w:tc>
          <w:tcPr>
            <w:tcW w:w="1375" w:type="dxa"/>
            <w:tcBorders>
              <w:top w:val="single" w:color="000000" w:sz="4" w:space="0"/>
              <w:left w:val="single" w:color="000000" w:sz="4" w:space="0"/>
              <w:bottom w:val="single" w:color="000000" w:sz="4" w:space="0"/>
              <w:right w:val="single" w:color="000000" w:sz="4" w:space="0"/>
            </w:tcBorders>
            <w:shd w:val="clear" w:color="auto" w:fill="5B9BD5"/>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2010-12-31</w:t>
            </w:r>
          </w:p>
        </w:tc>
        <w:tc>
          <w:tcPr>
            <w:tcW w:w="1237" w:type="dxa"/>
            <w:tcBorders>
              <w:top w:val="single" w:color="000000" w:sz="4" w:space="0"/>
              <w:left w:val="single" w:color="000000" w:sz="4" w:space="0"/>
              <w:bottom w:val="single" w:color="000000" w:sz="4" w:space="0"/>
              <w:right w:val="single" w:color="000000" w:sz="4" w:space="0"/>
            </w:tcBorders>
            <w:shd w:val="clear" w:color="auto" w:fill="5B9BD5"/>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2011-12-31</w:t>
            </w:r>
          </w:p>
        </w:tc>
        <w:tc>
          <w:tcPr>
            <w:tcW w:w="1213" w:type="dxa"/>
            <w:tcBorders>
              <w:top w:val="single" w:color="000000" w:sz="4" w:space="0"/>
              <w:left w:val="single" w:color="000000" w:sz="4" w:space="0"/>
              <w:bottom w:val="single" w:color="000000" w:sz="4" w:space="0"/>
              <w:right w:val="single" w:color="000000" w:sz="4" w:space="0"/>
            </w:tcBorders>
            <w:shd w:val="clear" w:color="auto" w:fill="5B9BD5"/>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2012-12-31</w:t>
            </w:r>
          </w:p>
        </w:tc>
        <w:tc>
          <w:tcPr>
            <w:tcW w:w="2262" w:type="dxa"/>
            <w:tcBorders>
              <w:top w:val="single" w:color="000000" w:sz="4" w:space="0"/>
              <w:left w:val="single" w:color="000000" w:sz="4" w:space="0"/>
              <w:bottom w:val="single" w:color="000000" w:sz="4" w:space="0"/>
              <w:right w:val="single" w:color="000000" w:sz="4" w:space="0"/>
            </w:tcBorders>
            <w:shd w:val="clear" w:color="auto" w:fill="5B9BD5"/>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分析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4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报告期</w:t>
            </w:r>
          </w:p>
        </w:tc>
        <w:tc>
          <w:tcPr>
            <w:tcW w:w="13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年报</w:t>
            </w:r>
          </w:p>
        </w:tc>
        <w:tc>
          <w:tcPr>
            <w:tcW w:w="123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年报</w:t>
            </w:r>
          </w:p>
        </w:tc>
        <w:tc>
          <w:tcPr>
            <w:tcW w:w="12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年报</w:t>
            </w:r>
          </w:p>
        </w:tc>
        <w:tc>
          <w:tcPr>
            <w:tcW w:w="226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34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利润表摘要</w:t>
            </w:r>
          </w:p>
        </w:tc>
        <w:tc>
          <w:tcPr>
            <w:tcW w:w="137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c>
          <w:tcPr>
            <w:tcW w:w="1237"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c>
          <w:tcPr>
            <w:tcW w:w="1213"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c>
          <w:tcPr>
            <w:tcW w:w="226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4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营业总收入</w:t>
            </w:r>
          </w:p>
        </w:tc>
        <w:tc>
          <w:tcPr>
            <w:tcW w:w="13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56,742.67 </w:t>
            </w:r>
          </w:p>
        </w:tc>
        <w:tc>
          <w:tcPr>
            <w:tcW w:w="123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76,451.49 </w:t>
            </w:r>
          </w:p>
        </w:tc>
        <w:tc>
          <w:tcPr>
            <w:tcW w:w="12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94,245.05 </w:t>
            </w:r>
          </w:p>
        </w:tc>
        <w:tc>
          <w:tcPr>
            <w:tcW w:w="226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34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同比(%)</w:t>
            </w:r>
          </w:p>
        </w:tc>
        <w:tc>
          <w:tcPr>
            <w:tcW w:w="13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26.81 </w:t>
            </w:r>
          </w:p>
        </w:tc>
        <w:tc>
          <w:tcPr>
            <w:tcW w:w="123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34.73 </w:t>
            </w:r>
          </w:p>
        </w:tc>
        <w:tc>
          <w:tcPr>
            <w:tcW w:w="12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23.27 </w:t>
            </w:r>
          </w:p>
        </w:tc>
        <w:tc>
          <w:tcPr>
            <w:tcW w:w="226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营业收入大幅波动正常</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34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营业总成本</w:t>
            </w:r>
          </w:p>
        </w:tc>
        <w:tc>
          <w:tcPr>
            <w:tcW w:w="13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51,090.27 </w:t>
            </w:r>
          </w:p>
        </w:tc>
        <w:tc>
          <w:tcPr>
            <w:tcW w:w="123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70,295.24 </w:t>
            </w:r>
          </w:p>
        </w:tc>
        <w:tc>
          <w:tcPr>
            <w:tcW w:w="12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84,420.12 </w:t>
            </w:r>
          </w:p>
        </w:tc>
        <w:tc>
          <w:tcPr>
            <w:tcW w:w="226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34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营业利润</w:t>
            </w:r>
          </w:p>
        </w:tc>
        <w:tc>
          <w:tcPr>
            <w:tcW w:w="13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6,011.97 </w:t>
            </w:r>
          </w:p>
        </w:tc>
        <w:tc>
          <w:tcPr>
            <w:tcW w:w="123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6,235.66 </w:t>
            </w:r>
          </w:p>
        </w:tc>
        <w:tc>
          <w:tcPr>
            <w:tcW w:w="12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10,491.57 </w:t>
            </w:r>
          </w:p>
        </w:tc>
        <w:tc>
          <w:tcPr>
            <w:tcW w:w="226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4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同比(%)</w:t>
            </w:r>
          </w:p>
        </w:tc>
        <w:tc>
          <w:tcPr>
            <w:tcW w:w="13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17.40 </w:t>
            </w:r>
          </w:p>
        </w:tc>
        <w:tc>
          <w:tcPr>
            <w:tcW w:w="123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3.72 </w:t>
            </w:r>
          </w:p>
        </w:tc>
        <w:tc>
          <w:tcPr>
            <w:tcW w:w="12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68.25 </w:t>
            </w:r>
          </w:p>
        </w:tc>
        <w:tc>
          <w:tcPr>
            <w:tcW w:w="226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营业利润大幅上升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4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利润总额</w:t>
            </w:r>
          </w:p>
        </w:tc>
        <w:tc>
          <w:tcPr>
            <w:tcW w:w="13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6,665.88 </w:t>
            </w:r>
          </w:p>
        </w:tc>
        <w:tc>
          <w:tcPr>
            <w:tcW w:w="123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6,959.84 </w:t>
            </w:r>
          </w:p>
        </w:tc>
        <w:tc>
          <w:tcPr>
            <w:tcW w:w="12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10,801.25 </w:t>
            </w:r>
          </w:p>
        </w:tc>
        <w:tc>
          <w:tcPr>
            <w:tcW w:w="226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FF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4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同比(%)</w:t>
            </w:r>
          </w:p>
        </w:tc>
        <w:tc>
          <w:tcPr>
            <w:tcW w:w="13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23.74 </w:t>
            </w:r>
          </w:p>
        </w:tc>
        <w:tc>
          <w:tcPr>
            <w:tcW w:w="123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4.41 </w:t>
            </w:r>
          </w:p>
        </w:tc>
        <w:tc>
          <w:tcPr>
            <w:tcW w:w="12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55.19 </w:t>
            </w:r>
          </w:p>
        </w:tc>
        <w:tc>
          <w:tcPr>
            <w:tcW w:w="226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利润总额大幅上升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34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净利润</w:t>
            </w:r>
          </w:p>
        </w:tc>
        <w:tc>
          <w:tcPr>
            <w:tcW w:w="13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5,908.56 </w:t>
            </w:r>
          </w:p>
        </w:tc>
        <w:tc>
          <w:tcPr>
            <w:tcW w:w="123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6,046.80 </w:t>
            </w:r>
          </w:p>
        </w:tc>
        <w:tc>
          <w:tcPr>
            <w:tcW w:w="12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8,773.89 </w:t>
            </w:r>
          </w:p>
        </w:tc>
        <w:tc>
          <w:tcPr>
            <w:tcW w:w="226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FF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4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归属母公司股东的净利润</w:t>
            </w:r>
          </w:p>
        </w:tc>
        <w:tc>
          <w:tcPr>
            <w:tcW w:w="13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5,918.14 </w:t>
            </w:r>
          </w:p>
        </w:tc>
        <w:tc>
          <w:tcPr>
            <w:tcW w:w="123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6,019.27 </w:t>
            </w:r>
          </w:p>
        </w:tc>
        <w:tc>
          <w:tcPr>
            <w:tcW w:w="12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8,631.55 </w:t>
            </w:r>
          </w:p>
        </w:tc>
        <w:tc>
          <w:tcPr>
            <w:tcW w:w="226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FF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4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同比(%)</w:t>
            </w:r>
          </w:p>
        </w:tc>
        <w:tc>
          <w:tcPr>
            <w:tcW w:w="13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25.67 </w:t>
            </w:r>
          </w:p>
        </w:tc>
        <w:tc>
          <w:tcPr>
            <w:tcW w:w="123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1.71 </w:t>
            </w:r>
          </w:p>
        </w:tc>
        <w:tc>
          <w:tcPr>
            <w:tcW w:w="12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43.40 </w:t>
            </w:r>
          </w:p>
        </w:tc>
        <w:tc>
          <w:tcPr>
            <w:tcW w:w="226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净利润大幅上升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34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非经常性损益</w:t>
            </w:r>
          </w:p>
        </w:tc>
        <w:tc>
          <w:tcPr>
            <w:tcW w:w="13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912.11 </w:t>
            </w:r>
          </w:p>
        </w:tc>
        <w:tc>
          <w:tcPr>
            <w:tcW w:w="123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619.56 </w:t>
            </w:r>
          </w:p>
        </w:tc>
        <w:tc>
          <w:tcPr>
            <w:tcW w:w="12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928.29 </w:t>
            </w:r>
          </w:p>
        </w:tc>
        <w:tc>
          <w:tcPr>
            <w:tcW w:w="226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FF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4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扣非后归属母公司股东的净利润</w:t>
            </w:r>
          </w:p>
        </w:tc>
        <w:tc>
          <w:tcPr>
            <w:tcW w:w="13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5,006.02 </w:t>
            </w:r>
          </w:p>
        </w:tc>
        <w:tc>
          <w:tcPr>
            <w:tcW w:w="123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5,399.71 </w:t>
            </w:r>
          </w:p>
        </w:tc>
        <w:tc>
          <w:tcPr>
            <w:tcW w:w="12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7,703.27 </w:t>
            </w:r>
          </w:p>
        </w:tc>
        <w:tc>
          <w:tcPr>
            <w:tcW w:w="226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FF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4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同比(%)</w:t>
            </w:r>
          </w:p>
        </w:tc>
        <w:tc>
          <w:tcPr>
            <w:tcW w:w="13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12.58 </w:t>
            </w:r>
          </w:p>
        </w:tc>
        <w:tc>
          <w:tcPr>
            <w:tcW w:w="123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7.86 </w:t>
            </w:r>
          </w:p>
        </w:tc>
        <w:tc>
          <w:tcPr>
            <w:tcW w:w="12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42.66 </w:t>
            </w:r>
          </w:p>
        </w:tc>
        <w:tc>
          <w:tcPr>
            <w:tcW w:w="226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FF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4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研发费用</w:t>
            </w:r>
          </w:p>
        </w:tc>
        <w:tc>
          <w:tcPr>
            <w:tcW w:w="13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1,635.12 </w:t>
            </w:r>
          </w:p>
        </w:tc>
        <w:tc>
          <w:tcPr>
            <w:tcW w:w="123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2,179.48 </w:t>
            </w:r>
          </w:p>
        </w:tc>
        <w:tc>
          <w:tcPr>
            <w:tcW w:w="12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2,979.01 </w:t>
            </w:r>
          </w:p>
        </w:tc>
        <w:tc>
          <w:tcPr>
            <w:tcW w:w="226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研发费用大幅上升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4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EBIT</w:t>
            </w:r>
          </w:p>
        </w:tc>
        <w:tc>
          <w:tcPr>
            <w:tcW w:w="13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6,202.49 </w:t>
            </w:r>
          </w:p>
        </w:tc>
        <w:tc>
          <w:tcPr>
            <w:tcW w:w="123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5,664.64 </w:t>
            </w:r>
          </w:p>
        </w:tc>
        <w:tc>
          <w:tcPr>
            <w:tcW w:w="12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9,374.47 </w:t>
            </w:r>
          </w:p>
        </w:tc>
        <w:tc>
          <w:tcPr>
            <w:tcW w:w="226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4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EBITDA</w:t>
            </w:r>
          </w:p>
        </w:tc>
        <w:tc>
          <w:tcPr>
            <w:tcW w:w="13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7,067.18 </w:t>
            </w:r>
          </w:p>
        </w:tc>
        <w:tc>
          <w:tcPr>
            <w:tcW w:w="123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6,776.85 </w:t>
            </w:r>
          </w:p>
        </w:tc>
        <w:tc>
          <w:tcPr>
            <w:tcW w:w="12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11,542.20 </w:t>
            </w:r>
          </w:p>
        </w:tc>
        <w:tc>
          <w:tcPr>
            <w:tcW w:w="226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2"/>
                <w:szCs w:val="22"/>
                <w:u w:val="none"/>
              </w:rPr>
            </w:pPr>
          </w:p>
        </w:tc>
      </w:tr>
    </w:tbl>
    <w:p>
      <w:pPr>
        <w:numPr>
          <w:ilvl w:val="0"/>
          <w:numId w:val="0"/>
        </w:numPr>
        <w:ind w:leftChars="0"/>
        <w:rPr>
          <w:rFonts w:hint="eastAsia" w:eastAsiaTheme="minorEastAsia"/>
          <w:lang w:val="en-US" w:eastAsia="zh-CN"/>
        </w:rPr>
      </w:pPr>
    </w:p>
    <w:p>
      <w:pPr>
        <w:widowControl w:val="0"/>
        <w:numPr>
          <w:ilvl w:val="0"/>
          <w:numId w:val="0"/>
        </w:numPr>
        <w:jc w:val="both"/>
        <w:rPr>
          <w:rFonts w:hint="eastAsia"/>
          <w:lang w:val="en-US" w:eastAsia="zh-CN"/>
        </w:rPr>
      </w:pPr>
    </w:p>
    <w:p>
      <w:pPr>
        <w:pStyle w:val="4"/>
        <w:numPr>
          <w:ilvl w:val="0"/>
          <w:numId w:val="1"/>
        </w:numPr>
        <w:rPr>
          <w:rFonts w:hint="eastAsia" w:asciiTheme="minorEastAsia" w:hAnsiTheme="minorEastAsia" w:eastAsiaTheme="minorEastAsia" w:cstheme="minorEastAsia"/>
          <w:b/>
          <w:sz w:val="21"/>
          <w:szCs w:val="21"/>
          <w:lang w:val="en-US" w:eastAsia="zh-CN"/>
        </w:rPr>
      </w:pPr>
      <w:r>
        <w:rPr>
          <w:rFonts w:hint="eastAsia" w:asciiTheme="minorEastAsia" w:hAnsiTheme="minorEastAsia" w:eastAsiaTheme="minorEastAsia" w:cstheme="minorEastAsia"/>
          <w:b/>
          <w:sz w:val="21"/>
          <w:szCs w:val="21"/>
          <w:lang w:val="en-US" w:eastAsia="zh-CN"/>
        </w:rPr>
        <w:t>2010年后，你认为中国制造业（第二产业的主要代表）总体增速是多少？为什么？对应的合理PE是多少倍？</w:t>
      </w:r>
    </w:p>
    <w:p>
      <w:pPr>
        <w:widowControl w:val="0"/>
        <w:numPr>
          <w:ilvl w:val="0"/>
          <w:numId w:val="0"/>
        </w:numPr>
        <w:ind w:firstLine="420"/>
        <w:jc w:val="both"/>
      </w:pPr>
      <w:r>
        <w:rPr>
          <w:rFonts w:hint="eastAsia"/>
          <w:lang w:val="en-US" w:eastAsia="zh-CN"/>
        </w:rPr>
        <w:t>汇丰制造业景气指数显示2010年后中国制造业整体增速下滑趋势明显</w:t>
      </w:r>
      <w:r>
        <w:rPr>
          <w:rFonts w:hint="eastAsia"/>
          <w:lang w:val="en-US" w:eastAsia="zh-CN"/>
        </w:rPr>
        <w:br w:type="textWrapping"/>
      </w:r>
      <w:r>
        <w:drawing>
          <wp:inline distT="0" distB="0" distL="114300" distR="114300">
            <wp:extent cx="5895975" cy="1181100"/>
            <wp:effectExtent l="0" t="0" r="9525"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4"/>
                    <a:stretch>
                      <a:fillRect/>
                    </a:stretch>
                  </pic:blipFill>
                  <pic:spPr>
                    <a:xfrm>
                      <a:off x="0" y="0"/>
                      <a:ext cx="5895975" cy="1181100"/>
                    </a:xfrm>
                    <a:prstGeom prst="rect">
                      <a:avLst/>
                    </a:prstGeom>
                    <a:noFill/>
                    <a:ln w="9525">
                      <a:noFill/>
                    </a:ln>
                  </pic:spPr>
                </pic:pic>
              </a:graphicData>
            </a:graphic>
          </wp:inline>
        </w:drawing>
      </w:r>
    </w:p>
    <w:p>
      <w:pPr>
        <w:widowControl w:val="0"/>
        <w:numPr>
          <w:ilvl w:val="0"/>
          <w:numId w:val="0"/>
        </w:numPr>
        <w:ind w:firstLine="420"/>
        <w:jc w:val="both"/>
      </w:pPr>
    </w:p>
    <w:tbl>
      <w:tblPr>
        <w:tblStyle w:val="8"/>
        <w:tblW w:w="64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60"/>
        <w:gridCol w:w="2160"/>
        <w:gridCol w:w="21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left"/>
              <w:textAlignment w:val="bottom"/>
              <w:rPr>
                <w:rFonts w:ascii="Arial" w:hAnsi="Arial" w:cs="Arial"/>
                <w:i w:val="0"/>
                <w:color w:val="000000"/>
                <w:sz w:val="25"/>
                <w:szCs w:val="25"/>
                <w:u w:val="none"/>
              </w:rPr>
            </w:pPr>
            <w:r>
              <w:rPr>
                <w:rFonts w:hint="default" w:ascii="Arial" w:hAnsi="Arial" w:eastAsia="宋体" w:cs="Arial"/>
                <w:i w:val="0"/>
                <w:color w:val="000000"/>
                <w:kern w:val="0"/>
                <w:sz w:val="25"/>
                <w:szCs w:val="25"/>
                <w:u w:val="none"/>
                <w:lang w:val="en-US" w:eastAsia="zh-CN" w:bidi="ar"/>
              </w:rPr>
              <w:t>序号</w:t>
            </w:r>
          </w:p>
        </w:tc>
        <w:tc>
          <w:tcPr>
            <w:tcW w:w="2160" w:type="dxa"/>
            <w:shd w:val="clear" w:color="auto" w:fill="auto"/>
            <w:vAlign w:val="bottom"/>
          </w:tcPr>
          <w:p>
            <w:pPr>
              <w:keepNext w:val="0"/>
              <w:keepLines w:val="0"/>
              <w:widowControl/>
              <w:suppressLineNumbers w:val="0"/>
              <w:jc w:val="left"/>
              <w:textAlignment w:val="bottom"/>
              <w:rPr>
                <w:rFonts w:hint="default" w:ascii="Arial" w:hAnsi="Arial" w:cs="Arial"/>
                <w:i w:val="0"/>
                <w:color w:val="000000"/>
                <w:sz w:val="25"/>
                <w:szCs w:val="25"/>
                <w:u w:val="none"/>
              </w:rPr>
            </w:pPr>
            <w:r>
              <w:rPr>
                <w:rFonts w:hint="default" w:ascii="Arial" w:hAnsi="Arial" w:eastAsia="宋体" w:cs="Arial"/>
                <w:i w:val="0"/>
                <w:color w:val="000000"/>
                <w:kern w:val="0"/>
                <w:sz w:val="25"/>
                <w:szCs w:val="25"/>
                <w:u w:val="none"/>
                <w:lang w:val="en-US" w:eastAsia="zh-CN" w:bidi="ar"/>
              </w:rPr>
              <w:t>时间</w:t>
            </w:r>
          </w:p>
        </w:tc>
        <w:tc>
          <w:tcPr>
            <w:tcW w:w="2160" w:type="dxa"/>
            <w:shd w:val="clear" w:color="auto" w:fill="auto"/>
            <w:vAlign w:val="bottom"/>
          </w:tcPr>
          <w:p>
            <w:pPr>
              <w:keepNext w:val="0"/>
              <w:keepLines w:val="0"/>
              <w:widowControl/>
              <w:suppressLineNumbers w:val="0"/>
              <w:jc w:val="left"/>
              <w:textAlignment w:val="bottom"/>
              <w:rPr>
                <w:rFonts w:hint="default" w:ascii="Arial" w:hAnsi="Arial" w:cs="Arial"/>
                <w:i w:val="0"/>
                <w:color w:val="000000"/>
                <w:sz w:val="25"/>
                <w:szCs w:val="25"/>
                <w:u w:val="none"/>
              </w:rPr>
            </w:pPr>
            <w:r>
              <w:rPr>
                <w:rFonts w:hint="default" w:ascii="Arial" w:hAnsi="Arial" w:eastAsia="宋体" w:cs="Arial"/>
                <w:i w:val="0"/>
                <w:color w:val="000000"/>
                <w:kern w:val="0"/>
                <w:sz w:val="25"/>
                <w:szCs w:val="25"/>
                <w:u w:val="none"/>
                <w:lang w:val="en-US" w:eastAsia="zh-CN" w:bidi="ar"/>
              </w:rPr>
              <w:t>汇丰PMI:制造业(%)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2005-09-01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2005-10-01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2005-11-01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49.80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2005-12-01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2006-01-01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2006-02-01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50.70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2006-03-01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51.00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2006-04-01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52.70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2006-05-01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52.80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2006-06-01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52.90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2006-07-01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53.00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2006-08-01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52.60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2006-09-01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52.40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14</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2006-10-01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52.10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15</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2006-11-01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53.00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16</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2006-12-01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52.40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17</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2007-01-01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52.00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18</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2007-02-01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53.00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19</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2007-03-01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52.30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2007-04-01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53.30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2007-05-01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54.10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22</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2007-06-01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55.00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23</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2007-07-01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53.20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24</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2007-08-01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53.40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25</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2007-09-01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55.00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26</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2007-10-01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55.20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27</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2007-11-01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52.80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28</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2007-12-01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53.30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29</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2008-01-01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53.20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30</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2008-02-01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52.80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2008-03-01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54.40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32</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2008-04-01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55.40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33</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2008-05-01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54.70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34</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2008-06-01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53.30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35</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2008-07-01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53.30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36</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2008-08-01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49.20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37</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2008-09-01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47.70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38</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2008-10-01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45.20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39</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2008-11-01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40.90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40</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2008-12-01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41.20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2009-01-01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42.20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42</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2009-02-01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45.10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43</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2009-03-01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44.80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44</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2009-04-01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45</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2009-05-01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51.20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46</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2009-06-01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51.80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47</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2009-07-01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52.80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48</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2009-08-01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55.10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49</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2009-09-01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55.00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2009-10-01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55.40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2009-11-01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55.70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52</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2009-12-01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56.10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53</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2010-01-01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57.40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54</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2010-02-01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55.80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55</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2010-03-01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57.00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56</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2010-04-01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55.20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57</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2010-05-01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52.70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58</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2010-06-01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59</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2010-07-01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49.40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60</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2010-08-01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51.90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2010-09-01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52.90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62</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2010-10-01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54.80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63</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2010-11-01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55.30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64</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2010-12-01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54.40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65</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2011-01-01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54.50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66</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2011-02-01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51.70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67</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2011-03-01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51.80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68</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2011-04-01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51.80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69</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2011-05-01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51.60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70</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2011-06-01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2011-07-01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49.30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72</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2011-08-01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49.90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73</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2011-09-01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49.90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74</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2011-10-01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51.00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75</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2011-11-01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47.70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76</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2011-12-01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48.70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77</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2012-01-01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48.80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78</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2012-02-01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49.60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79</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2012-03-01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48.30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80</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2012-04-01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49.30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2012-05-01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48.40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82</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2012-06-01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48.20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83</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2012-07-01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49.30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84</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2012-08-01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47.60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85</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2012-09-01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47.90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86</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2012-10-01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49.50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87</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2012-11-01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88</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2012-12-01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51.50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89</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2013-01-01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52.30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90</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2013-02-01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2013-03-01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51.60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92</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2013-04-01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93</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2013-05-01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49.20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94</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2013-06-01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48.20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95</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2013-07-01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47.70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96</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2013-08-01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97</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2013-09-01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98</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2013-10-01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99</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2013-11-01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100</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2013-12-01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2014-01-01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49.50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102</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2014-02-01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48.50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103</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2014-03-01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48.00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104</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2014-04-01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48.10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105</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2014-05-01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49.40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106</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2014-06-01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50.70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107</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2014-07-01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51.70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108</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2014-08-01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109</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2014-09-01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110</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2014-10-01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2014-11-01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112</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2014-12-01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49.60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113</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2015-01-01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49.70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114</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2015-02-01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50.70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115</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2015-03-01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49.60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116</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2015-04-01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48.90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117</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2015-05-01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49.20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118</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2015-06-01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49.40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119</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2015-07-01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47.80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120</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2015-08-01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47.30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2015-09-01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47.20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122</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2015-10-01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48.30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123</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2015-11-01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48.60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124</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2015-12-01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48.20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125</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2016-01-01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48.40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126</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2016-02-01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48.00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127</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2016-03-01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49.70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128</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2016-04-01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49.40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129</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2016-05-01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49.20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130</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2016-06-01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48.60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2016-07-01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132</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2016-08-01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133</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2016-09-01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134</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2016-10-01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51.20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135</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2016-11-01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136</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2016-12-01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51.90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137</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2017-01-01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51.00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138</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2017-02-01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51.70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139</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2017-03-01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51.20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140</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2017-04-01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141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2017-05-01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49.60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142</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2017-06-01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143</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2017-07-01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51.10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144</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2017-08-01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51.60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145</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2017-09-01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51.00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146</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2017-10-01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51.00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147</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2017-11-01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148</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2017-12-01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51.50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149</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2018-01-01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51.50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150</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2018-02-01</w:t>
            </w:r>
          </w:p>
        </w:tc>
        <w:tc>
          <w:tcPr>
            <w:tcW w:w="2160" w:type="dxa"/>
            <w:shd w:val="clear" w:color="auto" w:fill="auto"/>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51.60</w:t>
            </w:r>
          </w:p>
        </w:tc>
      </w:tr>
    </w:tbl>
    <w:p>
      <w:pPr>
        <w:widowControl w:val="0"/>
        <w:numPr>
          <w:ilvl w:val="0"/>
          <w:numId w:val="0"/>
        </w:numPr>
        <w:ind w:firstLine="420"/>
        <w:jc w:val="both"/>
      </w:pPr>
    </w:p>
    <w:p>
      <w:pPr>
        <w:widowControl w:val="0"/>
        <w:numPr>
          <w:ilvl w:val="0"/>
          <w:numId w:val="0"/>
        </w:numPr>
        <w:ind w:firstLine="420"/>
        <w:jc w:val="both"/>
        <w:rPr>
          <w:rFonts w:hint="eastAsia"/>
          <w:lang w:val="en-US" w:eastAsia="zh-CN"/>
        </w:rPr>
      </w:pPr>
    </w:p>
    <w:p>
      <w:pPr>
        <w:widowControl w:val="0"/>
        <w:numPr>
          <w:ilvl w:val="0"/>
          <w:numId w:val="0"/>
        </w:numPr>
        <w:ind w:firstLine="420"/>
        <w:jc w:val="both"/>
        <w:rPr>
          <w:rFonts w:hint="eastAsia"/>
          <w:lang w:val="en-US" w:eastAsia="zh-CN"/>
        </w:rPr>
      </w:pPr>
      <w:r>
        <w:rPr>
          <w:rFonts w:hint="eastAsia"/>
          <w:lang w:val="en-US" w:eastAsia="zh-CN"/>
        </w:rPr>
        <w:t>PMI在2010年后呈现下降趋势由55.8下降到51.5。</w:t>
      </w:r>
    </w:p>
    <w:p>
      <w:pPr>
        <w:widowControl w:val="0"/>
        <w:numPr>
          <w:ilvl w:val="0"/>
          <w:numId w:val="0"/>
        </w:numPr>
        <w:ind w:firstLine="420"/>
        <w:jc w:val="both"/>
      </w:pPr>
      <w:r>
        <w:drawing>
          <wp:inline distT="0" distB="0" distL="114300" distR="114300">
            <wp:extent cx="5273675" cy="3170555"/>
            <wp:effectExtent l="0" t="0" r="3175"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675" cy="3170555"/>
                    </a:xfrm>
                    <a:prstGeom prst="rect">
                      <a:avLst/>
                    </a:prstGeom>
                    <a:noFill/>
                    <a:ln w="9525">
                      <a:noFill/>
                    </a:ln>
                  </pic:spPr>
                </pic:pic>
              </a:graphicData>
            </a:graphic>
          </wp:inline>
        </w:drawing>
      </w:r>
    </w:p>
    <w:p>
      <w:pPr>
        <w:widowControl w:val="0"/>
        <w:numPr>
          <w:ilvl w:val="0"/>
          <w:numId w:val="0"/>
        </w:numPr>
        <w:ind w:firstLine="420"/>
        <w:jc w:val="both"/>
      </w:pPr>
    </w:p>
    <w:tbl>
      <w:tblPr>
        <w:tblStyle w:val="8"/>
        <w:tblW w:w="748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755"/>
        <w:gridCol w:w="1305"/>
        <w:gridCol w:w="1125"/>
        <w:gridCol w:w="1380"/>
        <w:gridCol w:w="19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统计时间</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制造业PMI</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生产指数</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新订单指数</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新出口订单指数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2010年1月1日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55.8</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60.5</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59.9</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2010年2月1日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54.3</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53.7</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2010年3月1日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55.1</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58.4</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58.1</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2010年4月1日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55.7</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59.1</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59.3</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2010年5月1日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53.9</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58.2</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54.8</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2010年6月1日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52.1</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55.8</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52.1</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2010年7月1日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51.2</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52.7</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50.9</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2010年8月1日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51.7</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53.1</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53.1</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2010年9月1日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53.8</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56.4</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56.3</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2010年10月1日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54.7</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57.1</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58.2</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2010年11月1日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55.2</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58.5</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58.3</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2010年12月1日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53.9</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57.5</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55.4</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2011年1月1日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52.9</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55.3</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54.9</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2011年2月1日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52.2</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53.8</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54.3</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2011年3月1日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53.4</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55.7</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55.2</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2011年4月1日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52.9</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55.3</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53.8</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2011年5月1日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54.9</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52.1</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2011年6月1日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50.9</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53.1</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50.8</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2011年7月1日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50.7</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52.1</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51.1</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2011年8月1日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50.9</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52.3</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51.1</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48.3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2011年9月1日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51.2</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52.7</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51.3</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2011年10月1日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50.4</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52.3</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50.5</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48.6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2011年11月1日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50.9</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47.8</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45.6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2011年12月1日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50.3</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53.4</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49.8</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48.6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2012年1月1日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50.5</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53.6</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50.4</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46.9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2012年2月1日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53.8</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2012年3月1日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53.1</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55.2</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55.1</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2012年4月1日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53.3</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57.2</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54.5</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2012年5月1日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50.4</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52.9</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49.8</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2012年6月1日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50.2</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49.2</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47.5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2012年7月1日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50.1</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51.8</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46.6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2012年8月1日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49.2</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50.9</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48.7</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46.6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2012年9月1日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49.8</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51.3</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49.8</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48.8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2012年10月1日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50.2</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52.1</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50.4</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2012年11月1日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50.6</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52.5</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51.2</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2012年12月1日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50.6</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51.2</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2013年1月1日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50.4</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51.3</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51.6</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48.5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2013年2月1日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50.1</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51.2</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50.1</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47.3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2013年3月1日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50.9</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52.7</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52.3</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2013年4月1日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50.6</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52.6</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51.7</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48.6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2013年5月1日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50.8</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53.3</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51.8</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2013年6月1日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50.1</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50.4</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47.7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2013年7月1日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50.3</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52.4</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50.6</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2013年8月1日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52.6</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52.4</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2013年9月1日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51.1</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52.9</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52.8</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2013年10月1日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51.4</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54.4</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52.5</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2013年11月1日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51.4</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54.5</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52.3</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2013年12月1日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53.9</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2014年1月1日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50.5</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50.9</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2014年2月1日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50.2</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52.6</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50.5</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48.2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2014年3月1日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50.3</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52.7</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50.6</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2014年4月1日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50.4</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52.5</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51.2</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2014年5月1日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50.8</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52.8</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52.3</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2014年6月1日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52.8</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2014年7月1日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51.7</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54.2</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53.6</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2014年8月1日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51.1</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53.2</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52.5</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2014年9月1日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51.1</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53.6</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52.2</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2014年10月1日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50.8</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53.1</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51.6</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2014年11月1日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50.3</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52.5</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50.9</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48.4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2014年12月1日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50.1</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52.2</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50.4</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2015年1月1日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49.8</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51.7</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50.2</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48.4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2015年2月1日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49.9</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51.4</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50.4</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48.5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2015年3月1日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50.1</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52.1</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50.2</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48.3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2015年4月1日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50.1</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52.6</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50.2</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2015年5月1日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50.2</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52.9</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50.6</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2015年6月1日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50.2</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52.9</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50.1</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48.2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2015年7月1日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52.4</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49.9</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47.9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2015年8月1日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49.7</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51.7</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49.7</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47.7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2015年9月1日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49.8</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52.3</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50.2</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47.9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2015年10月1日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49.8</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52.2</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50.3</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47.4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2015年11月1日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49.6</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51.9</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49.8</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2015年12月1日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49.7</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52.2</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50.2</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47.5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2016年1月1日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49.4</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51.4</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49.5</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46.9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2016年2月1日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50.2</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48.6</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47.4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2016年3月1日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50.2</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52.3</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51.4</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2016年4月1日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50.1</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52.2</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2016年4月1日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50.1</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52.2</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2016年5月1日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50.1</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52.3</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50.7</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2016年6月1日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52.5</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50.5</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2016年7月1日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49.9</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52.1</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50.4</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2016年8月1日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50.4</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52.6</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51.3</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2016年9月1日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50.4</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52.8</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50.9</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2016年10月1日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51.2</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53.3</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52.8</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2016年11月1日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51.7</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53.9</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53.2</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2016年12月1日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51.4</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53.3</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53.2</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2017年1月1日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51.3</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53.1</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52.8</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2017年2月1日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51.6</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53.7</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2017年3月1日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51.8</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54.2</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53.3</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2017年4月1日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51.2</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53.8</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52.3</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2017年5月1日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51.2</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53.4</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52.3</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2017年6月1日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51.7</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54.4</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53.1</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2017年7月1日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51.4</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53.5</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52.8</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2017年8月1日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51.7</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54.1</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53.1</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2017年9月1日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52.4</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54.7</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54.8</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2017年10月1日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51.6</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53.4</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52.9</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2017年11月1日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51.8</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54.3</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53.6</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2017年12月1日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51.6</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53.4</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2018年1月1日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51.3</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53.5</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52.6</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2018年2月1日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50.3</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50.7</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2018年3月1日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51.5</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53.1</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53.3</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51.3</w:t>
            </w:r>
          </w:p>
        </w:tc>
      </w:tr>
    </w:tbl>
    <w:p>
      <w:pPr>
        <w:widowControl w:val="0"/>
        <w:numPr>
          <w:ilvl w:val="0"/>
          <w:numId w:val="0"/>
        </w:numPr>
        <w:ind w:firstLine="420"/>
        <w:jc w:val="both"/>
      </w:pPr>
    </w:p>
    <w:p>
      <w:pPr>
        <w:widowControl w:val="0"/>
        <w:numPr>
          <w:ilvl w:val="0"/>
          <w:numId w:val="0"/>
        </w:numPr>
        <w:ind w:firstLine="420"/>
        <w:jc w:val="both"/>
      </w:pPr>
    </w:p>
    <w:p>
      <w:pPr>
        <w:widowControl w:val="0"/>
        <w:numPr>
          <w:ilvl w:val="0"/>
          <w:numId w:val="0"/>
        </w:numPr>
        <w:ind w:firstLine="420"/>
        <w:jc w:val="both"/>
        <w:rPr>
          <w:rFonts w:hint="eastAsia" w:eastAsiaTheme="minorEastAsia"/>
          <w:lang w:val="en-US" w:eastAsia="zh-CN"/>
        </w:rPr>
      </w:pPr>
      <w:r>
        <w:rPr>
          <w:rFonts w:hint="eastAsia"/>
          <w:lang w:val="en-US" w:eastAsia="zh-CN"/>
        </w:rPr>
        <w:t>工业增加值在2010年后呈现下降趋势由由12.8到6.10</w:t>
      </w:r>
    </w:p>
    <w:p>
      <w:pPr>
        <w:widowControl w:val="0"/>
        <w:numPr>
          <w:ilvl w:val="0"/>
          <w:numId w:val="0"/>
        </w:numPr>
        <w:ind w:firstLine="420"/>
        <w:jc w:val="both"/>
      </w:pPr>
      <w:r>
        <w:drawing>
          <wp:inline distT="0" distB="0" distL="114300" distR="114300">
            <wp:extent cx="5267325" cy="3462655"/>
            <wp:effectExtent l="0" t="0" r="952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7325" cy="3462655"/>
                    </a:xfrm>
                    <a:prstGeom prst="rect">
                      <a:avLst/>
                    </a:prstGeom>
                    <a:noFill/>
                    <a:ln w="9525">
                      <a:noFill/>
                    </a:ln>
                  </pic:spPr>
                </pic:pic>
              </a:graphicData>
            </a:graphic>
          </wp:inline>
        </w:drawing>
      </w:r>
    </w:p>
    <w:p>
      <w:pPr>
        <w:widowControl w:val="0"/>
        <w:numPr>
          <w:ilvl w:val="0"/>
          <w:numId w:val="0"/>
        </w:numPr>
        <w:ind w:firstLine="420"/>
        <w:jc w:val="both"/>
      </w:pPr>
    </w:p>
    <w:tbl>
      <w:tblPr>
        <w:tblStyle w:val="8"/>
        <w:tblW w:w="45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740"/>
        <w:gridCol w:w="28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统计时间</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工业增加值同比增长（%）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2010年2月1日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2010年3月1日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18.1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2010年4月1日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17.8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2010年5月1日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16.5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2010年6月1日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13.7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2010年7月1日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13.4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2010年8月1日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2010年9月1日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2010年10月1日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2010年11月1日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2010年12月1日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2011年2月1日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2011年3月1日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2011年4月1日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13.4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2011年5月1日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2011年6月1日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15.1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2011年7月1日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2011年8月1日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2011年9月1日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2011年10月1日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2011年11月1日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2011年12月1日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2012年2月1日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2012年3月1日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2012年4月1日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2012年5月1日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2012年6月1日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2012年7月1日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2012年8月1日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2012年9月1日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2012年10月1日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2012年11月1日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2012年12月1日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2013年2月1日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2013年3月1日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2013年4月1日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2013年5月1日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2013年6月1日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2013年7月1日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2013年8月1日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2013年9月1日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2013年10月1日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2013年11月1日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2013年12月1日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2014年2月1日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2014年3月1日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2014年4月1日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2014年5月1日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2014年6月1日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2014年7月1日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2014年8月1日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2014年9月1日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2014年10月1日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2014年11月1日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2014年12月1日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2015年2月1日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2015年3月1日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2015年4月1日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2015年5月1日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2015年6月1日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2015年7月1日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2015年8月1日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2015年9月1日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2015年10月1日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2015年11月1日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2015年12月1日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2016年2月1日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2016年3月1日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2016年4月1日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2016年5月1日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2016年6月1日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2016年7月1日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2016年8月1日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2016年9月1日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2016年10月1日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2016年11月1日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2016年12月1日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2017年2月1日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2017年3月1日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2017年4月1日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2017年5月1日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2017年6月1日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2017年7月1日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2017年8月1日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2017年9月1日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2017年10月1日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2017年11月1日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6.1</w:t>
            </w:r>
          </w:p>
        </w:tc>
      </w:tr>
    </w:tbl>
    <w:p>
      <w:pPr>
        <w:widowControl w:val="0"/>
        <w:numPr>
          <w:ilvl w:val="0"/>
          <w:numId w:val="0"/>
        </w:numPr>
        <w:ind w:firstLine="420"/>
        <w:jc w:val="both"/>
      </w:pPr>
    </w:p>
    <w:p>
      <w:pPr>
        <w:widowControl w:val="0"/>
        <w:numPr>
          <w:ilvl w:val="0"/>
          <w:numId w:val="0"/>
        </w:numPr>
        <w:jc w:val="both"/>
        <w:rPr>
          <w:rFonts w:hint="eastAsia"/>
          <w:lang w:val="en-US" w:eastAsia="zh-CN"/>
        </w:rPr>
      </w:pPr>
      <w:r>
        <w:rPr>
          <w:rFonts w:hint="eastAsia"/>
          <w:lang w:val="en-US" w:eastAsia="zh-CN"/>
        </w:rPr>
        <w:t>工业增加值平均为9.5%，即2010年后制造业总体增速。</w:t>
      </w:r>
    </w:p>
    <w:p>
      <w:pPr>
        <w:widowControl w:val="0"/>
        <w:numPr>
          <w:ilvl w:val="0"/>
          <w:numId w:val="0"/>
        </w:numPr>
        <w:jc w:val="both"/>
        <w:rPr>
          <w:rFonts w:hint="eastAsia"/>
          <w:lang w:val="en-US" w:eastAsia="zh-CN"/>
        </w:rPr>
      </w:pPr>
      <w:r>
        <w:rPr>
          <w:rFonts w:hint="eastAsia"/>
          <w:lang w:val="en-US" w:eastAsia="zh-CN"/>
        </w:rPr>
        <w:t>制造业PE 为37.55，按照创业板平均PE推算，制造业合理PE在40倍左右。</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drawing>
          <wp:inline distT="0" distB="0" distL="114300" distR="114300">
            <wp:extent cx="5274310" cy="130619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4310" cy="130619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5270500" cy="3573780"/>
            <wp:effectExtent l="0" t="0" r="635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70500" cy="357378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4"/>
        <w:numPr>
          <w:ilvl w:val="0"/>
          <w:numId w:val="1"/>
        </w:numPr>
        <w:rPr>
          <w:rFonts w:hint="eastAsia" w:asciiTheme="minorEastAsia" w:hAnsiTheme="minorEastAsia" w:eastAsiaTheme="minorEastAsia" w:cstheme="minorEastAsia"/>
          <w:b/>
          <w:sz w:val="21"/>
          <w:szCs w:val="21"/>
          <w:lang w:val="en-US" w:eastAsia="zh-CN"/>
        </w:rPr>
      </w:pPr>
      <w:r>
        <w:rPr>
          <w:rFonts w:hint="eastAsia" w:asciiTheme="minorEastAsia" w:hAnsiTheme="minorEastAsia" w:eastAsiaTheme="minorEastAsia" w:cstheme="minorEastAsia"/>
          <w:b/>
          <w:sz w:val="21"/>
          <w:szCs w:val="21"/>
          <w:lang w:val="en-US" w:eastAsia="zh-CN"/>
        </w:rPr>
        <w:t>制造业上市公司要获得比整体行业更快的增速主要有哪些途径？</w:t>
      </w:r>
    </w:p>
    <w:p>
      <w:pPr>
        <w:numPr>
          <w:ilvl w:val="0"/>
          <w:numId w:val="2"/>
        </w:numPr>
        <w:ind w:left="0" w:leftChars="0" w:firstLine="420" w:firstLineChars="200"/>
        <w:rPr>
          <w:rFonts w:hint="eastAsia"/>
          <w:lang w:val="en-US" w:eastAsia="zh-CN"/>
        </w:rPr>
      </w:pPr>
      <w:r>
        <w:rPr>
          <w:rFonts w:hint="eastAsia"/>
          <w:lang w:val="en-US" w:eastAsia="zh-CN"/>
        </w:rPr>
        <w:t>并购重组</w:t>
      </w:r>
    </w:p>
    <w:p>
      <w:pPr>
        <w:numPr>
          <w:ilvl w:val="0"/>
          <w:numId w:val="2"/>
        </w:numPr>
        <w:ind w:left="0" w:leftChars="0" w:firstLine="420" w:firstLineChars="200"/>
        <w:rPr>
          <w:rFonts w:hint="eastAsia"/>
          <w:lang w:val="en-US" w:eastAsia="zh-CN"/>
        </w:rPr>
      </w:pPr>
      <w:r>
        <w:rPr>
          <w:rFonts w:hint="eastAsia"/>
          <w:lang w:val="en-US" w:eastAsia="zh-CN"/>
        </w:rPr>
        <w:t>整合上下游</w:t>
      </w:r>
    </w:p>
    <w:p>
      <w:pPr>
        <w:numPr>
          <w:ilvl w:val="0"/>
          <w:numId w:val="2"/>
        </w:numPr>
        <w:ind w:left="0" w:leftChars="0" w:firstLine="420" w:firstLineChars="200"/>
        <w:rPr>
          <w:rFonts w:hint="eastAsia"/>
          <w:lang w:val="en-US" w:eastAsia="zh-CN"/>
        </w:rPr>
      </w:pPr>
      <w:r>
        <w:rPr>
          <w:rFonts w:hint="eastAsia"/>
          <w:lang w:val="en-US" w:eastAsia="zh-CN"/>
        </w:rPr>
        <w:t>核心技术创新</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4"/>
        <w:numPr>
          <w:ilvl w:val="0"/>
          <w:numId w:val="1"/>
        </w:numPr>
        <w:rPr>
          <w:rFonts w:hint="eastAsia" w:asciiTheme="minorEastAsia" w:hAnsiTheme="minorEastAsia" w:eastAsiaTheme="minorEastAsia" w:cstheme="minorEastAsia"/>
          <w:b/>
          <w:sz w:val="21"/>
          <w:szCs w:val="21"/>
          <w:lang w:val="en-US" w:eastAsia="zh-CN"/>
        </w:rPr>
      </w:pPr>
      <w:r>
        <w:rPr>
          <w:rFonts w:hint="eastAsia" w:asciiTheme="minorEastAsia" w:hAnsiTheme="minorEastAsia" w:eastAsiaTheme="minorEastAsia" w:cstheme="minorEastAsia"/>
          <w:b/>
          <w:sz w:val="21"/>
          <w:szCs w:val="21"/>
          <w:lang w:val="en-US" w:eastAsia="zh-CN"/>
        </w:rPr>
        <w:t>你认为上市对制造业企业的主要帮助是什么？</w:t>
      </w:r>
    </w:p>
    <w:p>
      <w:pPr>
        <w:widowControl w:val="0"/>
        <w:numPr>
          <w:ilvl w:val="0"/>
          <w:numId w:val="3"/>
        </w:numPr>
        <w:ind w:left="0" w:leftChars="0" w:firstLine="420" w:firstLineChars="200"/>
        <w:jc w:val="both"/>
        <w:rPr>
          <w:rFonts w:hint="eastAsia"/>
          <w:lang w:val="en-US" w:eastAsia="zh-CN"/>
        </w:rPr>
      </w:pPr>
      <w:r>
        <w:rPr>
          <w:rFonts w:hint="eastAsia"/>
          <w:lang w:val="en-US" w:eastAsia="zh-CN"/>
        </w:rPr>
        <w:t>融资能力大幅提升，并购重组可以用股权进行</w:t>
      </w:r>
    </w:p>
    <w:p>
      <w:pPr>
        <w:widowControl w:val="0"/>
        <w:numPr>
          <w:ilvl w:val="0"/>
          <w:numId w:val="3"/>
        </w:numPr>
        <w:ind w:left="0" w:leftChars="0" w:firstLine="420" w:firstLineChars="200"/>
        <w:jc w:val="both"/>
        <w:rPr>
          <w:rFonts w:hint="eastAsia"/>
          <w:lang w:val="en-US" w:eastAsia="zh-CN"/>
        </w:rPr>
      </w:pPr>
      <w:r>
        <w:rPr>
          <w:rFonts w:hint="eastAsia"/>
          <w:lang w:val="en-US" w:eastAsia="zh-CN"/>
        </w:rPr>
        <w:t>促进生产经营和管理模式向市场、国际接轨、提高企业在市场的知名度</w:t>
      </w:r>
    </w:p>
    <w:p>
      <w:pPr>
        <w:widowControl w:val="0"/>
        <w:numPr>
          <w:ilvl w:val="0"/>
          <w:numId w:val="3"/>
        </w:numPr>
        <w:ind w:left="0" w:leftChars="0" w:firstLine="420" w:firstLineChars="200"/>
        <w:jc w:val="both"/>
        <w:rPr>
          <w:rFonts w:hint="eastAsia"/>
          <w:lang w:val="en-US" w:eastAsia="zh-CN"/>
        </w:rPr>
      </w:pPr>
      <w:r>
        <w:rPr>
          <w:rFonts w:hint="eastAsia"/>
          <w:lang w:val="en-US" w:eastAsia="zh-CN"/>
        </w:rPr>
        <w:t>对员工股权激励</w:t>
      </w:r>
    </w:p>
    <w:p>
      <w:pPr>
        <w:widowControl w:val="0"/>
        <w:numPr>
          <w:ilvl w:val="0"/>
          <w:numId w:val="3"/>
        </w:numPr>
        <w:ind w:left="0" w:leftChars="0" w:firstLine="420" w:firstLineChars="200"/>
        <w:jc w:val="both"/>
        <w:rPr>
          <w:rFonts w:hint="eastAsia"/>
          <w:lang w:val="en-US" w:eastAsia="zh-CN"/>
        </w:rPr>
      </w:pPr>
      <w:r>
        <w:rPr>
          <w:rFonts w:hint="eastAsia"/>
          <w:lang w:val="en-US" w:eastAsia="zh-CN"/>
        </w:rPr>
        <w:t>取得更多政策优惠的机会和竞争机会</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4"/>
        <w:numPr>
          <w:ilvl w:val="0"/>
          <w:numId w:val="1"/>
        </w:numPr>
        <w:rPr>
          <w:rFonts w:hint="eastAsia" w:asciiTheme="minorEastAsia" w:hAnsiTheme="minorEastAsia" w:eastAsiaTheme="minorEastAsia" w:cstheme="minorEastAsia"/>
          <w:b/>
          <w:sz w:val="21"/>
          <w:szCs w:val="21"/>
          <w:lang w:val="en-US" w:eastAsia="zh-CN"/>
        </w:rPr>
      </w:pPr>
      <w:r>
        <w:rPr>
          <w:rFonts w:hint="eastAsia" w:asciiTheme="minorEastAsia" w:hAnsiTheme="minorEastAsia" w:eastAsiaTheme="minorEastAsia" w:cstheme="minorEastAsia"/>
          <w:b/>
          <w:sz w:val="21"/>
          <w:szCs w:val="21"/>
          <w:lang w:val="en-US" w:eastAsia="zh-CN"/>
        </w:rPr>
        <w:t>写出南方泵业和新界泵业上市时候的募投项目。归纳制造业企业IPO的主要募投方向。</w:t>
      </w:r>
    </w:p>
    <w:p>
      <w:pPr>
        <w:widowControl w:val="0"/>
        <w:numPr>
          <w:ilvl w:val="0"/>
          <w:numId w:val="0"/>
        </w:numPr>
        <w:jc w:val="both"/>
        <w:rPr>
          <w:rFonts w:hint="eastAsia"/>
          <w:lang w:val="en-US" w:eastAsia="zh-CN"/>
        </w:rPr>
      </w:pPr>
      <w:r>
        <w:rPr>
          <w:rFonts w:hint="eastAsia"/>
          <w:lang w:val="en-US" w:eastAsia="zh-CN"/>
        </w:rPr>
        <w:t>南方泵业</w:t>
      </w:r>
    </w:p>
    <w:p>
      <w:pPr>
        <w:widowControl w:val="0"/>
        <w:numPr>
          <w:ilvl w:val="0"/>
          <w:numId w:val="0"/>
        </w:numPr>
        <w:jc w:val="both"/>
      </w:pPr>
      <w:r>
        <w:drawing>
          <wp:inline distT="0" distB="0" distL="114300" distR="114300">
            <wp:extent cx="5271135" cy="2390140"/>
            <wp:effectExtent l="0" t="0" r="571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1135" cy="239014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新界泵业</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drawing>
          <wp:inline distT="0" distB="0" distL="114300" distR="114300">
            <wp:extent cx="5269865" cy="1321435"/>
            <wp:effectExtent l="0" t="0" r="6985" b="1206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0"/>
                    <a:stretch>
                      <a:fillRect/>
                    </a:stretch>
                  </pic:blipFill>
                  <pic:spPr>
                    <a:xfrm>
                      <a:off x="0" y="0"/>
                      <a:ext cx="5269865" cy="132143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b w:val="0"/>
          <w:bCs/>
          <w:lang w:val="en-US" w:eastAsia="zh-CN"/>
        </w:rPr>
      </w:pPr>
      <w:r>
        <w:rPr>
          <w:rFonts w:hint="eastAsia" w:asciiTheme="minorEastAsia" w:hAnsiTheme="minorEastAsia" w:eastAsiaTheme="minorEastAsia" w:cstheme="minorEastAsia"/>
          <w:b w:val="0"/>
          <w:bCs/>
          <w:sz w:val="21"/>
          <w:szCs w:val="21"/>
          <w:lang w:val="en-US" w:eastAsia="zh-CN"/>
        </w:rPr>
        <w:t>制造业企业IPO的主要募投方向</w:t>
      </w:r>
      <w:r>
        <w:rPr>
          <w:rFonts w:hint="eastAsia" w:asciiTheme="minorEastAsia" w:hAnsiTheme="minorEastAsia" w:cstheme="minorEastAsia"/>
          <w:b w:val="0"/>
          <w:bCs/>
          <w:sz w:val="21"/>
          <w:szCs w:val="21"/>
          <w:lang w:val="en-US" w:eastAsia="zh-CN"/>
        </w:rPr>
        <w:t>扩大生产能力，增强研发能力。</w:t>
      </w:r>
    </w:p>
    <w:p>
      <w:pPr>
        <w:pStyle w:val="4"/>
        <w:numPr>
          <w:ilvl w:val="0"/>
          <w:numId w:val="1"/>
        </w:numPr>
        <w:rPr>
          <w:rFonts w:hint="eastAsia" w:asciiTheme="minorEastAsia" w:hAnsiTheme="minorEastAsia" w:eastAsiaTheme="minorEastAsia" w:cstheme="minorEastAsia"/>
          <w:b/>
          <w:sz w:val="21"/>
          <w:szCs w:val="21"/>
          <w:lang w:val="en-US" w:eastAsia="zh-CN"/>
        </w:rPr>
      </w:pPr>
      <w:r>
        <w:rPr>
          <w:rFonts w:hint="eastAsia" w:asciiTheme="minorEastAsia" w:hAnsiTheme="minorEastAsia" w:eastAsiaTheme="minorEastAsia" w:cstheme="minorEastAsia"/>
          <w:b/>
          <w:sz w:val="21"/>
          <w:szCs w:val="21"/>
          <w:lang w:val="en-US" w:eastAsia="zh-CN"/>
        </w:rPr>
        <w:t>写出南方泵业和新界泵业上市申报前几年的产能利用率。标注所在招股说明书的位置。你认为该如何解读制造业企业上市时的产能利用率。</w:t>
      </w:r>
    </w:p>
    <w:p>
      <w:pPr>
        <w:rPr>
          <w:rFonts w:hint="eastAsia"/>
          <w:b w:val="0"/>
          <w:bCs/>
          <w:lang w:val="en-US" w:eastAsia="zh-CN"/>
        </w:rPr>
      </w:pPr>
      <w:r>
        <w:rPr>
          <w:rFonts w:hint="eastAsia" w:asciiTheme="minorEastAsia" w:hAnsiTheme="minorEastAsia" w:cstheme="minorEastAsia"/>
          <w:b w:val="0"/>
          <w:bCs/>
          <w:sz w:val="21"/>
          <w:szCs w:val="21"/>
          <w:lang w:val="en-US" w:eastAsia="zh-CN"/>
        </w:rPr>
        <w:t>南方泵业申报前3年2007~2009的产能利用率：127.97%，107.73%，108.03%，在339页。</w:t>
      </w:r>
    </w:p>
    <w:p>
      <w:pPr>
        <w:widowControl w:val="0"/>
        <w:numPr>
          <w:ilvl w:val="0"/>
          <w:numId w:val="0"/>
        </w:numPr>
        <w:jc w:val="both"/>
      </w:pPr>
      <w:r>
        <w:drawing>
          <wp:inline distT="0" distB="0" distL="114300" distR="114300">
            <wp:extent cx="5270500" cy="2373630"/>
            <wp:effectExtent l="0" t="0" r="6350" b="762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1"/>
                    <a:stretch>
                      <a:fillRect/>
                    </a:stretch>
                  </pic:blipFill>
                  <pic:spPr>
                    <a:xfrm>
                      <a:off x="0" y="0"/>
                      <a:ext cx="5270500" cy="237363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新界泵业申报前3年</w:t>
      </w:r>
      <w:r>
        <w:rPr>
          <w:rFonts w:hint="eastAsia" w:asciiTheme="minorEastAsia" w:hAnsiTheme="minorEastAsia" w:cstheme="minorEastAsia"/>
          <w:b w:val="0"/>
          <w:bCs/>
          <w:sz w:val="21"/>
          <w:szCs w:val="21"/>
          <w:lang w:val="en-US" w:eastAsia="zh-CN"/>
        </w:rPr>
        <w:t>2007~2009的</w:t>
      </w:r>
      <w:r>
        <w:rPr>
          <w:rFonts w:hint="eastAsia"/>
          <w:lang w:val="en-US" w:eastAsia="zh-CN"/>
        </w:rPr>
        <w:t>产能利用率：88.16%，85.21%，94.07%，在95页。</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69230" cy="3491865"/>
            <wp:effectExtent l="0" t="0" r="7620" b="1333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2"/>
                    <a:stretch>
                      <a:fillRect/>
                    </a:stretch>
                  </pic:blipFill>
                  <pic:spPr>
                    <a:xfrm>
                      <a:off x="0" y="0"/>
                      <a:ext cx="5269230" cy="349186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5271135" cy="4986020"/>
            <wp:effectExtent l="0" t="0" r="5715" b="508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3"/>
                    <a:stretch>
                      <a:fillRect/>
                    </a:stretch>
                  </pic:blipFill>
                  <pic:spPr>
                    <a:xfrm>
                      <a:off x="0" y="0"/>
                      <a:ext cx="5271135" cy="498602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制造业企业上市时的产能利用率越高，募集资金使用效率越高，盈利预期越高。</w:t>
      </w:r>
    </w:p>
    <w:p>
      <w:pPr>
        <w:pStyle w:val="4"/>
        <w:numPr>
          <w:ilvl w:val="0"/>
          <w:numId w:val="1"/>
        </w:numPr>
        <w:rPr>
          <w:rFonts w:hint="eastAsia" w:asciiTheme="minorEastAsia" w:hAnsiTheme="minorEastAsia" w:eastAsiaTheme="minorEastAsia" w:cstheme="minorEastAsia"/>
          <w:b/>
          <w:sz w:val="21"/>
          <w:szCs w:val="21"/>
          <w:lang w:val="en-US" w:eastAsia="zh-CN"/>
        </w:rPr>
      </w:pPr>
      <w:r>
        <w:rPr>
          <w:rFonts w:hint="eastAsia" w:asciiTheme="minorEastAsia" w:hAnsiTheme="minorEastAsia" w:eastAsiaTheme="minorEastAsia" w:cstheme="minorEastAsia"/>
          <w:b/>
          <w:sz w:val="21"/>
          <w:szCs w:val="21"/>
          <w:lang w:val="en-US" w:eastAsia="zh-CN"/>
        </w:rPr>
        <w:t>从上市后两家公司的业绩表现来看，你认为产能是否对两家公司的发展形成制约？</w:t>
      </w:r>
    </w:p>
    <w:p>
      <w:pPr>
        <w:spacing w:beforeLines="0" w:afterLines="0"/>
        <w:jc w:val="left"/>
        <w:rPr>
          <w:rFonts w:hint="eastAsia" w:ascii="宋体" w:hAnsi="宋体" w:eastAsia="宋体"/>
          <w:sz w:val="21"/>
          <w:szCs w:val="21"/>
          <w:lang w:val="en-US" w:eastAsia="zh-CN"/>
        </w:rPr>
      </w:pPr>
      <w:r>
        <w:rPr>
          <w:rFonts w:hint="eastAsia" w:ascii="宋体" w:hAnsi="宋体" w:eastAsia="宋体"/>
          <w:sz w:val="21"/>
          <w:szCs w:val="21"/>
          <w:lang w:val="en-US" w:eastAsia="zh-CN"/>
        </w:rPr>
        <w:t>南方泵业：</w:t>
      </w:r>
    </w:p>
    <w:p>
      <w:pPr>
        <w:spacing w:beforeLines="0" w:afterLines="0"/>
        <w:jc w:val="left"/>
        <w:rPr>
          <w:rFonts w:hint="eastAsia" w:ascii="宋体" w:hAnsi="宋体" w:eastAsia="宋体"/>
          <w:sz w:val="21"/>
          <w:szCs w:val="21"/>
        </w:rPr>
      </w:pPr>
      <w:r>
        <w:rPr>
          <w:rFonts w:hint="eastAsia" w:ascii="宋体" w:hAnsi="宋体" w:eastAsia="宋体"/>
          <w:sz w:val="21"/>
          <w:szCs w:val="21"/>
        </w:rPr>
        <w:t>尽管目前产能不足是制约本公司发展的最大瓶颈；而且由于公司产品具有较高的性价比优势，本公司正在逐步蚕食国外竞争对手的市场份额。但是本公司不能排除未来由于国内潜在竞争对手进入造成相关领域的市场竞争加剧的可能性，从而造成公司不能维持目前业务领域较高的市场占有率，不能实现上述增长速度，形成产能扩张带来的经营风险。</w:t>
      </w:r>
    </w:p>
    <w:p>
      <w:pPr>
        <w:spacing w:beforeLines="0" w:afterLines="0"/>
        <w:jc w:val="left"/>
        <w:rPr>
          <w:rFonts w:hint="eastAsia" w:ascii="宋体" w:hAnsi="宋体" w:eastAsia="宋体"/>
          <w:sz w:val="21"/>
          <w:szCs w:val="21"/>
        </w:rPr>
      </w:pPr>
    </w:p>
    <w:p>
      <w:pPr>
        <w:spacing w:beforeLines="0" w:afterLines="0"/>
        <w:jc w:val="left"/>
        <w:rPr>
          <w:rFonts w:hint="eastAsia" w:ascii="宋体" w:hAnsi="宋体" w:eastAsia="宋体"/>
          <w:sz w:val="21"/>
          <w:szCs w:val="21"/>
          <w:lang w:val="en-US" w:eastAsia="zh-CN"/>
        </w:rPr>
      </w:pPr>
      <w:r>
        <w:rPr>
          <w:rFonts w:hint="eastAsia" w:ascii="宋体" w:hAnsi="宋体" w:eastAsia="宋体"/>
          <w:sz w:val="21"/>
          <w:szCs w:val="21"/>
          <w:lang w:val="en-US" w:eastAsia="zh-CN"/>
        </w:rPr>
        <w:t>2010年~2018年各项财务指标均向上</w:t>
      </w:r>
    </w:p>
    <w:p>
      <w:pPr>
        <w:spacing w:beforeLines="0" w:afterLines="0"/>
        <w:jc w:val="left"/>
      </w:pPr>
      <w:r>
        <w:drawing>
          <wp:inline distT="0" distB="0" distL="114300" distR="114300">
            <wp:extent cx="5266055" cy="3301365"/>
            <wp:effectExtent l="0" t="0" r="10795" b="1333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4"/>
                    <a:stretch>
                      <a:fillRect/>
                    </a:stretch>
                  </pic:blipFill>
                  <pic:spPr>
                    <a:xfrm>
                      <a:off x="0" y="0"/>
                      <a:ext cx="5266055" cy="3301365"/>
                    </a:xfrm>
                    <a:prstGeom prst="rect">
                      <a:avLst/>
                    </a:prstGeom>
                    <a:noFill/>
                    <a:ln w="9525">
                      <a:noFill/>
                    </a:ln>
                  </pic:spPr>
                </pic:pic>
              </a:graphicData>
            </a:graphic>
          </wp:inline>
        </w:drawing>
      </w:r>
    </w:p>
    <w:p>
      <w:pPr>
        <w:spacing w:beforeLines="0" w:afterLines="0"/>
        <w:jc w:val="left"/>
        <w:rPr>
          <w:rFonts w:hint="eastAsia"/>
          <w:lang w:val="en-US" w:eastAsia="zh-CN"/>
        </w:rPr>
      </w:pPr>
    </w:p>
    <w:p>
      <w:pPr>
        <w:widowControl w:val="0"/>
        <w:numPr>
          <w:ilvl w:val="0"/>
          <w:numId w:val="0"/>
        </w:numPr>
        <w:jc w:val="both"/>
        <w:rPr>
          <w:rFonts w:hint="eastAsia" w:ascii="宋体" w:hAnsi="宋体" w:eastAsia="宋体"/>
          <w:sz w:val="21"/>
          <w:szCs w:val="21"/>
        </w:rPr>
      </w:pPr>
    </w:p>
    <w:p>
      <w:pPr>
        <w:widowControl w:val="0"/>
        <w:numPr>
          <w:ilvl w:val="0"/>
          <w:numId w:val="0"/>
        </w:numPr>
        <w:jc w:val="both"/>
        <w:rPr>
          <w:rFonts w:hint="eastAsia" w:ascii="宋体" w:hAnsi="宋体" w:eastAsia="宋体"/>
          <w:sz w:val="21"/>
          <w:szCs w:val="21"/>
          <w:lang w:val="en-US" w:eastAsia="zh-CN"/>
        </w:rPr>
      </w:pPr>
      <w:r>
        <w:rPr>
          <w:rFonts w:hint="eastAsia" w:ascii="宋体" w:hAnsi="宋体" w:eastAsia="宋体"/>
          <w:sz w:val="21"/>
          <w:szCs w:val="21"/>
          <w:lang w:val="en-US" w:eastAsia="zh-CN"/>
        </w:rPr>
        <w:t>新界泵业：</w:t>
      </w:r>
    </w:p>
    <w:p>
      <w:pPr>
        <w:widowControl w:val="0"/>
        <w:numPr>
          <w:ilvl w:val="0"/>
          <w:numId w:val="0"/>
        </w:numPr>
        <w:jc w:val="both"/>
        <w:rPr>
          <w:rFonts w:ascii="宋体" w:hAnsi="宋体" w:eastAsia="宋体" w:cs="宋体"/>
          <w:sz w:val="24"/>
          <w:szCs w:val="24"/>
        </w:rPr>
      </w:pPr>
      <w:r>
        <w:rPr>
          <w:rStyle w:val="11"/>
        </w:rPr>
        <w:t>产能不足已严重制约了公司的可持续发展能力，公司必须进行大规</w:t>
      </w:r>
      <w:r>
        <w:rPr>
          <w:rStyle w:val="11"/>
        </w:rPr>
        <w:br w:type="textWrapping"/>
      </w:r>
      <w:r>
        <w:rPr>
          <w:rStyle w:val="11"/>
        </w:rPr>
        <w:t>模的固定资产投资，尽快提升产能。</w:t>
      </w:r>
      <w:r>
        <w:rPr>
          <w:rFonts w:ascii="宋体" w:hAnsi="宋体" w:eastAsia="宋体" w:cs="宋体"/>
          <w:sz w:val="24"/>
          <w:szCs w:val="24"/>
        </w:rPr>
        <w:t xml:space="preserve"> </w:t>
      </w:r>
    </w:p>
    <w:p>
      <w:pPr>
        <w:widowControl w:val="0"/>
        <w:numPr>
          <w:ilvl w:val="0"/>
          <w:numId w:val="0"/>
        </w:numPr>
        <w:jc w:val="both"/>
        <w:rPr>
          <w:rFonts w:ascii="宋体" w:hAnsi="宋体" w:eastAsia="宋体" w:cs="宋体"/>
          <w:sz w:val="24"/>
          <w:szCs w:val="24"/>
        </w:rPr>
      </w:pPr>
    </w:p>
    <w:p>
      <w:pPr>
        <w:spacing w:beforeLines="0" w:afterLines="0"/>
        <w:jc w:val="left"/>
        <w:rPr>
          <w:rFonts w:hint="eastAsia" w:ascii="宋体" w:hAnsi="宋体" w:eastAsia="宋体"/>
          <w:sz w:val="21"/>
          <w:szCs w:val="21"/>
          <w:lang w:val="en-US" w:eastAsia="zh-CN"/>
        </w:rPr>
      </w:pPr>
      <w:r>
        <w:rPr>
          <w:rFonts w:hint="eastAsia" w:ascii="宋体" w:hAnsi="宋体" w:eastAsia="宋体"/>
          <w:sz w:val="21"/>
          <w:szCs w:val="21"/>
          <w:lang w:val="en-US" w:eastAsia="zh-CN"/>
        </w:rPr>
        <w:t>2010年~2018年各项财务指标均向上</w:t>
      </w:r>
    </w:p>
    <w:p>
      <w:pPr>
        <w:widowControl w:val="0"/>
        <w:numPr>
          <w:ilvl w:val="0"/>
          <w:numId w:val="0"/>
        </w:numPr>
        <w:jc w:val="both"/>
      </w:pPr>
      <w:r>
        <w:drawing>
          <wp:inline distT="0" distB="0" distL="114300" distR="114300">
            <wp:extent cx="5267960" cy="3345180"/>
            <wp:effectExtent l="0" t="0" r="8890" b="762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5"/>
                    <a:stretch>
                      <a:fillRect/>
                    </a:stretch>
                  </pic:blipFill>
                  <pic:spPr>
                    <a:xfrm>
                      <a:off x="0" y="0"/>
                      <a:ext cx="5267960" cy="334518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eastAsiaTheme="minorEastAsia"/>
          <w:lang w:val="en-US" w:eastAsia="zh-CN"/>
        </w:rPr>
      </w:pPr>
      <w:r>
        <w:rPr>
          <w:rFonts w:hint="eastAsia"/>
          <w:lang w:val="en-US" w:eastAsia="zh-CN"/>
        </w:rPr>
        <w:t>通过财务指标来看，扩大产能能够提高营收和利润。</w:t>
      </w:r>
    </w:p>
    <w:p>
      <w:pPr>
        <w:widowControl w:val="0"/>
        <w:numPr>
          <w:ilvl w:val="0"/>
          <w:numId w:val="0"/>
        </w:numPr>
        <w:jc w:val="both"/>
        <w:rPr>
          <w:rFonts w:hint="eastAsia"/>
          <w:lang w:val="en-US" w:eastAsia="zh-CN"/>
        </w:rPr>
      </w:pPr>
    </w:p>
    <w:p>
      <w:pPr>
        <w:pStyle w:val="4"/>
        <w:numPr>
          <w:ilvl w:val="0"/>
          <w:numId w:val="1"/>
        </w:numPr>
        <w:rPr>
          <w:rFonts w:hint="eastAsia" w:asciiTheme="minorEastAsia" w:hAnsiTheme="minorEastAsia" w:eastAsiaTheme="minorEastAsia" w:cstheme="minorEastAsia"/>
          <w:b/>
          <w:sz w:val="21"/>
          <w:szCs w:val="21"/>
          <w:lang w:val="en-US" w:eastAsia="zh-CN"/>
        </w:rPr>
      </w:pPr>
      <w:r>
        <w:rPr>
          <w:rFonts w:hint="eastAsia" w:asciiTheme="minorEastAsia" w:hAnsiTheme="minorEastAsia" w:eastAsiaTheme="minorEastAsia" w:cstheme="minorEastAsia"/>
          <w:b/>
          <w:sz w:val="21"/>
          <w:szCs w:val="21"/>
          <w:lang w:val="en-US" w:eastAsia="zh-CN"/>
        </w:rPr>
        <w:t>从2011-2013年的中报和年报中持续追踪募投项目的进展，列表投资完成度和实现效益。</w:t>
      </w:r>
    </w:p>
    <w:p>
      <w:pPr>
        <w:rPr>
          <w:rFonts w:hint="eastAsia"/>
          <w:lang w:val="en-US" w:eastAsia="zh-CN"/>
        </w:rPr>
      </w:pPr>
      <w:r>
        <w:rPr>
          <w:rFonts w:hint="eastAsia"/>
          <w:lang w:val="en-US" w:eastAsia="zh-CN"/>
        </w:rPr>
        <w:t xml:space="preserve">   南方泵业，募投项目进展：</w:t>
      </w:r>
    </w:p>
    <w:p>
      <w:pPr>
        <w:rPr>
          <w:rFonts w:hint="eastAsia"/>
          <w:lang w:val="en-US" w:eastAsia="zh-CN"/>
        </w:rPr>
      </w:pPr>
      <w:r>
        <w:rPr>
          <w:rFonts w:hint="eastAsia"/>
          <w:lang w:val="en-US" w:eastAsia="zh-CN"/>
        </w:rPr>
        <w:t xml:space="preserve">   </w:t>
      </w:r>
    </w:p>
    <w:tbl>
      <w:tblPr>
        <w:tblStyle w:val="8"/>
        <w:tblW w:w="898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405"/>
        <w:gridCol w:w="1900"/>
        <w:gridCol w:w="2225"/>
        <w:gridCol w:w="2000"/>
        <w:gridCol w:w="14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405" w:type="dxa"/>
            <w:tcBorders>
              <w:top w:val="single" w:color="000000" w:sz="4" w:space="0"/>
              <w:left w:val="single" w:color="000000" w:sz="4" w:space="0"/>
              <w:bottom w:val="single" w:color="000000" w:sz="4" w:space="0"/>
              <w:right w:val="single" w:color="000000" w:sz="4" w:space="0"/>
            </w:tcBorders>
            <w:shd w:val="clear" w:color="auto" w:fill="EEECE1"/>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日期</w:t>
            </w:r>
          </w:p>
        </w:tc>
        <w:tc>
          <w:tcPr>
            <w:tcW w:w="1900" w:type="dxa"/>
            <w:tcBorders>
              <w:top w:val="single" w:color="000000" w:sz="4" w:space="0"/>
              <w:left w:val="single" w:color="000000" w:sz="4" w:space="0"/>
              <w:bottom w:val="single" w:color="000000" w:sz="4" w:space="0"/>
              <w:right w:val="single" w:color="000000" w:sz="4" w:space="0"/>
            </w:tcBorders>
            <w:shd w:val="clear" w:color="auto" w:fill="EEECE1"/>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募投项目总额</w:t>
            </w:r>
          </w:p>
        </w:tc>
        <w:tc>
          <w:tcPr>
            <w:tcW w:w="2225" w:type="dxa"/>
            <w:tcBorders>
              <w:top w:val="single" w:color="000000" w:sz="4" w:space="0"/>
              <w:left w:val="single" w:color="000000" w:sz="4" w:space="0"/>
              <w:bottom w:val="single" w:color="000000" w:sz="4" w:space="0"/>
              <w:right w:val="single" w:color="000000" w:sz="4" w:space="0"/>
            </w:tcBorders>
            <w:shd w:val="clear" w:color="auto" w:fill="EEECE1"/>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截止期末累计投入</w:t>
            </w:r>
          </w:p>
        </w:tc>
        <w:tc>
          <w:tcPr>
            <w:tcW w:w="2000" w:type="dxa"/>
            <w:tcBorders>
              <w:top w:val="single" w:color="000000" w:sz="4" w:space="0"/>
              <w:left w:val="single" w:color="000000" w:sz="4" w:space="0"/>
              <w:bottom w:val="single" w:color="000000" w:sz="4" w:space="0"/>
              <w:right w:val="single" w:color="000000" w:sz="4" w:space="0"/>
            </w:tcBorders>
            <w:shd w:val="clear" w:color="auto" w:fill="EEECE1"/>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本报告期实现效益</w:t>
            </w:r>
          </w:p>
        </w:tc>
        <w:tc>
          <w:tcPr>
            <w:tcW w:w="1455" w:type="dxa"/>
            <w:tcBorders>
              <w:top w:val="single" w:color="000000" w:sz="4" w:space="0"/>
              <w:left w:val="single" w:color="000000" w:sz="4" w:space="0"/>
              <w:bottom w:val="single" w:color="000000" w:sz="4" w:space="0"/>
              <w:right w:val="single" w:color="000000" w:sz="4" w:space="0"/>
            </w:tcBorders>
            <w:shd w:val="clear" w:color="auto" w:fill="EEECE1"/>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投资进度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4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2011年中报</w:t>
            </w:r>
          </w:p>
        </w:tc>
        <w:tc>
          <w:tcPr>
            <w:tcW w:w="190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37,887.00</w:t>
            </w:r>
          </w:p>
        </w:tc>
        <w:tc>
          <w:tcPr>
            <w:tcW w:w="22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14,369.47</w:t>
            </w:r>
          </w:p>
        </w:tc>
        <w:tc>
          <w:tcPr>
            <w:tcW w:w="200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1,006.00</w:t>
            </w:r>
          </w:p>
        </w:tc>
        <w:tc>
          <w:tcPr>
            <w:tcW w:w="14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37.93%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4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2011年年报</w:t>
            </w:r>
          </w:p>
        </w:tc>
        <w:tc>
          <w:tcPr>
            <w:tcW w:w="190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65,067.00</w:t>
            </w:r>
          </w:p>
        </w:tc>
        <w:tc>
          <w:tcPr>
            <w:tcW w:w="22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19,828.77</w:t>
            </w:r>
          </w:p>
        </w:tc>
        <w:tc>
          <w:tcPr>
            <w:tcW w:w="200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2,283.37</w:t>
            </w:r>
          </w:p>
        </w:tc>
        <w:tc>
          <w:tcPr>
            <w:tcW w:w="14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4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2012年中报</w:t>
            </w:r>
          </w:p>
        </w:tc>
        <w:tc>
          <w:tcPr>
            <w:tcW w:w="190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65,067.00</w:t>
            </w:r>
          </w:p>
        </w:tc>
        <w:tc>
          <w:tcPr>
            <w:tcW w:w="22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24,065.01</w:t>
            </w:r>
          </w:p>
        </w:tc>
        <w:tc>
          <w:tcPr>
            <w:tcW w:w="200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1,099.72</w:t>
            </w:r>
          </w:p>
        </w:tc>
        <w:tc>
          <w:tcPr>
            <w:tcW w:w="14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36.98%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4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2012年年报</w:t>
            </w:r>
          </w:p>
        </w:tc>
        <w:tc>
          <w:tcPr>
            <w:tcW w:w="190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68,917.00</w:t>
            </w:r>
          </w:p>
        </w:tc>
        <w:tc>
          <w:tcPr>
            <w:tcW w:w="22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36,924.40</w:t>
            </w:r>
          </w:p>
        </w:tc>
        <w:tc>
          <w:tcPr>
            <w:tcW w:w="200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3,500.02</w:t>
            </w:r>
          </w:p>
        </w:tc>
        <w:tc>
          <w:tcPr>
            <w:tcW w:w="14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53.58%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4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2013年中报</w:t>
            </w:r>
          </w:p>
        </w:tc>
        <w:tc>
          <w:tcPr>
            <w:tcW w:w="190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68,917.00</w:t>
            </w:r>
          </w:p>
        </w:tc>
        <w:tc>
          <w:tcPr>
            <w:tcW w:w="22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44,242.49</w:t>
            </w:r>
          </w:p>
        </w:tc>
        <w:tc>
          <w:tcPr>
            <w:tcW w:w="200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2,804.97</w:t>
            </w:r>
          </w:p>
        </w:tc>
        <w:tc>
          <w:tcPr>
            <w:tcW w:w="14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64.20%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4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2013年年报</w:t>
            </w:r>
          </w:p>
        </w:tc>
        <w:tc>
          <w:tcPr>
            <w:tcW w:w="190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68,613.00</w:t>
            </w:r>
          </w:p>
        </w:tc>
        <w:tc>
          <w:tcPr>
            <w:tcW w:w="22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55,185.49</w:t>
            </w:r>
          </w:p>
        </w:tc>
        <w:tc>
          <w:tcPr>
            <w:tcW w:w="200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8,194.22</w:t>
            </w:r>
          </w:p>
        </w:tc>
        <w:tc>
          <w:tcPr>
            <w:tcW w:w="14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80.43%</w:t>
            </w:r>
          </w:p>
        </w:tc>
      </w:tr>
    </w:tbl>
    <w:p>
      <w:pPr>
        <w:rPr>
          <w:rFonts w:hint="eastAsia" w:asciiTheme="minorEastAsia" w:hAnsiTheme="minorEastAsia" w:eastAsiaTheme="minorEastAsia" w:cstheme="minorEastAsia"/>
          <w:b/>
          <w:sz w:val="21"/>
          <w:szCs w:val="21"/>
          <w:lang w:val="en-US" w:eastAsia="zh-CN"/>
        </w:rPr>
      </w:pPr>
      <w:r>
        <w:rPr>
          <w:rFonts w:hint="eastAsia"/>
          <w:lang w:val="en-US" w:eastAsia="zh-CN"/>
        </w:rPr>
        <w:t xml:space="preserve">   </w:t>
      </w:r>
    </w:p>
    <w:p>
      <w:pPr>
        <w:ind w:firstLine="210" w:firstLineChars="100"/>
        <w:rPr>
          <w:rFonts w:hint="eastAsia" w:asciiTheme="minorEastAsia" w:hAnsiTheme="minorEastAsia" w:cstheme="minorEastAsia"/>
          <w:b w:val="0"/>
          <w:bCs/>
          <w:sz w:val="21"/>
          <w:szCs w:val="21"/>
          <w:lang w:val="en-US" w:eastAsia="zh-CN"/>
        </w:rPr>
      </w:pPr>
      <w:r>
        <w:rPr>
          <w:rFonts w:hint="eastAsia" w:asciiTheme="minorEastAsia" w:hAnsiTheme="minorEastAsia" w:cstheme="minorEastAsia"/>
          <w:b w:val="0"/>
          <w:bCs/>
          <w:sz w:val="21"/>
          <w:szCs w:val="21"/>
          <w:lang w:val="en-US" w:eastAsia="zh-CN"/>
        </w:rPr>
        <w:t>新界泵业，募投项目进展：</w:t>
      </w:r>
    </w:p>
    <w:tbl>
      <w:tblPr>
        <w:tblStyle w:val="8"/>
        <w:tblW w:w="89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418"/>
        <w:gridCol w:w="1874"/>
        <w:gridCol w:w="2240"/>
        <w:gridCol w:w="2011"/>
        <w:gridCol w:w="14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44" w:hRule="atLeast"/>
        </w:trPr>
        <w:tc>
          <w:tcPr>
            <w:tcW w:w="1418" w:type="dxa"/>
            <w:tcBorders>
              <w:top w:val="single" w:color="000000" w:sz="4" w:space="0"/>
              <w:left w:val="single" w:color="000000" w:sz="4" w:space="0"/>
              <w:bottom w:val="single" w:color="000000" w:sz="4" w:space="0"/>
              <w:right w:val="single" w:color="000000" w:sz="4" w:space="0"/>
            </w:tcBorders>
            <w:shd w:val="clear" w:color="auto" w:fill="EEECE1"/>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日期</w:t>
            </w:r>
          </w:p>
        </w:tc>
        <w:tc>
          <w:tcPr>
            <w:tcW w:w="1874" w:type="dxa"/>
            <w:tcBorders>
              <w:top w:val="single" w:color="000000" w:sz="4" w:space="0"/>
              <w:left w:val="single" w:color="000000" w:sz="4" w:space="0"/>
              <w:bottom w:val="single" w:color="000000" w:sz="4" w:space="0"/>
              <w:right w:val="single" w:color="000000" w:sz="4" w:space="0"/>
            </w:tcBorders>
            <w:shd w:val="clear" w:color="auto" w:fill="EEECE1"/>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募投项目总额</w:t>
            </w:r>
          </w:p>
        </w:tc>
        <w:tc>
          <w:tcPr>
            <w:tcW w:w="2240" w:type="dxa"/>
            <w:tcBorders>
              <w:top w:val="single" w:color="000000" w:sz="4" w:space="0"/>
              <w:left w:val="single" w:color="000000" w:sz="4" w:space="0"/>
              <w:bottom w:val="single" w:color="000000" w:sz="4" w:space="0"/>
              <w:right w:val="single" w:color="000000" w:sz="4" w:space="0"/>
            </w:tcBorders>
            <w:shd w:val="clear" w:color="auto" w:fill="EEECE1"/>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截止期末累计投入</w:t>
            </w:r>
          </w:p>
        </w:tc>
        <w:tc>
          <w:tcPr>
            <w:tcW w:w="2011" w:type="dxa"/>
            <w:tcBorders>
              <w:top w:val="single" w:color="000000" w:sz="4" w:space="0"/>
              <w:left w:val="single" w:color="000000" w:sz="4" w:space="0"/>
              <w:bottom w:val="single" w:color="000000" w:sz="4" w:space="0"/>
              <w:right w:val="single" w:color="000000" w:sz="4" w:space="0"/>
            </w:tcBorders>
            <w:shd w:val="clear" w:color="auto" w:fill="EEECE1"/>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本报告期实现效益</w:t>
            </w:r>
          </w:p>
        </w:tc>
        <w:tc>
          <w:tcPr>
            <w:tcW w:w="1417" w:type="dxa"/>
            <w:tcBorders>
              <w:top w:val="single" w:color="000000" w:sz="4" w:space="0"/>
              <w:left w:val="single" w:color="000000" w:sz="4" w:space="0"/>
              <w:bottom w:val="single" w:color="000000" w:sz="4" w:space="0"/>
              <w:right w:val="single" w:color="000000" w:sz="4" w:space="0"/>
            </w:tcBorders>
            <w:shd w:val="clear" w:color="auto" w:fill="EEECE1"/>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投资进度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44" w:hRule="atLeast"/>
        </w:trPr>
        <w:tc>
          <w:tcPr>
            <w:tcW w:w="141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2011年中报</w:t>
            </w:r>
          </w:p>
        </w:tc>
        <w:tc>
          <w:tcPr>
            <w:tcW w:w="187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36,584.70</w:t>
            </w:r>
          </w:p>
        </w:tc>
        <w:tc>
          <w:tcPr>
            <w:tcW w:w="22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14,485.87</w:t>
            </w:r>
          </w:p>
        </w:tc>
        <w:tc>
          <w:tcPr>
            <w:tcW w:w="201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w:t>
            </w:r>
          </w:p>
        </w:tc>
        <w:tc>
          <w:tcPr>
            <w:tcW w:w="141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39.60%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44" w:hRule="atLeast"/>
        </w:trPr>
        <w:tc>
          <w:tcPr>
            <w:tcW w:w="141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2011年年报</w:t>
            </w:r>
          </w:p>
        </w:tc>
        <w:tc>
          <w:tcPr>
            <w:tcW w:w="187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40,001.48</w:t>
            </w:r>
          </w:p>
        </w:tc>
        <w:tc>
          <w:tcPr>
            <w:tcW w:w="22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18,656.09</w:t>
            </w:r>
          </w:p>
        </w:tc>
        <w:tc>
          <w:tcPr>
            <w:tcW w:w="201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123.28</w:t>
            </w:r>
          </w:p>
        </w:tc>
        <w:tc>
          <w:tcPr>
            <w:tcW w:w="141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46.64%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44" w:hRule="atLeast"/>
        </w:trPr>
        <w:tc>
          <w:tcPr>
            <w:tcW w:w="141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2012年中报</w:t>
            </w:r>
          </w:p>
        </w:tc>
        <w:tc>
          <w:tcPr>
            <w:tcW w:w="187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61,187.36</w:t>
            </w:r>
          </w:p>
        </w:tc>
        <w:tc>
          <w:tcPr>
            <w:tcW w:w="22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35,726.50</w:t>
            </w:r>
          </w:p>
        </w:tc>
        <w:tc>
          <w:tcPr>
            <w:tcW w:w="201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255.00</w:t>
            </w:r>
          </w:p>
        </w:tc>
        <w:tc>
          <w:tcPr>
            <w:tcW w:w="141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58.39%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44" w:hRule="atLeast"/>
        </w:trPr>
        <w:tc>
          <w:tcPr>
            <w:tcW w:w="141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2012年年报</w:t>
            </w:r>
          </w:p>
        </w:tc>
        <w:tc>
          <w:tcPr>
            <w:tcW w:w="187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61,187.36</w:t>
            </w:r>
          </w:p>
        </w:tc>
        <w:tc>
          <w:tcPr>
            <w:tcW w:w="22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58,345.18</w:t>
            </w:r>
          </w:p>
        </w:tc>
        <w:tc>
          <w:tcPr>
            <w:tcW w:w="201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-82.09</w:t>
            </w:r>
          </w:p>
        </w:tc>
        <w:tc>
          <w:tcPr>
            <w:tcW w:w="141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95.35%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44" w:hRule="atLeast"/>
        </w:trPr>
        <w:tc>
          <w:tcPr>
            <w:tcW w:w="141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2013年中报</w:t>
            </w:r>
          </w:p>
        </w:tc>
        <w:tc>
          <w:tcPr>
            <w:tcW w:w="187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61,187.36</w:t>
            </w:r>
          </w:p>
        </w:tc>
        <w:tc>
          <w:tcPr>
            <w:tcW w:w="22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61,798.72</w:t>
            </w:r>
          </w:p>
        </w:tc>
        <w:tc>
          <w:tcPr>
            <w:tcW w:w="201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1,253.63</w:t>
            </w:r>
          </w:p>
        </w:tc>
        <w:tc>
          <w:tcPr>
            <w:tcW w:w="141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101.00%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53" w:hRule="atLeast"/>
        </w:trPr>
        <w:tc>
          <w:tcPr>
            <w:tcW w:w="141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2013年年报</w:t>
            </w:r>
          </w:p>
        </w:tc>
        <w:tc>
          <w:tcPr>
            <w:tcW w:w="187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61,187.36</w:t>
            </w:r>
          </w:p>
        </w:tc>
        <w:tc>
          <w:tcPr>
            <w:tcW w:w="22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62,225.05</w:t>
            </w:r>
          </w:p>
        </w:tc>
        <w:tc>
          <w:tcPr>
            <w:tcW w:w="201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4,643.55</w:t>
            </w:r>
          </w:p>
        </w:tc>
        <w:tc>
          <w:tcPr>
            <w:tcW w:w="141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101.70%</w:t>
            </w:r>
          </w:p>
        </w:tc>
      </w:tr>
    </w:tbl>
    <w:p>
      <w:pPr>
        <w:rPr>
          <w:rFonts w:hint="eastAsia" w:asciiTheme="minorEastAsia" w:hAnsiTheme="minorEastAsia" w:cstheme="minorEastAsia"/>
          <w:b/>
          <w:sz w:val="21"/>
          <w:szCs w:val="21"/>
          <w:lang w:val="en-US" w:eastAsia="zh-CN"/>
        </w:rPr>
      </w:pPr>
    </w:p>
    <w:p>
      <w:pPr>
        <w:widowControl w:val="0"/>
        <w:numPr>
          <w:ilvl w:val="0"/>
          <w:numId w:val="0"/>
        </w:numPr>
        <w:jc w:val="both"/>
        <w:rPr>
          <w:rFonts w:hint="eastAsia"/>
          <w:lang w:val="en-US" w:eastAsia="zh-CN"/>
        </w:rPr>
      </w:pPr>
    </w:p>
    <w:p>
      <w:pPr>
        <w:pStyle w:val="4"/>
        <w:numPr>
          <w:ilvl w:val="0"/>
          <w:numId w:val="1"/>
        </w:numPr>
        <w:rPr>
          <w:rFonts w:hint="eastAsia" w:asciiTheme="minorEastAsia" w:hAnsiTheme="minorEastAsia" w:eastAsiaTheme="minorEastAsia" w:cstheme="minorEastAsia"/>
          <w:b/>
          <w:sz w:val="21"/>
          <w:szCs w:val="21"/>
          <w:lang w:val="en-US" w:eastAsia="zh-CN"/>
        </w:rPr>
      </w:pPr>
      <w:r>
        <w:rPr>
          <w:rFonts w:hint="eastAsia" w:asciiTheme="minorEastAsia" w:hAnsiTheme="minorEastAsia" w:eastAsiaTheme="minorEastAsia" w:cstheme="minorEastAsia"/>
          <w:b/>
          <w:sz w:val="21"/>
          <w:szCs w:val="21"/>
          <w:lang w:val="en-US" w:eastAsia="zh-CN"/>
        </w:rPr>
        <w:t>写出南方泵业和新界泵业所处大行业/细分行业的竞争格局。（行业集中度，外资/民营各自的市场份额，高中低端各自的市场份额，出口进口对产值和市场规模的影响）。标注所在招股说明书的位置。参考券商研报，对比你的答案。</w:t>
      </w:r>
    </w:p>
    <w:p>
      <w:pPr>
        <w:widowControl w:val="0"/>
        <w:numPr>
          <w:ilvl w:val="0"/>
          <w:numId w:val="0"/>
        </w:numPr>
        <w:ind w:firstLine="420" w:firstLineChars="0"/>
        <w:jc w:val="both"/>
        <w:rPr>
          <w:rFonts w:hint="eastAsia"/>
          <w:lang w:val="en-US" w:eastAsia="zh-CN"/>
        </w:rPr>
      </w:pPr>
      <w:r>
        <w:rPr>
          <w:rFonts w:hint="eastAsia"/>
          <w:lang w:val="en-US" w:eastAsia="zh-CN"/>
        </w:rPr>
        <w:t>南方泵业和新界泵业所处大行业为：机械设备，细分行业为：通用设备行业。</w:t>
      </w:r>
    </w:p>
    <w:p>
      <w:pPr>
        <w:widowControl w:val="0"/>
        <w:numPr>
          <w:ilvl w:val="0"/>
          <w:numId w:val="0"/>
        </w:numPr>
        <w:jc w:val="both"/>
        <w:rPr>
          <w:rFonts w:hint="eastAsia"/>
          <w:lang w:val="en-US" w:eastAsia="zh-CN"/>
        </w:rPr>
      </w:pPr>
    </w:p>
    <w:p>
      <w:pPr>
        <w:spacing w:beforeLines="0" w:afterLine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FF0000"/>
          <w:sz w:val="21"/>
          <w:szCs w:val="21"/>
        </w:rPr>
        <w:t>世界泵行业</w:t>
      </w:r>
      <w:r>
        <w:rPr>
          <w:rFonts w:hint="eastAsia" w:asciiTheme="minorEastAsia" w:hAnsiTheme="minorEastAsia" w:eastAsiaTheme="minorEastAsia" w:cstheme="minorEastAsia"/>
          <w:sz w:val="21"/>
          <w:szCs w:val="21"/>
        </w:rPr>
        <w:t>有约1万家泵制造厂商，市场竞争激烈，但</w:t>
      </w:r>
      <w:r>
        <w:rPr>
          <w:rFonts w:hint="eastAsia" w:asciiTheme="minorEastAsia" w:hAnsiTheme="minorEastAsia" w:eastAsiaTheme="minorEastAsia" w:cstheme="minorEastAsia"/>
          <w:color w:val="FF0000"/>
          <w:sz w:val="21"/>
          <w:szCs w:val="21"/>
        </w:rPr>
        <w:t>行业集中度很高</w:t>
      </w:r>
      <w:r>
        <w:rPr>
          <w:rFonts w:hint="eastAsia" w:asciiTheme="minorEastAsia" w:hAnsiTheme="minorEastAsia" w:eastAsiaTheme="minorEastAsia" w:cstheme="minorEastAsia"/>
          <w:sz w:val="21"/>
          <w:szCs w:val="21"/>
        </w:rPr>
        <w:t>。根</w:t>
      </w:r>
    </w:p>
    <w:p>
      <w:pPr>
        <w:spacing w:beforeLines="0" w:afterLines="0"/>
        <w:jc w:val="left"/>
        <w:rPr>
          <w:rFonts w:hint="eastAsia" w:asciiTheme="minorEastAsia" w:hAnsiTheme="minorEastAsia" w:eastAsiaTheme="minorEastAsia" w:cstheme="minorEastAsia"/>
          <w:color w:val="FF0000"/>
          <w:sz w:val="21"/>
          <w:szCs w:val="21"/>
        </w:rPr>
      </w:pPr>
      <w:r>
        <w:rPr>
          <w:rFonts w:hint="eastAsia" w:asciiTheme="minorEastAsia" w:hAnsiTheme="minorEastAsia" w:eastAsiaTheme="minorEastAsia" w:cstheme="minorEastAsia"/>
          <w:sz w:val="21"/>
          <w:szCs w:val="21"/>
        </w:rPr>
        <w:t>据McIlvaine公司《泵业市场资讯》（McIlvaine’s Pumps），</w:t>
      </w:r>
      <w:r>
        <w:rPr>
          <w:rFonts w:hint="eastAsia" w:asciiTheme="minorEastAsia" w:hAnsiTheme="minorEastAsia" w:eastAsiaTheme="minorEastAsia" w:cstheme="minorEastAsia"/>
          <w:color w:val="FF0000"/>
          <w:sz w:val="21"/>
          <w:szCs w:val="21"/>
        </w:rPr>
        <w:t>世界前10家泵制造</w:t>
      </w:r>
    </w:p>
    <w:p>
      <w:pPr>
        <w:spacing w:beforeLines="0" w:afterLine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FF0000"/>
          <w:sz w:val="21"/>
          <w:szCs w:val="21"/>
        </w:rPr>
        <w:t>厂商的销售额约占世界泵市场总量的50%</w:t>
      </w:r>
      <w:r>
        <w:rPr>
          <w:rFonts w:hint="eastAsia" w:asciiTheme="minorEastAsia" w:hAnsiTheme="minorEastAsia" w:eastAsiaTheme="minorEastAsia" w:cstheme="minorEastAsia"/>
          <w:sz w:val="21"/>
          <w:szCs w:val="21"/>
        </w:rPr>
        <w:t>，这些厂家主要是：美国ITT公司、日本</w:t>
      </w:r>
    </w:p>
    <w:p>
      <w:pPr>
        <w:spacing w:beforeLines="0" w:afterLine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荏原（EBARA）、丹麦格兰富（GRUNDFOS）、美国福斯（FLOWSERVE）、瑞士苏尔</w:t>
      </w:r>
    </w:p>
    <w:p>
      <w:pPr>
        <w:spacing w:beforeLines="0" w:afterLine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寿（SULZER）、英国威尔（WEIR）、德国凯士比（KSB）、德国威乐（WILO）、</w:t>
      </w:r>
    </w:p>
    <w:p>
      <w:pPr>
        <w:spacing w:beforeLines="0" w:afterLine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美国ROPERINDUSTRIES和德国普茨迈斯特（PUTZMEISTER）。根据美国ITT公司和</w:t>
      </w:r>
    </w:p>
    <w:p>
      <w:pPr>
        <w:spacing w:beforeLines="0" w:afterLine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丹麦格兰富公司的2008年年度报告，两公司2008年的水泵销售额分别为38.4亿美</w:t>
      </w:r>
    </w:p>
    <w:p>
      <w:pPr>
        <w:spacing w:beforeLines="0" w:afterLine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元和25亿欧元。</w:t>
      </w:r>
    </w:p>
    <w:p>
      <w:pPr>
        <w:spacing w:beforeLines="0" w:afterLine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中国泵行业规模以上企业3500家以上，产品种类约为450个系列5000多个品</w:t>
      </w:r>
    </w:p>
    <w:p>
      <w:pPr>
        <w:spacing w:beforeLines="0" w:afterLine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种。</w:t>
      </w:r>
    </w:p>
    <w:p>
      <w:pPr>
        <w:spacing w:beforeLines="0" w:afterLines="0"/>
        <w:ind w:firstLine="420" w:firstLineChars="0"/>
        <w:jc w:val="left"/>
        <w:rPr>
          <w:rFonts w:hint="eastAsia" w:asciiTheme="minorEastAsia" w:hAnsiTheme="minorEastAsia" w:eastAsiaTheme="minorEastAsia" w:cstheme="minorEastAsia"/>
          <w:color w:val="FF0000"/>
          <w:sz w:val="21"/>
          <w:szCs w:val="21"/>
        </w:rPr>
      </w:pPr>
      <w:r>
        <w:rPr>
          <w:rFonts w:hint="eastAsia" w:asciiTheme="minorEastAsia" w:hAnsiTheme="minorEastAsia" w:eastAsiaTheme="minorEastAsia" w:cstheme="minorEastAsia"/>
          <w:sz w:val="21"/>
          <w:szCs w:val="21"/>
        </w:rPr>
        <w:t>与世界泵业市场相比，</w:t>
      </w:r>
      <w:r>
        <w:rPr>
          <w:rFonts w:hint="eastAsia" w:asciiTheme="minorEastAsia" w:hAnsiTheme="minorEastAsia" w:eastAsiaTheme="minorEastAsia" w:cstheme="minorEastAsia"/>
          <w:color w:val="FF0000"/>
          <w:sz w:val="21"/>
          <w:szCs w:val="21"/>
        </w:rPr>
        <w:t>我国泵业市场集中度相对较低，没有市场地位显著突</w:t>
      </w:r>
    </w:p>
    <w:p>
      <w:pPr>
        <w:spacing w:beforeLines="0" w:afterLine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FF0000"/>
          <w:sz w:val="21"/>
          <w:szCs w:val="21"/>
        </w:rPr>
        <w:t>出的综合性泵业集团</w:t>
      </w:r>
      <w:r>
        <w:rPr>
          <w:rFonts w:hint="eastAsia" w:asciiTheme="minorEastAsia" w:hAnsiTheme="minorEastAsia" w:eastAsiaTheme="minorEastAsia" w:cstheme="minorEastAsia"/>
          <w:sz w:val="21"/>
          <w:szCs w:val="21"/>
        </w:rPr>
        <w:t>。但在主要细分市场领域，市场份额越来越向几个优势企业</w:t>
      </w:r>
    </w:p>
    <w:p>
      <w:pPr>
        <w:spacing w:beforeLines="0" w:afterLine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集中，如核用泵领域的沈鼓集团、耐酸泵领域的大连耐酸泵厂、杂质泵领域的石</w:t>
      </w:r>
    </w:p>
    <w:p>
      <w:pPr>
        <w:spacing w:beforeLines="0" w:afterLine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家庄强大泵业集团、管道泵领域的上海凯泉泵业集团、潜污泵领域的江苏亚太泵</w:t>
      </w:r>
    </w:p>
    <w:p>
      <w:pPr>
        <w:spacing w:beforeLines="0" w:afterLine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阀有限公司、不锈钢冲压焊接离心泵领域的杭州南方特种泵业股份有限公司、电</w:t>
      </w:r>
    </w:p>
    <w:p>
      <w:pPr>
        <w:widowControl w:val="0"/>
        <w:numPr>
          <w:ilvl w:val="0"/>
          <w:numId w:val="0"/>
        </w:numPr>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站泵领域的上海KSB、上海电力修造厂等。</w:t>
      </w:r>
    </w:p>
    <w:p>
      <w:pPr>
        <w:spacing w:beforeLines="0" w:afterLines="0"/>
        <w:ind w:firstLine="420" w:firstLineChars="0"/>
        <w:jc w:val="left"/>
        <w:rPr>
          <w:rFonts w:hint="eastAsia" w:ascii="宋体" w:hAnsi="宋体" w:eastAsia="宋体"/>
          <w:sz w:val="21"/>
          <w:szCs w:val="21"/>
        </w:rPr>
      </w:pPr>
      <w:r>
        <w:rPr>
          <w:rFonts w:hint="eastAsia" w:ascii="宋体" w:hAnsi="宋体" w:eastAsia="宋体"/>
          <w:sz w:val="21"/>
          <w:szCs w:val="21"/>
        </w:rPr>
        <w:t>目前，世界前10位的泵业生产商大部分已通过独资或合资的方式在国内建立</w:t>
      </w:r>
    </w:p>
    <w:p>
      <w:pPr>
        <w:spacing w:beforeLines="0" w:afterLines="0"/>
        <w:jc w:val="left"/>
        <w:rPr>
          <w:rFonts w:hint="default" w:ascii="Calibri" w:hAnsi="Calibri" w:eastAsia="Calibri"/>
          <w:sz w:val="21"/>
          <w:szCs w:val="21"/>
        </w:rPr>
      </w:pPr>
      <w:r>
        <w:rPr>
          <w:rFonts w:hint="eastAsia" w:ascii="宋体" w:hAnsi="宋体" w:eastAsia="宋体"/>
          <w:sz w:val="21"/>
          <w:szCs w:val="21"/>
        </w:rPr>
        <w:t>了研发和生产基地。另外一些国外企业也通过设立办事处或代理商逐渐进入中国</w:t>
      </w:r>
    </w:p>
    <w:p>
      <w:pPr>
        <w:spacing w:beforeLines="0" w:afterLines="0"/>
        <w:jc w:val="left"/>
        <w:rPr>
          <w:rFonts w:hint="eastAsia" w:ascii="宋体" w:hAnsi="宋体" w:eastAsia="宋体"/>
          <w:sz w:val="21"/>
          <w:szCs w:val="21"/>
        </w:rPr>
      </w:pPr>
      <w:r>
        <w:rPr>
          <w:rFonts w:hint="eastAsia" w:ascii="宋体" w:hAnsi="宋体" w:eastAsia="宋体"/>
          <w:sz w:val="21"/>
          <w:szCs w:val="21"/>
        </w:rPr>
        <w:t>市场。</w:t>
      </w:r>
      <w:r>
        <w:rPr>
          <w:rFonts w:hint="eastAsia" w:ascii="宋体" w:hAnsi="宋体" w:eastAsia="宋体"/>
          <w:color w:val="FF0000"/>
          <w:sz w:val="21"/>
          <w:szCs w:val="21"/>
        </w:rPr>
        <w:t>外资（合资）企业</w:t>
      </w:r>
      <w:r>
        <w:rPr>
          <w:rFonts w:hint="eastAsia" w:ascii="宋体" w:hAnsi="宋体" w:eastAsia="宋体"/>
          <w:sz w:val="21"/>
          <w:szCs w:val="21"/>
        </w:rPr>
        <w:t>的销售额</w:t>
      </w:r>
      <w:r>
        <w:rPr>
          <w:rFonts w:hint="eastAsia" w:ascii="宋体" w:hAnsi="宋体" w:eastAsia="宋体"/>
          <w:color w:val="FF0000"/>
          <w:sz w:val="21"/>
          <w:szCs w:val="21"/>
        </w:rPr>
        <w:t>占我国市场</w:t>
      </w:r>
      <w:r>
        <w:rPr>
          <w:rFonts w:hint="eastAsia" w:ascii="宋体" w:hAnsi="宋体" w:eastAsia="宋体"/>
          <w:sz w:val="21"/>
          <w:szCs w:val="21"/>
        </w:rPr>
        <w:t>销售额的</w:t>
      </w:r>
      <w:r>
        <w:rPr>
          <w:rFonts w:hint="eastAsia" w:ascii="宋体" w:hAnsi="宋体" w:eastAsia="宋体"/>
          <w:color w:val="FF0000"/>
          <w:sz w:val="21"/>
          <w:szCs w:val="21"/>
        </w:rPr>
        <w:t>23.8%</w:t>
      </w:r>
      <w:r>
        <w:rPr>
          <w:rFonts w:hint="eastAsia" w:ascii="宋体" w:hAnsi="宋体" w:eastAsia="宋体"/>
          <w:sz w:val="21"/>
          <w:szCs w:val="21"/>
        </w:rPr>
        <w:t>。在华的外资（合</w:t>
      </w:r>
    </w:p>
    <w:p>
      <w:pPr>
        <w:spacing w:beforeLines="0" w:afterLines="0"/>
        <w:jc w:val="left"/>
        <w:rPr>
          <w:rFonts w:hint="eastAsia" w:ascii="宋体" w:hAnsi="宋体" w:eastAsia="宋体"/>
          <w:sz w:val="21"/>
          <w:szCs w:val="21"/>
        </w:rPr>
      </w:pPr>
      <w:r>
        <w:rPr>
          <w:rFonts w:hint="eastAsia" w:ascii="宋体" w:hAnsi="宋体" w:eastAsia="宋体"/>
          <w:sz w:val="21"/>
          <w:szCs w:val="21"/>
        </w:rPr>
        <w:t>资）企业主要服务于</w:t>
      </w:r>
      <w:r>
        <w:rPr>
          <w:rFonts w:hint="eastAsia" w:ascii="宋体" w:hAnsi="宋体" w:eastAsia="宋体"/>
          <w:color w:val="FF0000"/>
          <w:sz w:val="21"/>
          <w:szCs w:val="21"/>
        </w:rPr>
        <w:t>中、高端市场</w:t>
      </w:r>
      <w:r>
        <w:rPr>
          <w:rFonts w:hint="eastAsia" w:ascii="宋体" w:hAnsi="宋体" w:eastAsia="宋体"/>
          <w:sz w:val="21"/>
          <w:szCs w:val="21"/>
        </w:rPr>
        <w:t>并为我国各重大工程提供产品。该类企业不仅</w:t>
      </w:r>
    </w:p>
    <w:p>
      <w:pPr>
        <w:spacing w:beforeLines="0" w:afterLines="0"/>
        <w:jc w:val="left"/>
        <w:rPr>
          <w:rFonts w:hint="eastAsia" w:ascii="宋体" w:hAnsi="宋体" w:eastAsia="宋体"/>
          <w:sz w:val="21"/>
          <w:szCs w:val="21"/>
        </w:rPr>
      </w:pPr>
      <w:r>
        <w:rPr>
          <w:rFonts w:hint="eastAsia" w:ascii="宋体" w:hAnsi="宋体" w:eastAsia="宋体"/>
          <w:sz w:val="21"/>
          <w:szCs w:val="21"/>
        </w:rPr>
        <w:t>为客户提供高质量的产品，并针对特定客户提供完整的系统解决方案以及相应的</w:t>
      </w:r>
    </w:p>
    <w:p>
      <w:pPr>
        <w:spacing w:beforeLines="0" w:afterLines="0"/>
        <w:jc w:val="left"/>
        <w:rPr>
          <w:rFonts w:hint="eastAsia" w:ascii="宋体" w:hAnsi="宋体" w:eastAsia="宋体"/>
          <w:sz w:val="21"/>
          <w:szCs w:val="21"/>
        </w:rPr>
      </w:pPr>
      <w:r>
        <w:rPr>
          <w:rFonts w:hint="eastAsia" w:ascii="宋体" w:hAnsi="宋体" w:eastAsia="宋体"/>
          <w:sz w:val="21"/>
          <w:szCs w:val="21"/>
        </w:rPr>
        <w:t>高附加值服务。外资泵业企业已具备较强的竞争力。今后几年我国泵业市场的竞</w:t>
      </w:r>
    </w:p>
    <w:p>
      <w:pPr>
        <w:spacing w:beforeLines="0" w:afterLines="0"/>
        <w:jc w:val="left"/>
        <w:rPr>
          <w:rFonts w:hint="eastAsia" w:ascii="宋体" w:hAnsi="宋体" w:eastAsia="宋体"/>
          <w:sz w:val="21"/>
          <w:szCs w:val="21"/>
        </w:rPr>
      </w:pPr>
      <w:r>
        <w:rPr>
          <w:rFonts w:hint="eastAsia" w:ascii="宋体" w:hAnsi="宋体" w:eastAsia="宋体"/>
          <w:sz w:val="21"/>
          <w:szCs w:val="21"/>
        </w:rPr>
        <w:t>争将更加激烈。</w:t>
      </w:r>
    </w:p>
    <w:p>
      <w:pPr>
        <w:spacing w:beforeLines="0" w:afterLines="0"/>
        <w:jc w:val="left"/>
        <w:rPr>
          <w:rFonts w:hint="eastAsia" w:asciiTheme="minorEastAsia" w:hAnsiTheme="minorEastAsia" w:eastAsiaTheme="minorEastAsia" w:cstheme="minorEastAsia"/>
          <w:sz w:val="21"/>
          <w:szCs w:val="21"/>
          <w:lang w:val="en-US" w:eastAsia="zh-CN"/>
        </w:rPr>
      </w:pPr>
      <w:r>
        <w:rPr>
          <w:rFonts w:hint="eastAsia" w:ascii="宋体" w:hAnsi="宋体" w:eastAsia="宋体"/>
          <w:sz w:val="21"/>
          <w:szCs w:val="21"/>
        </w:rPr>
        <w:t>（数据来源：陈维皓，中国泵业市场综述，《泵信息》杂志，2008年5月）</w:t>
      </w:r>
    </w:p>
    <w:p>
      <w:pPr>
        <w:widowControl w:val="0"/>
        <w:numPr>
          <w:ilvl w:val="0"/>
          <w:numId w:val="0"/>
        </w:numPr>
        <w:ind w:left="4620" w:leftChars="0" w:firstLine="420" w:firstLineChars="0"/>
        <w:jc w:val="both"/>
        <w:rPr>
          <w:rFonts w:hint="eastAsia"/>
          <w:lang w:val="en-US" w:eastAsia="zh-CN"/>
        </w:rPr>
      </w:pPr>
      <w:r>
        <w:rPr>
          <w:rFonts w:hint="eastAsia"/>
          <w:lang w:val="en-US" w:eastAsia="zh-CN"/>
        </w:rPr>
        <w:t>--来源南方泵业招股说明书85页。</w:t>
      </w:r>
    </w:p>
    <w:p>
      <w:pPr>
        <w:widowControl w:val="0"/>
        <w:numPr>
          <w:ilvl w:val="0"/>
          <w:numId w:val="0"/>
        </w:numPr>
        <w:jc w:val="both"/>
        <w:rPr>
          <w:rFonts w:hint="eastAsia"/>
          <w:lang w:val="en-US" w:eastAsia="zh-CN"/>
        </w:rPr>
      </w:pPr>
    </w:p>
    <w:p>
      <w:pPr>
        <w:spacing w:beforeLines="0" w:afterLines="0"/>
        <w:jc w:val="left"/>
        <w:rPr>
          <w:rFonts w:hint="eastAsia" w:asciiTheme="minorEastAsia" w:hAnsiTheme="minorEastAsia" w:eastAsiaTheme="minorEastAsia" w:cstheme="minorEastAsia"/>
          <w:b/>
          <w:bCs w:val="0"/>
          <w:color w:val="000000"/>
          <w:sz w:val="21"/>
          <w:szCs w:val="21"/>
        </w:rPr>
      </w:pPr>
      <w:r>
        <w:rPr>
          <w:rFonts w:hint="eastAsia" w:asciiTheme="minorEastAsia" w:hAnsiTheme="minorEastAsia" w:eastAsiaTheme="minorEastAsia" w:cstheme="minorEastAsia"/>
          <w:b/>
          <w:bCs w:val="0"/>
          <w:color w:val="000000"/>
          <w:sz w:val="21"/>
          <w:szCs w:val="21"/>
        </w:rPr>
        <w:t xml:space="preserve">1、国内市场竞争格局 </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 xml:space="preserve">（1）行业内企业数量多，市场竞争激烈 </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在</w:t>
      </w:r>
      <w:r>
        <w:rPr>
          <w:rFonts w:hint="eastAsia" w:asciiTheme="minorEastAsia" w:hAnsiTheme="minorEastAsia" w:eastAsiaTheme="minorEastAsia" w:cstheme="minorEastAsia"/>
          <w:color w:val="FF0000"/>
          <w:sz w:val="21"/>
          <w:szCs w:val="21"/>
        </w:rPr>
        <w:t>我国农用水泵行业</w:t>
      </w:r>
      <w:r>
        <w:rPr>
          <w:rFonts w:hint="eastAsia" w:asciiTheme="minorEastAsia" w:hAnsiTheme="minorEastAsia" w:eastAsiaTheme="minorEastAsia" w:cstheme="minorEastAsia"/>
          <w:color w:val="000000"/>
          <w:sz w:val="21"/>
          <w:szCs w:val="21"/>
        </w:rPr>
        <w:t>，民营企业借助其灵活的机制、良好的市场意识和创新意识迅速崛起，已占据其主导地位。但由于本行业进入资金门槛较低，产品市场需求量大，因此行业内生产厂商众多，</w:t>
      </w:r>
      <w:r>
        <w:rPr>
          <w:rFonts w:hint="eastAsia" w:asciiTheme="minorEastAsia" w:hAnsiTheme="minorEastAsia" w:eastAsiaTheme="minorEastAsia" w:cstheme="minorEastAsia"/>
          <w:color w:val="FF0000"/>
          <w:sz w:val="21"/>
          <w:szCs w:val="21"/>
        </w:rPr>
        <w:t>市场占有率超过2%的企业屈指可数</w:t>
      </w:r>
      <w:r>
        <w:rPr>
          <w:rFonts w:hint="eastAsia" w:asciiTheme="minorEastAsia" w:hAnsiTheme="minorEastAsia" w:eastAsiaTheme="minorEastAsia" w:cstheme="minorEastAsia"/>
          <w:color w:val="000000"/>
          <w:sz w:val="21"/>
          <w:szCs w:val="21"/>
        </w:rPr>
        <w:t xml:space="preserve">。目前，我国农用水泵生产厂商约3,000 家，其中半数以上产能集中在浙江温岭地区，各厂商之间竞争激烈。 </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（2）多数企业产品</w:t>
      </w:r>
      <w:r>
        <w:rPr>
          <w:rFonts w:hint="eastAsia" w:asciiTheme="minorEastAsia" w:hAnsiTheme="minorEastAsia" w:eastAsiaTheme="minorEastAsia" w:cstheme="minorEastAsia"/>
          <w:color w:val="FF0000"/>
          <w:sz w:val="21"/>
          <w:szCs w:val="21"/>
        </w:rPr>
        <w:t>同质化竞争严重</w:t>
      </w:r>
      <w:r>
        <w:rPr>
          <w:rFonts w:hint="eastAsia" w:asciiTheme="minorEastAsia" w:hAnsiTheme="minorEastAsia" w:eastAsiaTheme="minorEastAsia" w:cstheme="minorEastAsia"/>
          <w:color w:val="000000"/>
          <w:sz w:val="21"/>
          <w:szCs w:val="21"/>
        </w:rPr>
        <w:t xml:space="preserve"> </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我国虽是农用水泵生产大国，且生产企业数量众多，但总体技术水平参差不齐，大多数企业没有形成品牌竞争力和规模化生产能力，</w:t>
      </w:r>
      <w:r>
        <w:rPr>
          <w:rFonts w:hint="eastAsia" w:asciiTheme="minorEastAsia" w:hAnsiTheme="minorEastAsia" w:eastAsiaTheme="minorEastAsia" w:cstheme="minorEastAsia"/>
          <w:color w:val="FF0000"/>
          <w:sz w:val="21"/>
          <w:szCs w:val="21"/>
        </w:rPr>
        <w:t>低端产品同质化竞争严重</w:t>
      </w:r>
      <w:r>
        <w:rPr>
          <w:rFonts w:hint="eastAsia" w:asciiTheme="minorEastAsia" w:hAnsiTheme="minorEastAsia" w:eastAsiaTheme="minorEastAsia" w:cstheme="minorEastAsia"/>
          <w:color w:val="000000"/>
          <w:sz w:val="21"/>
          <w:szCs w:val="21"/>
        </w:rPr>
        <w:t xml:space="preserve">。 </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 xml:space="preserve">（3）规模和品质成为品牌企业竞争的主要因素 </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 xml:space="preserve">随着国内外市场对农用水泵品质要求的不断提高，在制造成本和人力成本上升的压力下，国内农用水泵生产企业的盈利能力在不断受到冲击，市场占有率向少数品牌集中的趋势逐步显现。由于产品创新、技术更新、渠道建设和品牌维护所需要投入增加，企业未来只有在保证质量稳步提高的前提下，努力通过扩大规模降低生产成本才能在竞争中不断发展和壮大。 </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b/>
          <w:color w:val="000000"/>
          <w:sz w:val="21"/>
          <w:szCs w:val="21"/>
        </w:rPr>
        <w:t xml:space="preserve">2、国外市场竞争格局 </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据2008年《EIF世界泵业市场报告》数据显示：2007年</w:t>
      </w:r>
      <w:r>
        <w:rPr>
          <w:rFonts w:hint="eastAsia" w:asciiTheme="minorEastAsia" w:hAnsiTheme="minorEastAsia" w:eastAsiaTheme="minorEastAsia" w:cstheme="minorEastAsia"/>
          <w:color w:val="FF0000"/>
          <w:sz w:val="21"/>
          <w:szCs w:val="21"/>
        </w:rPr>
        <w:t>中国泵的出口额占世界出口额</w:t>
      </w:r>
      <w:r>
        <w:rPr>
          <w:rFonts w:hint="eastAsia" w:asciiTheme="minorEastAsia" w:hAnsiTheme="minorEastAsia" w:eastAsiaTheme="minorEastAsia" w:cstheme="minorEastAsia"/>
          <w:color w:val="000000"/>
          <w:sz w:val="21"/>
          <w:szCs w:val="21"/>
        </w:rPr>
        <w:t>的百分比</w:t>
      </w:r>
      <w:r>
        <w:rPr>
          <w:rFonts w:hint="eastAsia" w:asciiTheme="minorEastAsia" w:hAnsiTheme="minorEastAsia" w:eastAsiaTheme="minorEastAsia" w:cstheme="minorEastAsia"/>
          <w:color w:val="FF0000"/>
          <w:sz w:val="21"/>
          <w:szCs w:val="21"/>
        </w:rPr>
        <w:t>从2003年的3.4% 增加到了8.6%</w:t>
      </w:r>
      <w:r>
        <w:rPr>
          <w:rFonts w:hint="eastAsia" w:asciiTheme="minorEastAsia" w:hAnsiTheme="minorEastAsia" w:eastAsiaTheme="minorEastAsia" w:cstheme="minorEastAsia"/>
          <w:color w:val="000000"/>
          <w:sz w:val="21"/>
          <w:szCs w:val="21"/>
        </w:rPr>
        <w:t>，我国</w:t>
      </w:r>
      <w:r>
        <w:rPr>
          <w:rFonts w:hint="eastAsia" w:asciiTheme="minorEastAsia" w:hAnsiTheme="minorEastAsia" w:eastAsiaTheme="minorEastAsia" w:cstheme="minorEastAsia"/>
          <w:color w:val="FF0000"/>
          <w:sz w:val="21"/>
          <w:szCs w:val="21"/>
        </w:rPr>
        <w:t>水泵出口产品</w:t>
      </w:r>
      <w:r>
        <w:rPr>
          <w:rFonts w:hint="eastAsia" w:asciiTheme="minorEastAsia" w:hAnsiTheme="minorEastAsia" w:eastAsiaTheme="minorEastAsia" w:cstheme="minorEastAsia"/>
          <w:color w:val="000000"/>
          <w:sz w:val="21"/>
          <w:szCs w:val="21"/>
        </w:rPr>
        <w:t>主要是</w:t>
      </w:r>
      <w:r>
        <w:rPr>
          <w:rFonts w:hint="eastAsia" w:asciiTheme="minorEastAsia" w:hAnsiTheme="minorEastAsia" w:eastAsiaTheme="minorEastAsia" w:cstheme="minorEastAsia"/>
          <w:color w:val="FF0000"/>
          <w:sz w:val="21"/>
          <w:szCs w:val="21"/>
        </w:rPr>
        <w:t>农用水泵</w:t>
      </w:r>
      <w:r>
        <w:rPr>
          <w:rFonts w:hint="eastAsia" w:asciiTheme="minorEastAsia" w:hAnsiTheme="minorEastAsia" w:eastAsiaTheme="minorEastAsia" w:cstheme="minorEastAsia"/>
          <w:color w:val="000000"/>
          <w:sz w:val="21"/>
          <w:szCs w:val="21"/>
        </w:rPr>
        <w:t xml:space="preserve">。 </w:t>
      </w:r>
    </w:p>
    <w:p>
      <w:pPr>
        <w:widowControl w:val="0"/>
        <w:numPr>
          <w:ilvl w:val="0"/>
          <w:numId w:val="0"/>
        </w:numPr>
        <w:jc w:val="both"/>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全球的</w:t>
      </w:r>
      <w:r>
        <w:rPr>
          <w:rFonts w:hint="eastAsia" w:asciiTheme="minorEastAsia" w:hAnsiTheme="minorEastAsia" w:eastAsiaTheme="minorEastAsia" w:cstheme="minorEastAsia"/>
          <w:color w:val="FF0000"/>
          <w:sz w:val="21"/>
          <w:szCs w:val="21"/>
        </w:rPr>
        <w:t>农用水泵的高端市场</w:t>
      </w:r>
      <w:r>
        <w:rPr>
          <w:rFonts w:hint="eastAsia" w:asciiTheme="minorEastAsia" w:hAnsiTheme="minorEastAsia" w:eastAsiaTheme="minorEastAsia" w:cstheme="minorEastAsia"/>
          <w:color w:val="000000"/>
          <w:sz w:val="21"/>
          <w:szCs w:val="21"/>
        </w:rPr>
        <w:t>主要为</w:t>
      </w:r>
      <w:r>
        <w:rPr>
          <w:rFonts w:hint="eastAsia" w:asciiTheme="minorEastAsia" w:hAnsiTheme="minorEastAsia" w:eastAsiaTheme="minorEastAsia" w:cstheme="minorEastAsia"/>
          <w:color w:val="FF0000"/>
          <w:sz w:val="21"/>
          <w:szCs w:val="21"/>
        </w:rPr>
        <w:t>欧美发达国家</w:t>
      </w:r>
      <w:r>
        <w:rPr>
          <w:rFonts w:hint="eastAsia" w:asciiTheme="minorEastAsia" w:hAnsiTheme="minorEastAsia" w:eastAsiaTheme="minorEastAsia" w:cstheme="minorEastAsia"/>
          <w:color w:val="000000"/>
          <w:sz w:val="21"/>
          <w:szCs w:val="21"/>
        </w:rPr>
        <w:t>产品所占领，且</w:t>
      </w:r>
      <w:r>
        <w:rPr>
          <w:rFonts w:hint="eastAsia" w:asciiTheme="minorEastAsia" w:hAnsiTheme="minorEastAsia" w:eastAsiaTheme="minorEastAsia" w:cstheme="minorEastAsia"/>
          <w:color w:val="FF0000"/>
          <w:sz w:val="21"/>
          <w:szCs w:val="21"/>
        </w:rPr>
        <w:t>行业集中度较高</w:t>
      </w:r>
      <w:r>
        <w:rPr>
          <w:rFonts w:hint="eastAsia" w:asciiTheme="minorEastAsia" w:hAnsiTheme="minorEastAsia" w:eastAsiaTheme="minorEastAsia" w:cstheme="minorEastAsia"/>
          <w:color w:val="000000"/>
          <w:sz w:val="21"/>
          <w:szCs w:val="21"/>
        </w:rPr>
        <w:t>。</w:t>
      </w:r>
      <w:r>
        <w:rPr>
          <w:rFonts w:hint="eastAsia" w:asciiTheme="minorEastAsia" w:hAnsiTheme="minorEastAsia" w:eastAsiaTheme="minorEastAsia" w:cstheme="minorEastAsia"/>
          <w:color w:val="FF0000"/>
          <w:sz w:val="21"/>
          <w:szCs w:val="21"/>
        </w:rPr>
        <w:t>中低端市场大多为我国农用水泵产品</w:t>
      </w:r>
      <w:r>
        <w:rPr>
          <w:rFonts w:hint="eastAsia" w:asciiTheme="minorEastAsia" w:hAnsiTheme="minorEastAsia" w:eastAsiaTheme="minorEastAsia" w:cstheme="minorEastAsia"/>
          <w:color w:val="000000"/>
          <w:sz w:val="21"/>
          <w:szCs w:val="21"/>
        </w:rPr>
        <w:t xml:space="preserve">。随着中国企业技术能力和制造水平的提高，我国企业在产品种类、性能和质量等方面与欧美领先企业的差距正逐步缩小，其“物美价廉”的竞争优势突显，大量出口欧美、东南亚、中东、非洲等地区。 </w:t>
      </w:r>
    </w:p>
    <w:p>
      <w:pPr>
        <w:widowControl w:val="0"/>
        <w:numPr>
          <w:ilvl w:val="0"/>
          <w:numId w:val="0"/>
        </w:numPr>
        <w:ind w:left="4200" w:leftChars="0" w:firstLine="420" w:firstLineChars="0"/>
        <w:jc w:val="both"/>
        <w:rPr>
          <w:rFonts w:hint="eastAsia" w:ascii="宋体" w:hAnsi="宋体" w:eastAsia="宋体"/>
          <w:color w:val="000000"/>
          <w:sz w:val="23"/>
          <w:lang w:val="en-US" w:eastAsia="zh-CN"/>
        </w:rPr>
      </w:pPr>
      <w:r>
        <w:rPr>
          <w:rFonts w:hint="eastAsia" w:ascii="宋体" w:hAnsi="宋体" w:eastAsia="宋体"/>
          <w:color w:val="000000"/>
          <w:sz w:val="23"/>
          <w:lang w:val="en-US" w:eastAsia="zh-CN"/>
        </w:rPr>
        <w:t>--来源新界泵业招股说明书78页</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spacing w:beforeLines="0" w:afterLines="0"/>
        <w:jc w:val="left"/>
        <w:rPr>
          <w:rFonts w:hint="eastAsia" w:asciiTheme="minorEastAsia" w:hAnsiTheme="minorEastAsia" w:eastAsiaTheme="minorEastAsia" w:cstheme="minorEastAsia"/>
          <w:color w:val="000000"/>
          <w:sz w:val="21"/>
          <w:szCs w:val="21"/>
          <w:lang w:val="en-US" w:eastAsia="zh-CN"/>
        </w:rPr>
      </w:pPr>
      <w:r>
        <w:rPr>
          <w:rFonts w:hint="eastAsia" w:asciiTheme="minorEastAsia" w:hAnsiTheme="minorEastAsia" w:eastAsiaTheme="minorEastAsia" w:cstheme="minorEastAsia"/>
          <w:color w:val="000000"/>
          <w:sz w:val="21"/>
          <w:szCs w:val="21"/>
          <w:lang w:val="en-US" w:eastAsia="zh-CN"/>
        </w:rPr>
        <w:t>“大市场、小企业”：我国年产泵超过9,000 万台，产值超过1,500 亿元，但前10 名企业合计的市场份额尚不足10%，南方泵业、新界泵业2013 年的营业收入也分别仅有13.45 亿元、11.33 亿元。相比之下，全球广义的泵市场容量超过600 亿美元，其中，前10 名企业合计销售额超过200 亿美元，龙头企业赛莱默（Xylem）、格兰富的年销售收入超过30 亿美元。</w:t>
      </w:r>
    </w:p>
    <w:p>
      <w:pPr>
        <w:spacing w:beforeLines="0" w:afterLines="0"/>
        <w:ind w:left="1260" w:leftChars="0" w:firstLine="420" w:firstLineChars="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lang w:val="en-US" w:eastAsia="zh-CN"/>
        </w:rPr>
        <w:t>--</w:t>
      </w:r>
      <w:r>
        <w:rPr>
          <w:rFonts w:hint="eastAsia" w:asciiTheme="minorEastAsia" w:hAnsiTheme="minorEastAsia" w:eastAsiaTheme="minorEastAsia" w:cstheme="minorEastAsia"/>
          <w:color w:val="auto"/>
          <w:sz w:val="21"/>
          <w:szCs w:val="21"/>
        </w:rPr>
        <w:t>研究报告：广发证券-泵行业：成长持续确认，升级加速发展-140303</w:t>
      </w:r>
    </w:p>
    <w:p>
      <w:pPr>
        <w:widowControl w:val="0"/>
        <w:numPr>
          <w:ilvl w:val="0"/>
          <w:numId w:val="0"/>
        </w:numPr>
        <w:ind w:left="2940" w:leftChars="0" w:firstLine="420" w:firstLineChars="0"/>
        <w:jc w:val="both"/>
        <w:rPr>
          <w:rFonts w:hint="eastAsia"/>
          <w:lang w:val="en-US" w:eastAsia="zh-CN"/>
        </w:rPr>
      </w:pPr>
    </w:p>
    <w:p>
      <w:pPr>
        <w:pStyle w:val="4"/>
        <w:numPr>
          <w:ilvl w:val="0"/>
          <w:numId w:val="1"/>
        </w:numPr>
        <w:rPr>
          <w:rFonts w:hint="eastAsia" w:asciiTheme="minorEastAsia" w:hAnsiTheme="minorEastAsia" w:eastAsiaTheme="minorEastAsia" w:cstheme="minorEastAsia"/>
          <w:b/>
          <w:sz w:val="21"/>
          <w:szCs w:val="21"/>
          <w:lang w:val="en-US" w:eastAsia="zh-CN"/>
        </w:rPr>
      </w:pPr>
      <w:r>
        <w:rPr>
          <w:rFonts w:hint="eastAsia" w:asciiTheme="minorEastAsia" w:hAnsiTheme="minorEastAsia" w:eastAsiaTheme="minorEastAsia" w:cstheme="minorEastAsia"/>
          <w:b/>
          <w:sz w:val="21"/>
          <w:szCs w:val="21"/>
          <w:lang w:val="en-US" w:eastAsia="zh-CN"/>
        </w:rPr>
        <w:t>为什么南方泵业的毛利率高于新界泵业，如何解读两者所处的竞争地位，和未来的发展前景？</w:t>
      </w:r>
    </w:p>
    <w:p>
      <w:pPr>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南方泵业研发投入情况：</w:t>
      </w:r>
    </w:p>
    <w:p>
      <w:pPr>
        <w:widowControl w:val="0"/>
        <w:numPr>
          <w:ilvl w:val="0"/>
          <w:numId w:val="0"/>
        </w:numPr>
        <w:jc w:val="both"/>
        <w:rPr>
          <w:rFonts w:hint="eastAsia"/>
          <w:lang w:val="en-US" w:eastAsia="zh-CN"/>
        </w:rPr>
      </w:pPr>
      <w:r>
        <w:drawing>
          <wp:inline distT="0" distB="0" distL="114300" distR="114300">
            <wp:extent cx="5273675" cy="5114925"/>
            <wp:effectExtent l="0" t="0" r="3175" b="952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6"/>
                    <a:stretch>
                      <a:fillRect/>
                    </a:stretch>
                  </pic:blipFill>
                  <pic:spPr>
                    <a:xfrm>
                      <a:off x="0" y="0"/>
                      <a:ext cx="5273675" cy="511492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新界泵业研发投入情况：</w:t>
      </w:r>
    </w:p>
    <w:p>
      <w:pPr>
        <w:widowControl w:val="0"/>
        <w:numPr>
          <w:ilvl w:val="0"/>
          <w:numId w:val="0"/>
        </w:numPr>
        <w:jc w:val="both"/>
        <w:rPr>
          <w:rFonts w:hint="eastAsia"/>
          <w:lang w:val="en-US" w:eastAsia="zh-CN"/>
        </w:rPr>
      </w:pPr>
      <w:r>
        <w:drawing>
          <wp:inline distT="0" distB="0" distL="114300" distR="114300">
            <wp:extent cx="5268595" cy="2906395"/>
            <wp:effectExtent l="0" t="0" r="8255" b="825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7"/>
                    <a:stretch>
                      <a:fillRect/>
                    </a:stretch>
                  </pic:blipFill>
                  <pic:spPr>
                    <a:xfrm>
                      <a:off x="0" y="0"/>
                      <a:ext cx="5268595" cy="290639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财务数据显示南方泵业募资投入产出比更加稳定增长，投入产出收益率更高，而且南方泵业研发投入比新界泵业更高</w:t>
      </w:r>
      <w:r>
        <w:rPr>
          <w:rFonts w:hint="default"/>
          <w:lang w:val="en-US" w:eastAsia="zh-CN"/>
        </w:rPr>
        <w:t>,</w:t>
      </w:r>
      <w:r>
        <w:rPr>
          <w:rFonts w:hint="eastAsia"/>
          <w:lang w:val="en-US" w:eastAsia="zh-CN"/>
        </w:rPr>
        <w:t>产品更加有竞争力；</w:t>
      </w:r>
    </w:p>
    <w:p>
      <w:pPr>
        <w:widowControl w:val="0"/>
        <w:numPr>
          <w:ilvl w:val="0"/>
          <w:numId w:val="0"/>
        </w:numPr>
        <w:jc w:val="both"/>
        <w:rPr>
          <w:rFonts w:hint="eastAsia"/>
          <w:lang w:val="en-US" w:eastAsia="zh-CN"/>
        </w:rPr>
      </w:pPr>
    </w:p>
    <w:p>
      <w:pPr>
        <w:pStyle w:val="4"/>
        <w:numPr>
          <w:ilvl w:val="0"/>
          <w:numId w:val="1"/>
        </w:numPr>
        <w:rPr>
          <w:rFonts w:hint="eastAsia" w:asciiTheme="minorEastAsia" w:hAnsiTheme="minorEastAsia" w:eastAsiaTheme="minorEastAsia" w:cstheme="minorEastAsia"/>
          <w:b/>
          <w:sz w:val="21"/>
          <w:szCs w:val="21"/>
          <w:lang w:val="en-US" w:eastAsia="zh-CN"/>
        </w:rPr>
      </w:pPr>
      <w:r>
        <w:rPr>
          <w:rFonts w:hint="eastAsia" w:asciiTheme="minorEastAsia" w:hAnsiTheme="minorEastAsia" w:eastAsiaTheme="minorEastAsia" w:cstheme="minorEastAsia"/>
          <w:b/>
          <w:sz w:val="21"/>
          <w:szCs w:val="21"/>
          <w:lang w:val="en-US" w:eastAsia="zh-CN"/>
        </w:rPr>
        <w:t>支撑两家企业2013年至今股价表现的核心是什么？回站在2011-2012年，公司上市不足3年，募投项目尚未达产，你如何从行业研究中窥探出两家公司未来的长期竞争力？</w:t>
      </w:r>
    </w:p>
    <w:p>
      <w:pPr>
        <w:widowControl w:val="0"/>
        <w:numPr>
          <w:ilvl w:val="0"/>
          <w:numId w:val="0"/>
        </w:numPr>
        <w:jc w:val="both"/>
        <w:rPr>
          <w:rFonts w:hint="eastAsia"/>
          <w:lang w:val="en-US" w:eastAsia="zh-CN"/>
        </w:rPr>
      </w:pPr>
      <w:r>
        <w:rPr>
          <w:rFonts w:hint="eastAsia"/>
          <w:lang w:val="en-US" w:eastAsia="zh-CN"/>
        </w:rPr>
        <w:t>2013年至今两家企业国内市场占有率提高，募集资金之后扩大生产、增加研发投入，拉开竞争对手的差距，产品从低端向高端升级。</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结构替代”和“进口替代”双重驱动保证国产不锈钢冲压焊接泵行业持续快速增长。南方泵业使用的不锈钢冲压焊接泵凭借其在制造和使用过程中的突出优势，未来存在对统铸铁泵的“结构替代”和对国外产品的“进口替代”。两大驱动因素促使不锈钢冲压泵行业增速将远超于泵行业增速水平，未来五年行业的复合增长率可达25%以上，市场发展空间巨大。 新界泵业使用的铸铁泵技术相对落后有被淘汰的风险。</w:t>
      </w:r>
    </w:p>
    <w:p>
      <w:pPr>
        <w:pStyle w:val="3"/>
        <w:rPr>
          <w:rFonts w:hint="eastAsia"/>
          <w:lang w:val="en-US" w:eastAsia="zh-CN"/>
        </w:rPr>
      </w:pPr>
      <w:r>
        <w:rPr>
          <w:rFonts w:hint="eastAsia"/>
          <w:lang w:val="en-US" w:eastAsia="zh-CN"/>
        </w:rPr>
        <w:t>【附加题】</w:t>
      </w:r>
    </w:p>
    <w:p>
      <w:pPr>
        <w:rPr>
          <w:rFonts w:hint="eastAsia"/>
          <w:lang w:val="en-US" w:eastAsia="zh-CN"/>
        </w:rPr>
      </w:pPr>
      <w:r>
        <w:rPr>
          <w:rFonts w:hint="eastAsia"/>
          <w:lang w:val="en-US" w:eastAsia="zh-CN"/>
        </w:rPr>
        <w:t>以下股票来着2015年末恢复IPO后至2016年底上市的次新股，所属行业制造业，最新市盈率&lt;30倍。</w:t>
      </w:r>
    </w:p>
    <w:p>
      <w:pPr>
        <w:pStyle w:val="4"/>
        <w:numPr>
          <w:ilvl w:val="0"/>
          <w:numId w:val="4"/>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查看湘油泵（603319）的招股说明书，写出它的相关上市公司，分析它的竞争态势和未来增长的驱动因素</w:t>
      </w:r>
    </w:p>
    <w:p>
      <w:pPr>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相关上市公司：西泵股份，圣龙股份</w:t>
      </w:r>
    </w:p>
    <w:p>
      <w:pPr>
        <w:rPr>
          <w:rFonts w:hint="eastAsia" w:asciiTheme="minorEastAsia" w:hAnsiTheme="minorEastAsia" w:cstheme="minorEastAsia"/>
          <w:sz w:val="21"/>
          <w:szCs w:val="21"/>
          <w:lang w:val="en-US" w:eastAsia="zh-CN"/>
        </w:rPr>
      </w:pPr>
    </w:p>
    <w:p>
      <w:pPr>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湘油泵产能：231.5</w:t>
      </w:r>
    </w:p>
    <w:p>
      <w:pPr>
        <w:rPr>
          <w:rFonts w:hint="eastAsia" w:asciiTheme="minorEastAsia" w:hAnsiTheme="minorEastAsia" w:cstheme="minorEastAsia"/>
          <w:sz w:val="21"/>
          <w:szCs w:val="21"/>
          <w:lang w:val="en-US" w:eastAsia="zh-CN"/>
        </w:rPr>
      </w:pPr>
      <w:r>
        <w:drawing>
          <wp:inline distT="0" distB="0" distL="114300" distR="114300">
            <wp:extent cx="5271770" cy="6681470"/>
            <wp:effectExtent l="0" t="0" r="5080" b="508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8"/>
                    <a:stretch>
                      <a:fillRect/>
                    </a:stretch>
                  </pic:blipFill>
                  <pic:spPr>
                    <a:xfrm>
                      <a:off x="0" y="0"/>
                      <a:ext cx="5271770" cy="6681470"/>
                    </a:xfrm>
                    <a:prstGeom prst="rect">
                      <a:avLst/>
                    </a:prstGeom>
                    <a:noFill/>
                    <a:ln w="9525">
                      <a:noFill/>
                    </a:ln>
                  </pic:spPr>
                </pic:pic>
              </a:graphicData>
            </a:graphic>
          </wp:inline>
        </w:drawing>
      </w:r>
    </w:p>
    <w:p>
      <w:r>
        <w:drawing>
          <wp:inline distT="0" distB="0" distL="114300" distR="114300">
            <wp:extent cx="5161915" cy="1600200"/>
            <wp:effectExtent l="0" t="0" r="635"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9"/>
                    <a:stretch>
                      <a:fillRect/>
                    </a:stretch>
                  </pic:blipFill>
                  <pic:spPr>
                    <a:xfrm>
                      <a:off x="0" y="0"/>
                      <a:ext cx="5161915" cy="1600200"/>
                    </a:xfrm>
                    <a:prstGeom prst="rect">
                      <a:avLst/>
                    </a:prstGeom>
                    <a:noFill/>
                    <a:ln w="9525">
                      <a:noFill/>
                    </a:ln>
                  </pic:spPr>
                </pic:pic>
              </a:graphicData>
            </a:graphic>
          </wp:inline>
        </w:drawing>
      </w:r>
    </w:p>
    <w:p/>
    <w:p>
      <w:pPr>
        <w:rPr>
          <w:rFonts w:hint="eastAsia" w:ascii="宋体" w:hAnsi="宋体" w:eastAsia="宋体"/>
          <w:color w:val="000000"/>
          <w:sz w:val="23"/>
        </w:rPr>
      </w:pPr>
      <w:r>
        <w:rPr>
          <w:rFonts w:hint="eastAsia" w:ascii="宋体" w:hAnsi="宋体" w:eastAsia="宋体"/>
          <w:color w:val="000000"/>
          <w:sz w:val="23"/>
        </w:rPr>
        <w:t>根据同行业上市汽车或发动机零部件企业的分析，发动机泵类行业产品毛利率约为</w:t>
      </w:r>
      <w:r>
        <w:rPr>
          <w:rFonts w:hint="eastAsia" w:ascii="Times New Roman" w:hAnsi="Times New Roman" w:eastAsia="Times New Roman"/>
          <w:color w:val="000000"/>
          <w:sz w:val="23"/>
        </w:rPr>
        <w:t>20%</w:t>
      </w:r>
      <w:r>
        <w:rPr>
          <w:rFonts w:hint="eastAsia" w:ascii="宋体" w:hAnsi="宋体" w:eastAsia="宋体"/>
          <w:color w:val="000000"/>
          <w:sz w:val="23"/>
        </w:rPr>
        <w:t>左右，行业内若干家具备技术与质量优势、生产规模大的企业，其规模效应明显，毛利率可以达到</w:t>
      </w:r>
      <w:r>
        <w:rPr>
          <w:rFonts w:hint="eastAsia" w:ascii="Times New Roman" w:hAnsi="Times New Roman" w:eastAsia="Times New Roman"/>
          <w:color w:val="000000"/>
          <w:sz w:val="23"/>
        </w:rPr>
        <w:t>25%</w:t>
      </w:r>
      <w:r>
        <w:rPr>
          <w:rFonts w:hint="eastAsia" w:ascii="宋体" w:hAnsi="宋体" w:eastAsia="宋体"/>
          <w:color w:val="000000"/>
          <w:sz w:val="23"/>
        </w:rPr>
        <w:t xml:space="preserve">以上。 </w:t>
      </w:r>
    </w:p>
    <w:p>
      <w:pPr>
        <w:rPr>
          <w:rFonts w:hint="eastAsia" w:ascii="宋体" w:hAnsi="宋体" w:eastAsia="宋体"/>
          <w:color w:val="000000"/>
          <w:sz w:val="23"/>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shd w:val="clear" w:color="auto" w:fill="E7E6E6" w:themeFill="background2"/>
          </w:tcPr>
          <w:p>
            <w:pPr>
              <w:rPr>
                <w:rFonts w:hint="eastAsia" w:ascii="宋体" w:hAnsi="宋体" w:eastAsia="宋体"/>
                <w:b/>
                <w:bCs/>
                <w:color w:val="000000"/>
                <w:sz w:val="23"/>
                <w:vertAlign w:val="baseline"/>
                <w:lang w:val="en-US" w:eastAsia="zh-CN"/>
              </w:rPr>
            </w:pPr>
            <w:r>
              <w:rPr>
                <w:rFonts w:hint="eastAsia" w:ascii="宋体" w:hAnsi="宋体" w:eastAsia="宋体"/>
                <w:b/>
                <w:bCs/>
                <w:color w:val="000000"/>
                <w:sz w:val="23"/>
                <w:vertAlign w:val="baseline"/>
                <w:lang w:val="en-US" w:eastAsia="zh-CN"/>
              </w:rPr>
              <w:t>公司名称</w:t>
            </w:r>
          </w:p>
        </w:tc>
        <w:tc>
          <w:tcPr>
            <w:tcW w:w="4261" w:type="dxa"/>
            <w:shd w:val="clear" w:color="auto" w:fill="E7E6E6" w:themeFill="background2"/>
          </w:tcPr>
          <w:p>
            <w:pPr>
              <w:rPr>
                <w:rFonts w:hint="eastAsia" w:ascii="宋体" w:hAnsi="宋体" w:eastAsia="宋体"/>
                <w:b/>
                <w:bCs/>
                <w:color w:val="000000"/>
                <w:sz w:val="23"/>
                <w:vertAlign w:val="baseline"/>
                <w:lang w:val="en-US" w:eastAsia="zh-CN"/>
              </w:rPr>
            </w:pPr>
            <w:r>
              <w:rPr>
                <w:rFonts w:hint="eastAsia" w:ascii="宋体" w:hAnsi="宋体" w:eastAsia="宋体"/>
                <w:b/>
                <w:bCs/>
                <w:color w:val="000000"/>
                <w:sz w:val="23"/>
                <w:vertAlign w:val="baseline"/>
                <w:lang w:val="en-US" w:eastAsia="zh-CN"/>
              </w:rPr>
              <w:t>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rPr>
                <w:rFonts w:hint="eastAsia" w:ascii="宋体" w:hAnsi="宋体" w:eastAsia="宋体"/>
                <w:color w:val="000000"/>
                <w:sz w:val="23"/>
                <w:vertAlign w:val="baseline"/>
                <w:lang w:val="en-US" w:eastAsia="zh-CN"/>
              </w:rPr>
            </w:pPr>
            <w:r>
              <w:rPr>
                <w:rFonts w:hint="eastAsia" w:ascii="宋体" w:hAnsi="宋体" w:eastAsia="宋体"/>
                <w:color w:val="000000"/>
                <w:sz w:val="23"/>
                <w:vertAlign w:val="baseline"/>
                <w:lang w:val="en-US" w:eastAsia="zh-CN"/>
              </w:rPr>
              <w:t>湘油泵</w:t>
            </w:r>
          </w:p>
        </w:tc>
        <w:tc>
          <w:tcPr>
            <w:tcW w:w="4261" w:type="dxa"/>
          </w:tcPr>
          <w:p>
            <w:pPr>
              <w:rPr>
                <w:rFonts w:hint="eastAsia" w:ascii="宋体" w:hAnsi="宋体" w:eastAsia="宋体"/>
                <w:color w:val="000000"/>
                <w:sz w:val="23"/>
                <w:vertAlign w:val="baseline"/>
                <w:lang w:val="en-US" w:eastAsia="zh-CN"/>
              </w:rPr>
            </w:pPr>
            <w:r>
              <w:rPr>
                <w:rFonts w:hint="eastAsia" w:ascii="宋体" w:hAnsi="宋体" w:eastAsia="宋体"/>
                <w:color w:val="000000"/>
                <w:sz w:val="23"/>
                <w:vertAlign w:val="baseline"/>
                <w:lang w:val="en-US" w:eastAsia="zh-CN"/>
              </w:rPr>
              <w:t>231.5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rPr>
                <w:rFonts w:hint="eastAsia" w:ascii="宋体" w:hAnsi="宋体" w:eastAsia="宋体"/>
                <w:color w:val="000000"/>
                <w:sz w:val="23"/>
                <w:vertAlign w:val="baseline"/>
                <w:lang w:val="en-US" w:eastAsia="zh-CN"/>
              </w:rPr>
            </w:pPr>
            <w:r>
              <w:rPr>
                <w:rFonts w:hint="eastAsia" w:ascii="宋体" w:hAnsi="宋体" w:eastAsia="宋体"/>
                <w:color w:val="000000"/>
                <w:sz w:val="23"/>
                <w:vertAlign w:val="baseline"/>
                <w:lang w:val="en-US" w:eastAsia="zh-CN"/>
              </w:rPr>
              <w:t>西泵股份</w:t>
            </w:r>
          </w:p>
        </w:tc>
        <w:tc>
          <w:tcPr>
            <w:tcW w:w="4261" w:type="dxa"/>
          </w:tcPr>
          <w:p>
            <w:pPr>
              <w:rPr>
                <w:rFonts w:hint="eastAsia" w:ascii="宋体" w:hAnsi="宋体" w:eastAsia="宋体"/>
                <w:color w:val="000000"/>
                <w:sz w:val="23"/>
                <w:vertAlign w:val="baseline"/>
                <w:lang w:val="en-US" w:eastAsia="zh-CN"/>
              </w:rPr>
            </w:pPr>
            <w:r>
              <w:rPr>
                <w:rFonts w:hint="eastAsia" w:ascii="宋体" w:hAnsi="宋体" w:eastAsia="宋体"/>
                <w:color w:val="000000"/>
                <w:sz w:val="23"/>
                <w:vertAlign w:val="baseline"/>
                <w:lang w:val="en-US" w:eastAsia="zh-CN"/>
              </w:rPr>
              <w:t>800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rPr>
                <w:rFonts w:hint="eastAsia" w:ascii="宋体" w:hAnsi="宋体" w:eastAsia="宋体"/>
                <w:color w:val="000000"/>
                <w:sz w:val="23"/>
                <w:vertAlign w:val="baseline"/>
                <w:lang w:val="en-US" w:eastAsia="zh-CN"/>
              </w:rPr>
            </w:pPr>
            <w:r>
              <w:rPr>
                <w:rFonts w:hint="eastAsia" w:ascii="宋体" w:hAnsi="宋体" w:eastAsia="宋体"/>
                <w:color w:val="000000"/>
                <w:sz w:val="23"/>
                <w:vertAlign w:val="baseline"/>
                <w:lang w:val="en-US" w:eastAsia="zh-CN"/>
              </w:rPr>
              <w:t>圣龙股份</w:t>
            </w:r>
          </w:p>
        </w:tc>
        <w:tc>
          <w:tcPr>
            <w:tcW w:w="4261" w:type="dxa"/>
          </w:tcPr>
          <w:p>
            <w:pPr>
              <w:rPr>
                <w:rFonts w:hint="eastAsia" w:ascii="宋体" w:hAnsi="宋体" w:eastAsia="宋体"/>
                <w:color w:val="000000"/>
                <w:sz w:val="23"/>
                <w:vertAlign w:val="baseline"/>
                <w:lang w:val="en-US" w:eastAsia="zh-CN"/>
              </w:rPr>
            </w:pPr>
            <w:r>
              <w:rPr>
                <w:rFonts w:hint="eastAsia" w:ascii="宋体" w:hAnsi="宋体" w:eastAsia="宋体"/>
                <w:color w:val="000000"/>
                <w:sz w:val="23"/>
                <w:vertAlign w:val="baseline"/>
                <w:lang w:val="en-US" w:eastAsia="zh-CN"/>
              </w:rPr>
              <w:t>506</w:t>
            </w:r>
          </w:p>
        </w:tc>
      </w:tr>
    </w:tbl>
    <w:p>
      <w:pPr>
        <w:rPr>
          <w:rFonts w:hint="eastAsia" w:asciiTheme="minorEastAsia" w:hAnsiTheme="minorEastAsia" w:cstheme="minorEastAsia"/>
          <w:sz w:val="21"/>
          <w:szCs w:val="21"/>
          <w:lang w:val="en-US" w:eastAsia="zh-CN"/>
        </w:rPr>
      </w:pPr>
      <w:r>
        <w:rPr>
          <w:rFonts w:hint="eastAsia" w:ascii="宋体" w:hAnsi="宋体" w:eastAsia="宋体"/>
          <w:color w:val="000000"/>
          <w:sz w:val="23"/>
          <w:lang w:val="en-US" w:eastAsia="zh-CN"/>
        </w:rPr>
        <w:t xml:space="preserve"> </w:t>
      </w:r>
    </w:p>
    <w:p>
      <w:r>
        <w:drawing>
          <wp:inline distT="0" distB="0" distL="114300" distR="114300">
            <wp:extent cx="4885690" cy="4447540"/>
            <wp:effectExtent l="0" t="0" r="10160" b="1016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0"/>
                    <a:stretch>
                      <a:fillRect/>
                    </a:stretch>
                  </pic:blipFill>
                  <pic:spPr>
                    <a:xfrm>
                      <a:off x="0" y="0"/>
                      <a:ext cx="4885690" cy="4447540"/>
                    </a:xfrm>
                    <a:prstGeom prst="rect">
                      <a:avLst/>
                    </a:prstGeom>
                    <a:noFill/>
                    <a:ln w="9525">
                      <a:noFill/>
                    </a:ln>
                  </pic:spPr>
                </pic:pic>
              </a:graphicData>
            </a:graphic>
          </wp:inline>
        </w:drawing>
      </w:r>
    </w:p>
    <w:p/>
    <w:p>
      <w:pPr>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分析：行业集中度低，发展空间大！</w:t>
      </w:r>
    </w:p>
    <w:p>
      <w:pPr>
        <w:widowControl w:val="0"/>
        <w:numPr>
          <w:ilvl w:val="0"/>
          <w:numId w:val="0"/>
        </w:numPr>
        <w:jc w:val="both"/>
        <w:rPr>
          <w:rFonts w:hint="eastAsia"/>
          <w:lang w:val="en-US" w:eastAsia="zh-CN"/>
        </w:rPr>
      </w:pPr>
    </w:p>
    <w:p>
      <w:pPr>
        <w:spacing w:beforeLines="0" w:afterLines="0"/>
        <w:jc w:val="left"/>
        <w:rPr>
          <w:rFonts w:hint="eastAsia" w:ascii="宋体" w:hAnsi="宋体" w:eastAsia="宋体"/>
          <w:color w:val="000000"/>
          <w:sz w:val="23"/>
          <w:lang w:val="en-US" w:eastAsia="zh-CN"/>
        </w:rPr>
      </w:pPr>
      <w:r>
        <w:rPr>
          <w:rFonts w:hint="eastAsia" w:ascii="宋体" w:hAnsi="宋体" w:eastAsia="宋体"/>
          <w:color w:val="000000"/>
          <w:sz w:val="23"/>
          <w:lang w:val="en-US" w:eastAsia="zh-CN"/>
        </w:rPr>
        <w:t>招股说明书：</w:t>
      </w:r>
    </w:p>
    <w:p>
      <w:pPr>
        <w:spacing w:beforeLines="0" w:afterLines="0"/>
        <w:jc w:val="left"/>
        <w:rPr>
          <w:rFonts w:hint="eastAsia" w:ascii="宋体" w:hAnsi="宋体" w:eastAsia="宋体"/>
          <w:color w:val="000000"/>
          <w:sz w:val="23"/>
        </w:rPr>
      </w:pPr>
      <w:r>
        <w:rPr>
          <w:rFonts w:hint="eastAsia" w:ascii="宋体" w:hAnsi="宋体" w:eastAsia="宋体"/>
          <w:color w:val="000000"/>
          <w:sz w:val="23"/>
        </w:rPr>
        <w:t xml:space="preserve">是实现规模化生产、提高经济效益的需要 </w:t>
      </w:r>
    </w:p>
    <w:p>
      <w:pPr>
        <w:spacing w:beforeLines="0" w:afterLines="0"/>
        <w:jc w:val="left"/>
        <w:rPr>
          <w:rFonts w:hint="eastAsia"/>
          <w:lang w:val="en-US" w:eastAsia="zh-CN"/>
        </w:rPr>
      </w:pPr>
      <w:r>
        <w:rPr>
          <w:rFonts w:hint="eastAsia" w:ascii="宋体" w:hAnsi="宋体" w:eastAsia="宋体"/>
          <w:color w:val="000000"/>
          <w:sz w:val="23"/>
        </w:rPr>
        <w:t>发动机泵类行业具有典型的边际成本递减、边际效益递增特征。目前我国发动机泵类行业生产企业多，</w:t>
      </w:r>
      <w:r>
        <w:rPr>
          <w:rFonts w:hint="eastAsia" w:ascii="宋体" w:hAnsi="宋体" w:eastAsia="宋体"/>
          <w:color w:val="FF0000"/>
          <w:sz w:val="23"/>
        </w:rPr>
        <w:t>普遍生产规模小、集中度低，市场竞争力弱</w:t>
      </w:r>
      <w:r>
        <w:rPr>
          <w:rFonts w:hint="eastAsia" w:ascii="宋体" w:hAnsi="宋体" w:eastAsia="宋体"/>
          <w:color w:val="000000"/>
          <w:sz w:val="23"/>
        </w:rPr>
        <w:t>。发展国家级的泵类产品制造龙头企业，提高规模化和专业化生产水平是发动机泵类行业发展的必然趋势。本次扩能建设项目实施后，公司的泵类产品年总生产能力将达到近</w:t>
      </w:r>
      <w:r>
        <w:rPr>
          <w:rFonts w:hint="eastAsia" w:ascii="Times New Roman" w:hAnsi="Times New Roman" w:eastAsia="Times New Roman"/>
          <w:color w:val="000000"/>
          <w:sz w:val="23"/>
        </w:rPr>
        <w:t>600</w:t>
      </w:r>
      <w:r>
        <w:rPr>
          <w:rFonts w:hint="eastAsia" w:ascii="宋体" w:hAnsi="宋体" w:eastAsia="宋体"/>
          <w:color w:val="000000"/>
          <w:sz w:val="23"/>
        </w:rPr>
        <w:t xml:space="preserve">万台，这不仅是规模经济生产的需要，也是提高行业的集中度、提高经济效益和综合竞争力的需要。 </w:t>
      </w:r>
    </w:p>
    <w:p>
      <w:pPr>
        <w:widowControl w:val="0"/>
        <w:numPr>
          <w:ilvl w:val="0"/>
          <w:numId w:val="0"/>
        </w:numPr>
        <w:jc w:val="both"/>
      </w:pPr>
      <w:r>
        <w:drawing>
          <wp:inline distT="0" distB="0" distL="114300" distR="114300">
            <wp:extent cx="5273675" cy="3959860"/>
            <wp:effectExtent l="0" t="0" r="3175" b="254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1"/>
                    <a:stretch>
                      <a:fillRect/>
                    </a:stretch>
                  </pic:blipFill>
                  <pic:spPr>
                    <a:xfrm>
                      <a:off x="0" y="0"/>
                      <a:ext cx="5273675" cy="3959860"/>
                    </a:xfrm>
                    <a:prstGeom prst="rect">
                      <a:avLst/>
                    </a:prstGeom>
                    <a:noFill/>
                    <a:ln w="9525">
                      <a:noFill/>
                    </a:ln>
                  </pic:spPr>
                </pic:pic>
              </a:graphicData>
            </a:graphic>
          </wp:inline>
        </w:drawing>
      </w:r>
      <w:bookmarkStart w:id="0" w:name="_GoBack"/>
      <w:bookmarkEnd w:id="0"/>
    </w:p>
    <w:p>
      <w:pPr>
        <w:widowControl w:val="0"/>
        <w:numPr>
          <w:ilvl w:val="0"/>
          <w:numId w:val="0"/>
        </w:numPr>
        <w:jc w:val="both"/>
        <w:rPr>
          <w:rFonts w:hint="eastAsia"/>
          <w:lang w:val="en-US" w:eastAsia="zh-CN"/>
        </w:rPr>
      </w:pPr>
    </w:p>
    <w:p>
      <w:pPr>
        <w:pStyle w:val="4"/>
        <w:numPr>
          <w:ilvl w:val="0"/>
          <w:numId w:val="4"/>
        </w:numPr>
        <w:rPr>
          <w:rFonts w:hint="eastAsia" w:asciiTheme="minorEastAsia" w:hAnsiTheme="minorEastAsia" w:eastAsiaTheme="minorEastAsia" w:cstheme="minorEastAsia"/>
          <w:b/>
          <w:sz w:val="21"/>
          <w:szCs w:val="21"/>
          <w:lang w:val="en-US" w:eastAsia="zh-CN"/>
        </w:rPr>
      </w:pPr>
      <w:r>
        <w:rPr>
          <w:rFonts w:hint="eastAsia" w:asciiTheme="minorEastAsia" w:hAnsiTheme="minorEastAsia" w:eastAsiaTheme="minorEastAsia" w:cstheme="minorEastAsia"/>
          <w:b/>
          <w:sz w:val="21"/>
          <w:szCs w:val="21"/>
          <w:lang w:val="en-US" w:eastAsia="zh-CN"/>
        </w:rPr>
        <w:t>查看杭州叉车（603298）的招股说明书，写出它的相关上市公司，分析它的竞争态势和未来增长的驱动因素</w:t>
      </w:r>
    </w:p>
    <w:p>
      <w:pPr>
        <w:rPr>
          <w:rFonts w:hint="eastAsia" w:asciiTheme="minorEastAsia" w:hAnsiTheme="minorEastAsia" w:cstheme="minorEastAsia"/>
          <w:b w:val="0"/>
          <w:bCs/>
          <w:sz w:val="21"/>
          <w:szCs w:val="21"/>
          <w:lang w:val="en-US" w:eastAsia="zh-CN"/>
        </w:rPr>
      </w:pPr>
      <w:r>
        <w:rPr>
          <w:rFonts w:hint="eastAsia" w:asciiTheme="minorEastAsia" w:hAnsiTheme="minorEastAsia" w:cstheme="minorEastAsia"/>
          <w:b w:val="0"/>
          <w:bCs/>
          <w:sz w:val="21"/>
          <w:szCs w:val="21"/>
          <w:lang w:val="en-US" w:eastAsia="zh-CN"/>
        </w:rPr>
        <w:t>相关上市公司：安徽合力、中国龙工（港股）</w:t>
      </w:r>
    </w:p>
    <w:p>
      <w:r>
        <w:drawing>
          <wp:inline distT="0" distB="0" distL="114300" distR="114300">
            <wp:extent cx="5266690" cy="1590675"/>
            <wp:effectExtent l="0" t="0" r="10160" b="952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2"/>
                    <a:stretch>
                      <a:fillRect/>
                    </a:stretch>
                  </pic:blipFill>
                  <pic:spPr>
                    <a:xfrm>
                      <a:off x="0" y="0"/>
                      <a:ext cx="5266690" cy="1590675"/>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69865" cy="2790825"/>
            <wp:effectExtent l="0" t="0" r="6985" b="952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3"/>
                    <a:stretch>
                      <a:fillRect/>
                    </a:stretch>
                  </pic:blipFill>
                  <pic:spPr>
                    <a:xfrm>
                      <a:off x="0" y="0"/>
                      <a:ext cx="5269865" cy="2790825"/>
                    </a:xfrm>
                    <a:prstGeom prst="rect">
                      <a:avLst/>
                    </a:prstGeom>
                    <a:noFill/>
                    <a:ln w="9525">
                      <a:noFill/>
                    </a:ln>
                  </pic:spPr>
                </pic:pic>
              </a:graphicData>
            </a:graphic>
          </wp:inline>
        </w:drawing>
      </w:r>
    </w:p>
    <w:p>
      <w:pPr>
        <w:rPr>
          <w:rFonts w:hint="eastAsia" w:asciiTheme="minorEastAsia" w:hAnsiTheme="minorEastAsia" w:cstheme="minorEastAsia"/>
          <w:b w:val="0"/>
          <w:bCs/>
          <w:sz w:val="21"/>
          <w:szCs w:val="21"/>
          <w:lang w:val="en-US" w:eastAsia="zh-CN"/>
        </w:rPr>
      </w:pPr>
    </w:p>
    <w:p>
      <w:pPr>
        <w:rPr>
          <w:rFonts w:hint="eastAsia" w:ascii="Times New Roman" w:hAnsi="Times New Roman" w:eastAsia="Times New Roman"/>
          <w:color w:val="000000"/>
          <w:sz w:val="21"/>
        </w:rPr>
      </w:pPr>
      <w:r>
        <w:rPr>
          <w:rFonts w:hint="eastAsia" w:ascii="宋体" w:hAnsi="宋体" w:eastAsia="宋体"/>
          <w:color w:val="000000"/>
          <w:sz w:val="21"/>
        </w:rPr>
        <w:t>前十家企业的销售台量占我国同类型叉车销量的</w:t>
      </w:r>
      <w:r>
        <w:rPr>
          <w:rFonts w:hint="eastAsia" w:ascii="Times New Roman" w:hAnsi="Times New Roman" w:eastAsia="Times New Roman"/>
          <w:color w:val="000000"/>
          <w:sz w:val="21"/>
        </w:rPr>
        <w:t>81.00%</w:t>
      </w:r>
    </w:p>
    <w:p>
      <w:r>
        <w:drawing>
          <wp:inline distT="0" distB="0" distL="114300" distR="114300">
            <wp:extent cx="5057140" cy="2914015"/>
            <wp:effectExtent l="0" t="0" r="10160" b="63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24"/>
                    <a:stretch>
                      <a:fillRect/>
                    </a:stretch>
                  </pic:blipFill>
                  <pic:spPr>
                    <a:xfrm>
                      <a:off x="0" y="0"/>
                      <a:ext cx="5057140" cy="2914015"/>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28590" cy="1647825"/>
            <wp:effectExtent l="0" t="0" r="10160" b="9525"/>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25"/>
                    <a:stretch>
                      <a:fillRect/>
                    </a:stretch>
                  </pic:blipFill>
                  <pic:spPr>
                    <a:xfrm>
                      <a:off x="0" y="0"/>
                      <a:ext cx="5228590" cy="164782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分析：行业集中度高，竞争激烈！</w:t>
      </w:r>
    </w:p>
    <w:p>
      <w:pPr>
        <w:widowControl w:val="0"/>
        <w:numPr>
          <w:ilvl w:val="0"/>
          <w:numId w:val="0"/>
        </w:numPr>
        <w:jc w:val="both"/>
        <w:rPr>
          <w:rFonts w:hint="eastAsia"/>
          <w:lang w:val="en-US" w:eastAsia="zh-CN"/>
        </w:rPr>
      </w:pPr>
      <w:r>
        <w:rPr>
          <w:rFonts w:hint="eastAsia"/>
          <w:lang w:val="en-US" w:eastAsia="zh-CN"/>
        </w:rPr>
        <w:t>招股说明书：</w:t>
      </w:r>
    </w:p>
    <w:p>
      <w:pPr>
        <w:widowControl w:val="0"/>
        <w:numPr>
          <w:ilvl w:val="0"/>
          <w:numId w:val="0"/>
        </w:numPr>
        <w:jc w:val="both"/>
      </w:pPr>
      <w:r>
        <w:drawing>
          <wp:inline distT="0" distB="0" distL="114300" distR="114300">
            <wp:extent cx="5273675" cy="5713095"/>
            <wp:effectExtent l="0" t="0" r="3175" b="190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6"/>
                    <a:stretch>
                      <a:fillRect/>
                    </a:stretch>
                  </pic:blipFill>
                  <pic:spPr>
                    <a:xfrm>
                      <a:off x="0" y="0"/>
                      <a:ext cx="5273675" cy="571309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r>
        <w:drawing>
          <wp:inline distT="0" distB="0" distL="114300" distR="114300">
            <wp:extent cx="5267960" cy="6045200"/>
            <wp:effectExtent l="0" t="0" r="8890" b="1270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7"/>
                    <a:stretch>
                      <a:fillRect/>
                    </a:stretch>
                  </pic:blipFill>
                  <pic:spPr>
                    <a:xfrm>
                      <a:off x="0" y="0"/>
                      <a:ext cx="5267960" cy="604520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最近大宗交易：</w:t>
      </w:r>
      <w:r>
        <w:rPr>
          <w:rFonts w:hint="eastAsia" w:ascii="宋体" w:hAnsi="宋体" w:eastAsia="宋体" w:cs="宋体"/>
          <w:i w:val="0"/>
          <w:color w:val="000000"/>
          <w:kern w:val="0"/>
          <w:sz w:val="22"/>
          <w:szCs w:val="22"/>
          <w:u w:val="none"/>
          <w:lang w:val="en-US" w:eastAsia="zh-CN" w:bidi="ar"/>
        </w:rPr>
        <w:t>121,709,455.63</w:t>
      </w:r>
      <w:r>
        <w:rPr>
          <w:rFonts w:hint="eastAsia"/>
          <w:lang w:val="en-US" w:eastAsia="zh-CN"/>
        </w:rPr>
        <w:t xml:space="preserve"> 元，即1.21亿。</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4"/>
        <w:numPr>
          <w:ilvl w:val="0"/>
          <w:numId w:val="4"/>
        </w:numPr>
        <w:rPr>
          <w:rFonts w:hint="eastAsia" w:ascii="宋体" w:hAnsi="宋体" w:eastAsia="宋体"/>
          <w:color w:val="000000"/>
          <w:sz w:val="23"/>
          <w:lang w:val="en-US" w:eastAsia="zh-CN"/>
        </w:rPr>
      </w:pPr>
      <w:r>
        <w:rPr>
          <w:rFonts w:hint="eastAsia" w:asciiTheme="minorEastAsia" w:hAnsiTheme="minorEastAsia" w:eastAsiaTheme="minorEastAsia" w:cstheme="minorEastAsia"/>
          <w:b/>
          <w:sz w:val="21"/>
          <w:szCs w:val="21"/>
          <w:lang w:val="en-US" w:eastAsia="zh-CN"/>
        </w:rPr>
        <w:t>查看四方冷链（603339）的招股说明书，写出它的相关上市公司，分析它的竞争态势和未来增长的驱动因素</w:t>
      </w:r>
    </w:p>
    <w:p>
      <w:pPr>
        <w:widowControl w:val="0"/>
        <w:numPr>
          <w:ilvl w:val="0"/>
          <w:numId w:val="0"/>
        </w:numPr>
        <w:jc w:val="both"/>
        <w:rPr>
          <w:rFonts w:hint="eastAsia" w:ascii="宋体" w:hAnsi="宋体" w:eastAsia="宋体"/>
          <w:color w:val="000000"/>
          <w:sz w:val="23"/>
          <w:lang w:val="en-US" w:eastAsia="zh-CN"/>
        </w:rPr>
      </w:pPr>
      <w:r>
        <w:rPr>
          <w:rFonts w:hint="eastAsia" w:ascii="宋体" w:hAnsi="宋体" w:eastAsia="宋体"/>
          <w:color w:val="000000"/>
          <w:sz w:val="23"/>
          <w:lang w:val="en-US" w:eastAsia="zh-CN"/>
        </w:rPr>
        <w:t>相关上市公司：冰轮环境，雪人股份，汉钟精机</w:t>
      </w:r>
    </w:p>
    <w:p>
      <w:pPr>
        <w:widowControl w:val="0"/>
        <w:numPr>
          <w:ilvl w:val="0"/>
          <w:numId w:val="0"/>
        </w:numPr>
        <w:jc w:val="both"/>
        <w:rPr>
          <w:rFonts w:hint="eastAsia" w:ascii="宋体" w:hAnsi="宋体" w:eastAsia="宋体"/>
          <w:color w:val="000000"/>
          <w:sz w:val="23"/>
          <w:lang w:val="en-US" w:eastAsia="zh-CN"/>
        </w:rPr>
      </w:pPr>
    </w:p>
    <w:p>
      <w:pPr>
        <w:widowControl w:val="0"/>
        <w:numPr>
          <w:ilvl w:val="0"/>
          <w:numId w:val="0"/>
        </w:numPr>
        <w:jc w:val="both"/>
        <w:rPr>
          <w:rFonts w:hint="eastAsia" w:ascii="宋体" w:hAnsi="宋体" w:eastAsia="宋体"/>
          <w:color w:val="000000"/>
          <w:sz w:val="23"/>
          <w:lang w:val="en-US" w:eastAsia="zh-CN"/>
        </w:rPr>
      </w:pPr>
      <w:r>
        <w:rPr>
          <w:rFonts w:hint="eastAsia" w:ascii="宋体" w:hAnsi="宋体" w:eastAsia="宋体"/>
          <w:color w:val="000000"/>
          <w:sz w:val="23"/>
          <w:lang w:val="en-US" w:eastAsia="zh-CN"/>
        </w:rPr>
        <w:t>分析：行业集中度不断提高。</w:t>
      </w:r>
    </w:p>
    <w:p>
      <w:pPr>
        <w:widowControl w:val="0"/>
        <w:numPr>
          <w:ilvl w:val="0"/>
          <w:numId w:val="0"/>
        </w:numPr>
        <w:jc w:val="both"/>
        <w:rPr>
          <w:rFonts w:hint="eastAsia" w:ascii="宋体" w:hAnsi="宋体" w:eastAsia="宋体"/>
          <w:color w:val="000000"/>
          <w:sz w:val="23"/>
          <w:lang w:val="en-US" w:eastAsia="zh-CN"/>
        </w:rPr>
      </w:pPr>
    </w:p>
    <w:p>
      <w:pPr>
        <w:widowControl w:val="0"/>
        <w:numPr>
          <w:ilvl w:val="0"/>
          <w:numId w:val="0"/>
        </w:numPr>
        <w:jc w:val="both"/>
        <w:rPr>
          <w:rFonts w:hint="default" w:ascii="宋体" w:hAnsi="宋体" w:eastAsia="宋体"/>
          <w:color w:val="000000"/>
          <w:sz w:val="23"/>
        </w:rPr>
      </w:pPr>
      <w:r>
        <w:rPr>
          <w:rFonts w:hint="eastAsia" w:ascii="宋体" w:hAnsi="宋体" w:eastAsia="宋体"/>
          <w:color w:val="000000"/>
          <w:sz w:val="23"/>
          <w:lang w:val="en-US" w:eastAsia="zh-CN"/>
        </w:rPr>
        <w:t>招股说明书：</w:t>
      </w:r>
      <w:r>
        <w:rPr>
          <w:rFonts w:hint="default" w:ascii="宋体" w:hAnsi="宋体" w:eastAsia="宋体"/>
          <w:color w:val="000000"/>
          <w:sz w:val="23"/>
        </w:rPr>
        <w:t>长期以来，凭借较高的技术含量及产品附加值，冷冻设备制造业的利润水平一直保持稳中有升的良好发展态势，在行业集中度不断提高的趋势下，具备技术优势、品牌优势、规模优势及成本控制能力的冷冻设备生产企业将获得更高的利润水平。</w:t>
      </w:r>
    </w:p>
    <w:p>
      <w:pPr>
        <w:widowControl w:val="0"/>
        <w:numPr>
          <w:ilvl w:val="0"/>
          <w:numId w:val="0"/>
        </w:numPr>
        <w:jc w:val="both"/>
      </w:pPr>
      <w:r>
        <w:drawing>
          <wp:inline distT="0" distB="0" distL="114300" distR="114300">
            <wp:extent cx="5266690" cy="5060315"/>
            <wp:effectExtent l="0" t="0" r="10160" b="698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8"/>
                    <a:stretch>
                      <a:fillRect/>
                    </a:stretch>
                  </pic:blipFill>
                  <pic:spPr>
                    <a:xfrm>
                      <a:off x="0" y="0"/>
                      <a:ext cx="5266690" cy="506031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pStyle w:val="4"/>
        <w:numPr>
          <w:ilvl w:val="0"/>
          <w:numId w:val="4"/>
        </w:numPr>
        <w:rPr>
          <w:rFonts w:hint="eastAsia" w:asciiTheme="minorEastAsia" w:hAnsiTheme="minorEastAsia" w:eastAsiaTheme="minorEastAsia" w:cstheme="minorEastAsia"/>
          <w:b/>
          <w:sz w:val="21"/>
          <w:szCs w:val="21"/>
          <w:lang w:val="en-US" w:eastAsia="zh-CN"/>
        </w:rPr>
      </w:pPr>
      <w:r>
        <w:rPr>
          <w:rFonts w:hint="eastAsia" w:asciiTheme="minorEastAsia" w:hAnsiTheme="minorEastAsia" w:eastAsiaTheme="minorEastAsia" w:cstheme="minorEastAsia"/>
          <w:b/>
          <w:sz w:val="21"/>
          <w:szCs w:val="21"/>
          <w:lang w:val="en-US" w:eastAsia="zh-CN"/>
        </w:rPr>
        <w:t>给以上三家公司按吸引力排序</w:t>
      </w:r>
    </w:p>
    <w:p>
      <w:pPr>
        <w:widowControl w:val="0"/>
        <w:numPr>
          <w:ilvl w:val="0"/>
          <w:numId w:val="0"/>
        </w:numPr>
        <w:jc w:val="both"/>
        <w:rPr>
          <w:rFonts w:hint="eastAsia"/>
          <w:lang w:val="en-US" w:eastAsia="zh-CN"/>
        </w:rPr>
      </w:pPr>
      <w:r>
        <w:rPr>
          <w:rFonts w:hint="eastAsia"/>
          <w:lang w:val="en-US" w:eastAsia="zh-CN"/>
        </w:rPr>
        <w:t>湘油泵 &gt; 四方冷链 &gt; 杭州叉车</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43"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Tahoma">
    <w:panose1 w:val="020B0604030504040204"/>
    <w:charset w:val="00"/>
    <w:family w:val="auto"/>
    <w:pitch w:val="default"/>
    <w:sig w:usb0="E1002EFF" w:usb1="C000605B" w:usb2="00000029" w:usb3="00000000" w:csb0="200101FF" w:csb1="20280000"/>
  </w:font>
  <w:font w:name="微软雅黑">
    <w:panose1 w:val="020B0503020204020204"/>
    <w:charset w:val="86"/>
    <w:family w:val="auto"/>
    <w:pitch w:val="default"/>
    <w:sig w:usb0="80000287" w:usb1="28CF3C52" w:usb2="00000016" w:usb3="00000000" w:csb0="0004001F" w:csb1="00000000"/>
  </w:font>
  <w:font w:name="Calibri Light">
    <w:panose1 w:val="020F0302020204030204"/>
    <w:charset w:val="00"/>
    <w:family w:val="auto"/>
    <w:pitch w:val="default"/>
    <w:sig w:usb0="A00002EF" w:usb1="4000207B" w:usb2="00000000" w:usb3="00000000" w:csb0="2000019F" w:csb1="00000000"/>
  </w:font>
  <w:font w:name="Arial">
    <w:panose1 w:val="020B0604020202020204"/>
    <w:charset w:val="00"/>
    <w:family w:val="auto"/>
    <w:pitch w:val="default"/>
    <w:sig w:usb0="E0002EFF" w:usb1="C0007843" w:usb2="00000009" w:usb3="00000000" w:csb0="400001FF" w:csb1="FFFF0000"/>
  </w:font>
  <w:font w:name="Calibri">
    <w:panose1 w:val="020F0502020204030204"/>
    <w:charset w:val="86"/>
    <w:family w:val="auto"/>
    <w:pitch w:val="default"/>
    <w:sig w:usb0="E00002FF" w:usb1="4000ACFF" w:usb2="00000001" w:usb3="00000000" w:csb0="2000019F" w:csb1="00000000"/>
  </w:font>
  <w:font w:name="KaiTi_GB2312">
    <w:altName w:val="宋体"/>
    <w:panose1 w:val="00000000000000000000"/>
    <w:charset w:val="86"/>
    <w:family w:val="swiss"/>
    <w:pitch w:val="default"/>
    <w:sig w:usb0="00000000" w:usb1="00000000" w:usb2="00000000" w:usb3="00000000" w:csb0="00040000" w:csb1="00000000"/>
  </w:font>
  <w:font w:name="Arial">
    <w:panose1 w:val="020B0604020202020204"/>
    <w:charset w:val="86"/>
    <w:family w:val="swiss"/>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BE5B11"/>
    <w:multiLevelType w:val="singleLevel"/>
    <w:tmpl w:val="5ABE5B11"/>
    <w:lvl w:ilvl="0" w:tentative="0">
      <w:start w:val="1"/>
      <w:numFmt w:val="decimal"/>
      <w:lvlText w:val="%1."/>
      <w:lvlJc w:val="left"/>
      <w:pPr>
        <w:ind w:left="425" w:hanging="425"/>
      </w:pPr>
      <w:rPr>
        <w:rFonts w:hint="default"/>
      </w:rPr>
    </w:lvl>
  </w:abstractNum>
  <w:abstractNum w:abstractNumId="1">
    <w:nsid w:val="5ABEE2D7"/>
    <w:multiLevelType w:val="singleLevel"/>
    <w:tmpl w:val="5ABEE2D7"/>
    <w:lvl w:ilvl="0" w:tentative="0">
      <w:start w:val="1"/>
      <w:numFmt w:val="decimal"/>
      <w:lvlText w:val="%1."/>
      <w:lvlJc w:val="left"/>
      <w:pPr>
        <w:tabs>
          <w:tab w:val="left" w:pos="312"/>
        </w:tabs>
      </w:pPr>
    </w:lvl>
  </w:abstractNum>
  <w:abstractNum w:abstractNumId="2">
    <w:nsid w:val="5ABFA000"/>
    <w:multiLevelType w:val="singleLevel"/>
    <w:tmpl w:val="5ABFA000"/>
    <w:lvl w:ilvl="0" w:tentative="0">
      <w:start w:val="1"/>
      <w:numFmt w:val="decimalEnclosedCircleChinese"/>
      <w:suff w:val="nothing"/>
      <w:lvlText w:val="%1　"/>
      <w:lvlJc w:val="left"/>
      <w:pPr>
        <w:ind w:left="0" w:firstLine="400"/>
      </w:pPr>
      <w:rPr>
        <w:rFonts w:hint="eastAsia"/>
      </w:rPr>
    </w:lvl>
  </w:abstractNum>
  <w:abstractNum w:abstractNumId="3">
    <w:nsid w:val="5ABFA387"/>
    <w:multiLevelType w:val="singleLevel"/>
    <w:tmpl w:val="5ABFA387"/>
    <w:lvl w:ilvl="0" w:tentative="0">
      <w:start w:val="1"/>
      <w:numFmt w:val="decimalEnclosedCircleChinese"/>
      <w:suff w:val="nothing"/>
      <w:lvlText w:val="%1　"/>
      <w:lvlJc w:val="left"/>
      <w:pPr>
        <w:ind w:left="0" w:firstLine="400"/>
      </w:pPr>
      <w:rPr>
        <w:rFonts w:hint="eastAsia"/>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35354A5"/>
    <w:rsid w:val="04300FB5"/>
    <w:rsid w:val="04474705"/>
    <w:rsid w:val="056D511D"/>
    <w:rsid w:val="06CF18FE"/>
    <w:rsid w:val="070C4F1B"/>
    <w:rsid w:val="07797ED0"/>
    <w:rsid w:val="08CE2AB6"/>
    <w:rsid w:val="091B7A03"/>
    <w:rsid w:val="09327611"/>
    <w:rsid w:val="094A563C"/>
    <w:rsid w:val="094B4707"/>
    <w:rsid w:val="09916BC6"/>
    <w:rsid w:val="0AB92858"/>
    <w:rsid w:val="0AC047CD"/>
    <w:rsid w:val="0B00058B"/>
    <w:rsid w:val="0D1E0729"/>
    <w:rsid w:val="0D4656BE"/>
    <w:rsid w:val="0D9B1395"/>
    <w:rsid w:val="0DB876BA"/>
    <w:rsid w:val="0DF24CF8"/>
    <w:rsid w:val="0E27025B"/>
    <w:rsid w:val="0EAE7CE5"/>
    <w:rsid w:val="10027EC0"/>
    <w:rsid w:val="128B2002"/>
    <w:rsid w:val="12B535C7"/>
    <w:rsid w:val="12F961E9"/>
    <w:rsid w:val="12FC6819"/>
    <w:rsid w:val="12FD7FD1"/>
    <w:rsid w:val="132D44EC"/>
    <w:rsid w:val="13AB2126"/>
    <w:rsid w:val="13FA289C"/>
    <w:rsid w:val="14693AA1"/>
    <w:rsid w:val="157C7E27"/>
    <w:rsid w:val="1797107E"/>
    <w:rsid w:val="17EE6342"/>
    <w:rsid w:val="18F53D18"/>
    <w:rsid w:val="19BD6D74"/>
    <w:rsid w:val="19FC66DB"/>
    <w:rsid w:val="1A100CA5"/>
    <w:rsid w:val="1AC31270"/>
    <w:rsid w:val="1AC8550E"/>
    <w:rsid w:val="1BF15D18"/>
    <w:rsid w:val="1C2D3E09"/>
    <w:rsid w:val="1C4226D9"/>
    <w:rsid w:val="1D066E54"/>
    <w:rsid w:val="1E200937"/>
    <w:rsid w:val="1E630F21"/>
    <w:rsid w:val="1EF906C0"/>
    <w:rsid w:val="1FA34A87"/>
    <w:rsid w:val="1FCD72D0"/>
    <w:rsid w:val="20CD25CD"/>
    <w:rsid w:val="21856AD0"/>
    <w:rsid w:val="2247152E"/>
    <w:rsid w:val="224D2B54"/>
    <w:rsid w:val="22C20AA6"/>
    <w:rsid w:val="22C83C12"/>
    <w:rsid w:val="240D6539"/>
    <w:rsid w:val="24DF55DF"/>
    <w:rsid w:val="2502580B"/>
    <w:rsid w:val="281E3F0D"/>
    <w:rsid w:val="288C622D"/>
    <w:rsid w:val="2A5C0A46"/>
    <w:rsid w:val="2B341DEE"/>
    <w:rsid w:val="2B474947"/>
    <w:rsid w:val="2CD8645A"/>
    <w:rsid w:val="2DA966E9"/>
    <w:rsid w:val="2E2C6B67"/>
    <w:rsid w:val="2E670264"/>
    <w:rsid w:val="2F2F0196"/>
    <w:rsid w:val="2F86199A"/>
    <w:rsid w:val="2FAC1926"/>
    <w:rsid w:val="303D185F"/>
    <w:rsid w:val="307E1DCB"/>
    <w:rsid w:val="30C375AC"/>
    <w:rsid w:val="30FE29BC"/>
    <w:rsid w:val="31B60B6C"/>
    <w:rsid w:val="324C4980"/>
    <w:rsid w:val="329E7077"/>
    <w:rsid w:val="32C31B9C"/>
    <w:rsid w:val="32D215AF"/>
    <w:rsid w:val="33797309"/>
    <w:rsid w:val="34E8457F"/>
    <w:rsid w:val="35195528"/>
    <w:rsid w:val="351E0AE2"/>
    <w:rsid w:val="354E5676"/>
    <w:rsid w:val="35B6502D"/>
    <w:rsid w:val="35D61B09"/>
    <w:rsid w:val="36292F0A"/>
    <w:rsid w:val="388315BC"/>
    <w:rsid w:val="38DB484F"/>
    <w:rsid w:val="38E40D20"/>
    <w:rsid w:val="391023E9"/>
    <w:rsid w:val="3C461EE9"/>
    <w:rsid w:val="3D3951B7"/>
    <w:rsid w:val="3DCC3650"/>
    <w:rsid w:val="3EC27DC9"/>
    <w:rsid w:val="3F2A654F"/>
    <w:rsid w:val="3FFA027F"/>
    <w:rsid w:val="40383B6A"/>
    <w:rsid w:val="40451B7A"/>
    <w:rsid w:val="40A61F68"/>
    <w:rsid w:val="41361C69"/>
    <w:rsid w:val="425C67AB"/>
    <w:rsid w:val="43934F14"/>
    <w:rsid w:val="43AF13DF"/>
    <w:rsid w:val="469A140F"/>
    <w:rsid w:val="47296DAC"/>
    <w:rsid w:val="47604196"/>
    <w:rsid w:val="47C515B2"/>
    <w:rsid w:val="484415D7"/>
    <w:rsid w:val="484E4ACD"/>
    <w:rsid w:val="489F17E5"/>
    <w:rsid w:val="48B069F7"/>
    <w:rsid w:val="49271435"/>
    <w:rsid w:val="49584E93"/>
    <w:rsid w:val="49673DA9"/>
    <w:rsid w:val="49E55DF8"/>
    <w:rsid w:val="4AD107CC"/>
    <w:rsid w:val="4BA920C2"/>
    <w:rsid w:val="4BE839C1"/>
    <w:rsid w:val="4C9D29E8"/>
    <w:rsid w:val="4CD0722B"/>
    <w:rsid w:val="4DAE7EC7"/>
    <w:rsid w:val="4E152BEA"/>
    <w:rsid w:val="4EA7230E"/>
    <w:rsid w:val="4EF42D8D"/>
    <w:rsid w:val="4F986288"/>
    <w:rsid w:val="51A777BA"/>
    <w:rsid w:val="51BA5996"/>
    <w:rsid w:val="54107FE8"/>
    <w:rsid w:val="54506C30"/>
    <w:rsid w:val="54744577"/>
    <w:rsid w:val="553732DA"/>
    <w:rsid w:val="55904AC4"/>
    <w:rsid w:val="55A60425"/>
    <w:rsid w:val="56F467D0"/>
    <w:rsid w:val="588F7BB4"/>
    <w:rsid w:val="58BE0A0B"/>
    <w:rsid w:val="5A5C3310"/>
    <w:rsid w:val="5A8953BA"/>
    <w:rsid w:val="5A8A5A20"/>
    <w:rsid w:val="5D02030F"/>
    <w:rsid w:val="5D543EF4"/>
    <w:rsid w:val="5EAC6F11"/>
    <w:rsid w:val="5EAF74DE"/>
    <w:rsid w:val="5F130E8C"/>
    <w:rsid w:val="60DB48F5"/>
    <w:rsid w:val="60F85EAB"/>
    <w:rsid w:val="614A694D"/>
    <w:rsid w:val="61EE12D0"/>
    <w:rsid w:val="61FC3173"/>
    <w:rsid w:val="62151C96"/>
    <w:rsid w:val="63244EAA"/>
    <w:rsid w:val="63A526CB"/>
    <w:rsid w:val="64381AA0"/>
    <w:rsid w:val="64BE2BE1"/>
    <w:rsid w:val="64CF17ED"/>
    <w:rsid w:val="65211550"/>
    <w:rsid w:val="65866815"/>
    <w:rsid w:val="65AF2A09"/>
    <w:rsid w:val="65F7019E"/>
    <w:rsid w:val="67072966"/>
    <w:rsid w:val="674F7D78"/>
    <w:rsid w:val="68E1356E"/>
    <w:rsid w:val="68E7039D"/>
    <w:rsid w:val="69562C08"/>
    <w:rsid w:val="6A067CAF"/>
    <w:rsid w:val="6A2F4A1B"/>
    <w:rsid w:val="6AEF4351"/>
    <w:rsid w:val="6B3D3660"/>
    <w:rsid w:val="6B4D01CB"/>
    <w:rsid w:val="6B843682"/>
    <w:rsid w:val="6C8C0B61"/>
    <w:rsid w:val="6D155C7B"/>
    <w:rsid w:val="6D3A66F1"/>
    <w:rsid w:val="6DC364D5"/>
    <w:rsid w:val="6EDB3A05"/>
    <w:rsid w:val="70560B1C"/>
    <w:rsid w:val="709A4FB9"/>
    <w:rsid w:val="7157058A"/>
    <w:rsid w:val="725E2EB4"/>
    <w:rsid w:val="72FB520A"/>
    <w:rsid w:val="73982244"/>
    <w:rsid w:val="740055DE"/>
    <w:rsid w:val="740529D6"/>
    <w:rsid w:val="74562938"/>
    <w:rsid w:val="749A407B"/>
    <w:rsid w:val="74B625EB"/>
    <w:rsid w:val="757E1F54"/>
    <w:rsid w:val="75CA6C75"/>
    <w:rsid w:val="76512ADB"/>
    <w:rsid w:val="776B3FDD"/>
    <w:rsid w:val="781270B9"/>
    <w:rsid w:val="790A2E43"/>
    <w:rsid w:val="794B63C1"/>
    <w:rsid w:val="79B532AA"/>
    <w:rsid w:val="7A22147E"/>
    <w:rsid w:val="7AC0189B"/>
    <w:rsid w:val="7CCD6D06"/>
    <w:rsid w:val="7CF65FB5"/>
    <w:rsid w:val="7E5459FD"/>
    <w:rsid w:val="7F554204"/>
    <w:rsid w:val="7F954AFB"/>
    <w:rsid w:val="7FAE7EF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0"/>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character" w:styleId="6">
    <w:name w:val="FollowedHyperlink"/>
    <w:basedOn w:val="5"/>
    <w:uiPriority w:val="0"/>
    <w:rPr>
      <w:color w:val="800080"/>
      <w:u w:val="none"/>
    </w:rPr>
  </w:style>
  <w:style w:type="character" w:styleId="7">
    <w:name w:val="Hyperlink"/>
    <w:basedOn w:val="5"/>
    <w:uiPriority w:val="0"/>
    <w:rPr>
      <w:color w:val="000000"/>
      <w:u w:val="none"/>
    </w:rPr>
  </w:style>
  <w:style w:type="table" w:styleId="9">
    <w:name w:val="Table Grid"/>
    <w:basedOn w:val="8"/>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tbLrV"/>
    </w:tcPr>
  </w:style>
  <w:style w:type="character" w:customStyle="1" w:styleId="10">
    <w:name w:val="标题 3 Char"/>
    <w:link w:val="4"/>
    <w:uiPriority w:val="0"/>
    <w:rPr>
      <w:b/>
      <w:sz w:val="32"/>
    </w:rPr>
  </w:style>
  <w:style w:type="character" w:customStyle="1" w:styleId="11">
    <w:name w:val="fontstyle01"/>
    <w:basedOn w:val="5"/>
    <w:uiPriority w:val="0"/>
    <w:rPr>
      <w:rFonts w:hint="eastAsia" w:ascii="宋体" w:hAnsi="宋体" w:eastAsia="宋体" w:cs="宋体"/>
      <w:color w:val="000000"/>
      <w:sz w:val="24"/>
      <w:szCs w:val="24"/>
    </w:rPr>
  </w:style>
  <w:style w:type="paragraph" w:customStyle="1" w:styleId="12">
    <w:name w:val="Default"/>
    <w:unhideWhenUsed/>
    <w:uiPriority w:val="99"/>
    <w:pPr>
      <w:widowControl w:val="0"/>
      <w:autoSpaceDE w:val="0"/>
      <w:autoSpaceDN w:val="0"/>
      <w:adjustRightInd w:val="0"/>
      <w:spacing w:beforeLines="0" w:afterLines="0"/>
    </w:pPr>
    <w:rPr>
      <w:rFonts w:hint="eastAsia" w:ascii="Times New Roman" w:hAnsi="Times New Roman" w:eastAsia="Times New Roman" w:cs="Times New Roman"/>
      <w:color w:val="00000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程序猿PMP</cp:lastModifiedBy>
  <dcterms:modified xsi:type="dcterms:W3CDTF">2018-04-02T14:39:52Z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