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0"/>
          <w:szCs w:val="30"/>
        </w:rPr>
      </w:pPr>
      <w:r>
        <w:rPr>
          <w:rFonts w:hint="eastAsia"/>
          <w:b/>
          <w:bCs/>
          <w:sz w:val="30"/>
          <w:szCs w:val="30"/>
          <w:lang w:val="en-US" w:eastAsia="zh-CN"/>
        </w:rPr>
        <w:t>第二期</w:t>
      </w:r>
      <w:r>
        <w:rPr>
          <w:rFonts w:hint="eastAsia"/>
          <w:b/>
          <w:bCs/>
          <w:sz w:val="30"/>
          <w:szCs w:val="30"/>
        </w:rPr>
        <w:t>作业</w:t>
      </w:r>
    </w:p>
    <w:p>
      <w:pPr>
        <w:numPr>
          <w:ilvl w:val="0"/>
          <w:numId w:val="1"/>
        </w:numPr>
        <w:rPr>
          <w:rFonts w:hint="eastAsia"/>
          <w:b/>
          <w:bCs/>
          <w:sz w:val="28"/>
          <w:szCs w:val="28"/>
        </w:rPr>
      </w:pPr>
      <w:r>
        <w:rPr>
          <w:rFonts w:hint="eastAsia"/>
          <w:b/>
          <w:bCs/>
          <w:sz w:val="28"/>
          <w:szCs w:val="28"/>
        </w:rPr>
        <w:t>与朝阳产业和夕阳产业相比，那些是日不落产业（请用四个字回答）？</w:t>
      </w:r>
    </w:p>
    <w:p>
      <w:pPr>
        <w:rPr>
          <w:rFonts w:hint="eastAsia"/>
          <w:sz w:val="24"/>
          <w:szCs w:val="24"/>
        </w:rPr>
      </w:pPr>
      <w:r>
        <w:rPr>
          <w:rFonts w:hint="eastAsia"/>
          <w:b/>
          <w:bCs/>
          <w:sz w:val="24"/>
          <w:szCs w:val="24"/>
        </w:rPr>
        <w:t>衣</w:t>
      </w:r>
      <w:r>
        <w:rPr>
          <w:rFonts w:hint="eastAsia"/>
          <w:b/>
          <w:bCs/>
          <w:sz w:val="24"/>
          <w:szCs w:val="24"/>
          <w:lang w:eastAsia="zh-CN"/>
        </w:rPr>
        <w:t>、</w:t>
      </w:r>
      <w:r>
        <w:rPr>
          <w:rFonts w:hint="eastAsia"/>
          <w:b/>
          <w:bCs/>
          <w:sz w:val="24"/>
          <w:szCs w:val="24"/>
        </w:rPr>
        <w:t>食</w:t>
      </w:r>
      <w:r>
        <w:rPr>
          <w:rFonts w:hint="eastAsia"/>
          <w:b/>
          <w:bCs/>
          <w:sz w:val="24"/>
          <w:szCs w:val="24"/>
          <w:lang w:eastAsia="zh-CN"/>
        </w:rPr>
        <w:t>、</w:t>
      </w:r>
      <w:r>
        <w:rPr>
          <w:rFonts w:hint="eastAsia"/>
          <w:b/>
          <w:bCs/>
          <w:sz w:val="24"/>
          <w:szCs w:val="24"/>
        </w:rPr>
        <w:t>住</w:t>
      </w:r>
      <w:r>
        <w:rPr>
          <w:rFonts w:hint="eastAsia"/>
          <w:b/>
          <w:bCs/>
          <w:sz w:val="24"/>
          <w:szCs w:val="24"/>
          <w:lang w:eastAsia="zh-CN"/>
        </w:rPr>
        <w:t>、</w:t>
      </w:r>
      <w:r>
        <w:rPr>
          <w:rFonts w:hint="eastAsia"/>
          <w:b/>
          <w:bCs/>
          <w:sz w:val="24"/>
          <w:szCs w:val="24"/>
        </w:rPr>
        <w:t>行</w:t>
      </w:r>
      <w:r>
        <w:rPr>
          <w:rFonts w:hint="eastAsia"/>
          <w:sz w:val="24"/>
          <w:szCs w:val="24"/>
        </w:rPr>
        <w:t>是日不落产业。朝阳产业是</w:t>
      </w:r>
      <w:r>
        <w:rPr>
          <w:rFonts w:hint="eastAsia"/>
          <w:b/>
          <w:bCs/>
          <w:sz w:val="24"/>
          <w:szCs w:val="24"/>
        </w:rPr>
        <w:t>需求</w:t>
      </w:r>
      <w:r>
        <w:rPr>
          <w:rFonts w:hint="eastAsia"/>
          <w:sz w:val="24"/>
          <w:szCs w:val="24"/>
        </w:rPr>
        <w:t>在</w:t>
      </w:r>
      <w:r>
        <w:rPr>
          <w:rFonts w:hint="eastAsia"/>
          <w:sz w:val="24"/>
          <w:szCs w:val="24"/>
          <w:lang w:val="en-US" w:eastAsia="zh-CN"/>
        </w:rPr>
        <w:t>不断激发</w:t>
      </w:r>
      <w:r>
        <w:rPr>
          <w:rFonts w:hint="eastAsia"/>
          <w:sz w:val="24"/>
          <w:szCs w:val="24"/>
        </w:rPr>
        <w:t>，</w:t>
      </w:r>
      <w:r>
        <w:rPr>
          <w:rFonts w:hint="eastAsia"/>
          <w:b/>
          <w:bCs/>
          <w:sz w:val="24"/>
          <w:szCs w:val="24"/>
        </w:rPr>
        <w:t>市场容量</w:t>
      </w:r>
      <w:r>
        <w:rPr>
          <w:rFonts w:hint="eastAsia"/>
          <w:sz w:val="24"/>
          <w:szCs w:val="24"/>
        </w:rPr>
        <w:t>逐渐扩大的市场，企业</w:t>
      </w:r>
      <w:r>
        <w:rPr>
          <w:rFonts w:hint="eastAsia"/>
          <w:b/>
          <w:bCs/>
          <w:sz w:val="24"/>
          <w:szCs w:val="24"/>
        </w:rPr>
        <w:t>预期成长</w:t>
      </w:r>
      <w:r>
        <w:rPr>
          <w:rFonts w:hint="eastAsia"/>
          <w:b/>
          <w:bCs/>
          <w:sz w:val="24"/>
          <w:szCs w:val="24"/>
          <w:lang w:val="en-US" w:eastAsia="zh-CN"/>
        </w:rPr>
        <w:t>性</w:t>
      </w:r>
      <w:r>
        <w:rPr>
          <w:rFonts w:hint="eastAsia"/>
          <w:sz w:val="24"/>
          <w:szCs w:val="24"/>
        </w:rPr>
        <w:t>较高的行业，而夕阳产业是成长性降低，市场供需基本平衡，市场容量很难有扩张甚至在更新换代后市场规模会缩小的行业。而衣食住行在古往今来都是人类生存最基本的需求</w:t>
      </w:r>
      <w:r>
        <w:rPr>
          <w:rFonts w:hint="eastAsia"/>
          <w:sz w:val="24"/>
          <w:szCs w:val="24"/>
          <w:lang w:eastAsia="zh-CN"/>
        </w:rPr>
        <w:t>，</w:t>
      </w:r>
      <w:r>
        <w:rPr>
          <w:rFonts w:hint="eastAsia"/>
          <w:sz w:val="24"/>
          <w:szCs w:val="24"/>
          <w:lang w:val="en-US" w:eastAsia="zh-CN"/>
        </w:rPr>
        <w:t>属于必需品，因此具有日不落产业的特质</w:t>
      </w:r>
      <w:r>
        <w:rPr>
          <w:rFonts w:hint="eastAsia"/>
          <w:sz w:val="24"/>
          <w:szCs w:val="24"/>
        </w:rPr>
        <w:t>。</w:t>
      </w:r>
    </w:p>
    <w:p>
      <w:pPr>
        <w:rPr>
          <w:rFonts w:hint="eastAsia"/>
          <w:sz w:val="24"/>
          <w:szCs w:val="24"/>
        </w:rPr>
      </w:pPr>
    </w:p>
    <w:p>
      <w:pPr>
        <w:numPr>
          <w:ilvl w:val="0"/>
          <w:numId w:val="1"/>
        </w:numPr>
        <w:rPr>
          <w:rFonts w:hint="eastAsia"/>
          <w:b/>
          <w:bCs/>
          <w:sz w:val="28"/>
          <w:szCs w:val="28"/>
        </w:rPr>
      </w:pPr>
      <w:r>
        <w:rPr>
          <w:rFonts w:hint="eastAsia"/>
          <w:b/>
          <w:bCs/>
          <w:sz w:val="28"/>
          <w:szCs w:val="28"/>
        </w:rPr>
        <w:t>为什么衣食这些一般能穿越牛熊的消费股在A股和港股会显出显著的周期性，例如白酒/鞋服？</w:t>
      </w:r>
    </w:p>
    <w:p>
      <w:pPr>
        <w:rPr>
          <w:rFonts w:hint="eastAsia"/>
          <w:sz w:val="24"/>
          <w:szCs w:val="24"/>
          <w:lang w:eastAsia="zh-CN"/>
        </w:rPr>
      </w:pPr>
      <w:r>
        <w:rPr>
          <w:rFonts w:hint="eastAsia"/>
          <w:sz w:val="24"/>
          <w:szCs w:val="24"/>
        </w:rPr>
        <w:t>首先，股市是经济的晴雨表。经济周期的变化往往更早的在股市里面体现出来。</w:t>
      </w:r>
      <w:r>
        <w:rPr>
          <w:rFonts w:hint="eastAsia"/>
          <w:sz w:val="24"/>
          <w:szCs w:val="24"/>
          <w:lang w:val="en-US" w:eastAsia="zh-CN"/>
        </w:rPr>
        <w:t>其次，衣、食满足生活基本需要的产品</w:t>
      </w:r>
      <w:r>
        <w:rPr>
          <w:rFonts w:hint="eastAsia"/>
          <w:sz w:val="24"/>
          <w:szCs w:val="24"/>
          <w:lang w:eastAsia="zh-CN"/>
        </w:rPr>
        <w:t>，</w:t>
      </w:r>
      <w:r>
        <w:rPr>
          <w:rFonts w:hint="eastAsia"/>
          <w:sz w:val="24"/>
          <w:szCs w:val="24"/>
          <w:lang w:val="en-US" w:eastAsia="zh-CN"/>
        </w:rPr>
        <w:t>理论上具有相对</w:t>
      </w:r>
      <w:r>
        <w:rPr>
          <w:rFonts w:hint="eastAsia"/>
          <w:sz w:val="24"/>
          <w:szCs w:val="24"/>
        </w:rPr>
        <w:t>稳定性</w:t>
      </w:r>
      <w:r>
        <w:rPr>
          <w:rFonts w:hint="eastAsia"/>
          <w:sz w:val="24"/>
          <w:szCs w:val="24"/>
          <w:lang w:eastAsia="zh-CN"/>
        </w:rPr>
        <w:t>。</w:t>
      </w:r>
      <w:r>
        <w:rPr>
          <w:rFonts w:hint="eastAsia"/>
          <w:sz w:val="24"/>
          <w:szCs w:val="24"/>
          <w:lang w:val="en-US" w:eastAsia="zh-CN"/>
        </w:rPr>
        <w:t>但在A股和港股上市的消费股（如白酒/鞋服）大部分</w:t>
      </w:r>
      <w:r>
        <w:rPr>
          <w:rFonts w:hint="eastAsia"/>
          <w:b/>
          <w:bCs/>
          <w:sz w:val="24"/>
          <w:szCs w:val="24"/>
          <w:lang w:val="en-US" w:eastAsia="zh-CN"/>
        </w:rPr>
        <w:t>并非生活必需品</w:t>
      </w:r>
      <w:r>
        <w:rPr>
          <w:rFonts w:hint="eastAsia"/>
          <w:sz w:val="24"/>
          <w:szCs w:val="24"/>
          <w:lang w:val="en-US" w:eastAsia="zh-CN"/>
        </w:rPr>
        <w:t>，在经济下行时期，将明显受到经济环境的影响，需求受到抑制，反之在经济复苏期又会刺激需求，显出显著的周期性。</w:t>
      </w:r>
    </w:p>
    <w:p>
      <w:pPr>
        <w:rPr>
          <w:rFonts w:hint="eastAsia" w:eastAsiaTheme="minorEastAsia"/>
          <w:sz w:val="24"/>
          <w:szCs w:val="24"/>
          <w:lang w:val="en-US" w:eastAsia="zh-CN"/>
        </w:rPr>
      </w:pPr>
      <w:r>
        <w:rPr>
          <w:rFonts w:hint="eastAsia"/>
          <w:sz w:val="24"/>
          <w:szCs w:val="24"/>
          <w:lang w:val="en-US" w:eastAsia="zh-CN"/>
        </w:rPr>
        <w:t>另外，经济的周期性波动会影响股市中资金的丰裕程度，资金量大小的变化会加剧股市中股票的走势变化，因此即便是能够跨越牛熊的消费股，也会表现出显著的周期性。</w:t>
      </w:r>
    </w:p>
    <w:p>
      <w:pPr>
        <w:rPr>
          <w:rFonts w:hint="eastAsia"/>
          <w:sz w:val="24"/>
          <w:szCs w:val="24"/>
        </w:rPr>
      </w:pPr>
    </w:p>
    <w:p>
      <w:pPr>
        <w:numPr>
          <w:ilvl w:val="0"/>
          <w:numId w:val="1"/>
        </w:numPr>
        <w:rPr>
          <w:rFonts w:hint="eastAsia"/>
          <w:b/>
          <w:bCs/>
          <w:sz w:val="28"/>
          <w:szCs w:val="28"/>
        </w:rPr>
      </w:pPr>
      <w:r>
        <w:rPr>
          <w:rFonts w:hint="eastAsia"/>
          <w:b/>
          <w:bCs/>
          <w:sz w:val="28"/>
          <w:szCs w:val="28"/>
        </w:rPr>
        <w:t>跟食品、鞋服等消费品行业相比，零售、餐饮、博彩、酒店甚至美容、足疗、洗浴、大保健的生意本质是什么</w:t>
      </w:r>
    </w:p>
    <w:p>
      <w:pPr>
        <w:rPr>
          <w:rFonts w:hint="eastAsia" w:eastAsiaTheme="minorEastAsia"/>
          <w:sz w:val="24"/>
          <w:szCs w:val="24"/>
          <w:lang w:val="en-US" w:eastAsia="zh-CN"/>
        </w:rPr>
      </w:pPr>
      <w:r>
        <w:rPr>
          <w:rFonts w:hint="eastAsia"/>
          <w:sz w:val="24"/>
          <w:szCs w:val="24"/>
          <w:lang w:val="en-US" w:eastAsia="zh-CN"/>
        </w:rPr>
        <w:t>跟食品、鞋服等消费品相比，零售、餐饮、博彩、酒店甚至美容、足浴、洗浴等，是人在满足生存基本需求的基础上，再进一步满足对于欢悦、休闲的需要，属于</w:t>
      </w:r>
      <w:r>
        <w:rPr>
          <w:rFonts w:hint="eastAsia"/>
          <w:b/>
          <w:bCs/>
          <w:sz w:val="24"/>
          <w:szCs w:val="24"/>
          <w:lang w:val="en-US" w:eastAsia="zh-CN"/>
        </w:rPr>
        <w:t>消费升级</w:t>
      </w:r>
      <w:r>
        <w:rPr>
          <w:rFonts w:hint="eastAsia"/>
          <w:sz w:val="24"/>
          <w:szCs w:val="24"/>
          <w:lang w:val="en-US" w:eastAsia="zh-CN"/>
        </w:rPr>
        <w:t>的概念。</w:t>
      </w:r>
    </w:p>
    <w:p>
      <w:pPr>
        <w:widowControl w:val="0"/>
        <w:numPr>
          <w:ilvl w:val="0"/>
          <w:numId w:val="0"/>
        </w:numPr>
        <w:jc w:val="both"/>
        <w:rPr>
          <w:rFonts w:hint="eastAsia"/>
          <w:b/>
          <w:bCs/>
          <w:sz w:val="28"/>
          <w:szCs w:val="28"/>
        </w:rPr>
      </w:pPr>
    </w:p>
    <w:p>
      <w:pPr>
        <w:numPr>
          <w:ilvl w:val="0"/>
          <w:numId w:val="1"/>
        </w:numPr>
        <w:rPr>
          <w:rFonts w:hint="eastAsia"/>
          <w:b/>
          <w:bCs/>
          <w:sz w:val="28"/>
          <w:szCs w:val="28"/>
        </w:rPr>
      </w:pPr>
      <w:r>
        <w:rPr>
          <w:rFonts w:hint="eastAsia"/>
          <w:b/>
          <w:bCs/>
          <w:sz w:val="28"/>
          <w:szCs w:val="28"/>
        </w:rPr>
        <w:t>以下哪些因素导致了日不落行业的周期性？</w:t>
      </w:r>
    </w:p>
    <w:p>
      <w:pPr>
        <w:numPr>
          <w:ilvl w:val="0"/>
          <w:numId w:val="2"/>
        </w:numPr>
      </w:pPr>
      <w:r>
        <w:rPr>
          <w:rFonts w:hint="eastAsia"/>
        </w:rPr>
        <w:t>经济周期</w:t>
      </w:r>
    </w:p>
    <w:p>
      <w:pPr>
        <w:numPr>
          <w:ilvl w:val="0"/>
          <w:numId w:val="2"/>
        </w:numPr>
      </w:pPr>
      <w:r>
        <w:rPr>
          <w:rFonts w:hint="eastAsia"/>
        </w:rPr>
        <w:t>政府的行业政策</w:t>
      </w:r>
    </w:p>
    <w:p>
      <w:pPr>
        <w:numPr>
          <w:ilvl w:val="0"/>
          <w:numId w:val="2"/>
        </w:numPr>
      </w:pPr>
      <w:r>
        <w:rPr>
          <w:rFonts w:hint="eastAsia"/>
        </w:rPr>
        <w:t>竞争</w:t>
      </w:r>
    </w:p>
    <w:p>
      <w:pPr>
        <w:numPr>
          <w:ilvl w:val="0"/>
          <w:numId w:val="2"/>
        </w:numPr>
      </w:pPr>
      <w:r>
        <w:rPr>
          <w:rFonts w:hint="eastAsia"/>
        </w:rPr>
        <w:t>产业升级</w:t>
      </w:r>
    </w:p>
    <w:p>
      <w:pPr>
        <w:numPr>
          <w:ilvl w:val="0"/>
          <w:numId w:val="2"/>
        </w:numPr>
      </w:pPr>
      <w:r>
        <w:rPr>
          <w:rFonts w:hint="eastAsia"/>
        </w:rPr>
        <w:t>反腐等政治因素</w:t>
      </w:r>
    </w:p>
    <w:p>
      <w:pPr>
        <w:numPr>
          <w:ilvl w:val="0"/>
          <w:numId w:val="2"/>
        </w:numPr>
        <w:rPr>
          <w:rFonts w:hint="eastAsia"/>
        </w:rPr>
      </w:pPr>
      <w:r>
        <w:rPr>
          <w:rFonts w:hint="eastAsia"/>
        </w:rPr>
        <w:t>战乱</w:t>
      </w:r>
    </w:p>
    <w:p>
      <w:pPr>
        <w:numPr>
          <w:ilvl w:val="0"/>
          <w:numId w:val="0"/>
        </w:numPr>
        <w:rPr>
          <w:rFonts w:hint="eastAsia"/>
        </w:rPr>
      </w:pPr>
    </w:p>
    <w:p>
      <w:pPr>
        <w:rPr>
          <w:rFonts w:hint="eastAsia" w:eastAsiaTheme="minorEastAsia"/>
          <w:sz w:val="24"/>
          <w:szCs w:val="24"/>
          <w:lang w:val="en-US" w:eastAsia="zh-CN"/>
        </w:rPr>
      </w:pPr>
      <w:r>
        <w:rPr>
          <w:rFonts w:hint="eastAsia"/>
          <w:sz w:val="24"/>
          <w:szCs w:val="24"/>
          <w:lang w:val="en-US" w:eastAsia="zh-CN"/>
        </w:rPr>
        <w:t>导致日不落行业周期性的因素从影响大小应该是A、BE、CD、F</w:t>
      </w:r>
    </w:p>
    <w:p>
      <w:pPr>
        <w:rPr>
          <w:rFonts w:hint="eastAsia"/>
          <w:sz w:val="24"/>
          <w:szCs w:val="24"/>
          <w:lang w:val="en-US" w:eastAsia="zh-CN"/>
        </w:rPr>
      </w:pPr>
      <w:r>
        <w:rPr>
          <w:rFonts w:hint="eastAsia"/>
          <w:sz w:val="24"/>
          <w:szCs w:val="24"/>
          <w:lang w:val="en-US" w:eastAsia="zh-CN"/>
        </w:rPr>
        <w:t>经济学中消费品有普通品、奢侈品及吉芬商品的区分，无论哪类消费品都会受到经济周期的影响，普通品和奢侈品会表现出顺周期的变化，其中普通品更具稳定性，而吉芬商品会表现出逆周期的特性。</w:t>
      </w:r>
    </w:p>
    <w:p>
      <w:pPr>
        <w:rPr>
          <w:rFonts w:hint="eastAsia"/>
          <w:sz w:val="24"/>
          <w:szCs w:val="24"/>
          <w:lang w:val="en-US" w:eastAsia="zh-CN"/>
        </w:rPr>
      </w:pPr>
      <w:r>
        <w:rPr>
          <w:rFonts w:hint="eastAsia"/>
          <w:sz w:val="24"/>
          <w:szCs w:val="24"/>
          <w:lang w:val="en-US" w:eastAsia="zh-CN"/>
        </w:rPr>
        <w:t>政府的行政政策和反腐等政治因素会从行业外部对准入门槛和需求方面影响行业的态势，政策的变化会引发行业的周期变化。</w:t>
      </w:r>
    </w:p>
    <w:p>
      <w:pPr>
        <w:rPr>
          <w:rFonts w:hint="eastAsia"/>
          <w:sz w:val="24"/>
          <w:szCs w:val="24"/>
          <w:lang w:val="en-US" w:eastAsia="zh-CN"/>
        </w:rPr>
      </w:pPr>
      <w:r>
        <w:rPr>
          <w:rFonts w:hint="eastAsia"/>
          <w:sz w:val="24"/>
          <w:szCs w:val="24"/>
          <w:lang w:val="en-US" w:eastAsia="zh-CN"/>
        </w:rPr>
        <w:t>产业升级和竞争是从行业内部引发供需变化，进而出现一定的周期性。</w:t>
      </w:r>
    </w:p>
    <w:p>
      <w:pPr>
        <w:rPr>
          <w:rFonts w:hint="eastAsia"/>
          <w:sz w:val="24"/>
          <w:szCs w:val="24"/>
          <w:lang w:val="en-US" w:eastAsia="zh-CN"/>
        </w:rPr>
      </w:pPr>
      <w:r>
        <w:rPr>
          <w:rFonts w:hint="eastAsia"/>
          <w:sz w:val="24"/>
          <w:szCs w:val="24"/>
          <w:lang w:val="en-US" w:eastAsia="zh-CN"/>
        </w:rPr>
        <w:t>而战乱在目前的世界格局下，一般会施加短暂的或阶段性的影响，如果是长期战乱，则会对大部分行业产生持久的抑制，而不会产生显著的周期性。</w:t>
      </w:r>
    </w:p>
    <w:p>
      <w:pPr>
        <w:rPr>
          <w:rFonts w:hint="eastAsia"/>
        </w:rPr>
      </w:pPr>
    </w:p>
    <w:p>
      <w:pPr>
        <w:rPr>
          <w:rFonts w:hint="eastAsia"/>
        </w:rPr>
      </w:pPr>
    </w:p>
    <w:p>
      <w:pPr>
        <w:numPr>
          <w:ilvl w:val="0"/>
          <w:numId w:val="1"/>
        </w:numPr>
        <w:rPr>
          <w:rFonts w:hint="eastAsia"/>
          <w:b/>
          <w:bCs/>
          <w:sz w:val="28"/>
          <w:szCs w:val="28"/>
        </w:rPr>
      </w:pPr>
      <w:r>
        <w:rPr>
          <w:rFonts w:hint="eastAsia"/>
          <w:b/>
          <w:bCs/>
          <w:sz w:val="28"/>
          <w:szCs w:val="28"/>
        </w:rPr>
        <w:t>为什么在日不落产业中，博彩业的周期性特别显著？从供需两端加以说明</w:t>
      </w:r>
    </w:p>
    <w:p>
      <w:pPr>
        <w:rPr>
          <w:rFonts w:hint="eastAsia"/>
          <w:sz w:val="24"/>
          <w:szCs w:val="24"/>
          <w:lang w:val="en-US" w:eastAsia="zh-CN"/>
        </w:rPr>
      </w:pPr>
      <w:r>
        <w:rPr>
          <w:rFonts w:hint="eastAsia"/>
          <w:sz w:val="24"/>
          <w:szCs w:val="24"/>
          <w:lang w:val="en-US" w:eastAsia="zh-CN"/>
        </w:rPr>
        <w:t>从供给来看，首先博彩行业有严格的准入限制，政府发放牌照并进行管理，行政管理变化直接影响行业供给变化，行政管理的松紧程度带来行业的周期性。其次，博彩业由于准入门槛高，形成行业寡头竞争的局面，寡头竞争的参与者应对经济周期的变化弱于垄断竞争参与者，因此会产生显著的周期性。再次，博彩业需要参与者投入大量的基础设施建设，需要大量的资金，资金的投入受到经济周期影响，且经历相应的建设期，因此具有周期性。</w:t>
      </w:r>
    </w:p>
    <w:p>
      <w:pPr>
        <w:rPr>
          <w:rFonts w:hint="eastAsia"/>
          <w:sz w:val="24"/>
          <w:szCs w:val="24"/>
          <w:lang w:val="en-US" w:eastAsia="zh-CN"/>
        </w:rPr>
      </w:pPr>
      <w:r>
        <w:rPr>
          <w:rFonts w:hint="eastAsia"/>
          <w:sz w:val="24"/>
          <w:szCs w:val="24"/>
          <w:lang w:val="en-US" w:eastAsia="zh-CN"/>
        </w:rPr>
        <w:t>从需求来看，博彩业属于满足人休闲愉悦的需要，非生存必需品，因此受到经济周期的影响并呈现出明显的周期性。另外，人均赌资的高低与人均可支配收入的大小呈正比，进而引发周期性变化。</w:t>
      </w:r>
    </w:p>
    <w:p>
      <w:pPr>
        <w:rPr>
          <w:rFonts w:hint="eastAsia"/>
        </w:rPr>
      </w:pPr>
    </w:p>
    <w:p>
      <w:pPr>
        <w:numPr>
          <w:ilvl w:val="0"/>
          <w:numId w:val="0"/>
        </w:numPr>
        <w:rPr>
          <w:rFonts w:hint="eastAsia"/>
          <w:b/>
          <w:bCs/>
          <w:sz w:val="28"/>
          <w:szCs w:val="28"/>
          <w:lang w:val="en-US" w:eastAsia="zh-CN"/>
        </w:rPr>
      </w:pPr>
      <w:r>
        <w:rPr>
          <w:rFonts w:hint="eastAsia"/>
          <w:b/>
          <w:bCs/>
          <w:sz w:val="28"/>
          <w:szCs w:val="28"/>
          <w:lang w:val="en-US" w:eastAsia="zh-CN"/>
        </w:rPr>
        <w:t>6、博彩业的周期性带给投资者什么样的机会</w:t>
      </w:r>
    </w:p>
    <w:p>
      <w:pPr>
        <w:rPr>
          <w:rFonts w:hint="eastAsia"/>
          <w:sz w:val="24"/>
          <w:szCs w:val="24"/>
          <w:lang w:val="en-US" w:eastAsia="zh-CN"/>
        </w:rPr>
      </w:pPr>
      <w:r>
        <w:rPr>
          <w:rFonts w:hint="eastAsia"/>
          <w:sz w:val="24"/>
          <w:szCs w:val="24"/>
          <w:lang w:val="en-US" w:eastAsia="zh-CN"/>
        </w:rPr>
        <w:t>博彩业上市公司的股价随收入利润的周期性变化而变化，因此在行业上升期时具有投资价值。</w:t>
      </w: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计算银河娱乐（27.HK）借壳上市后至今的收益率和年化收益率</w:t>
      </w:r>
    </w:p>
    <w:p>
      <w:pPr>
        <w:rPr>
          <w:rFonts w:hint="eastAsia"/>
          <w:sz w:val="24"/>
          <w:szCs w:val="24"/>
          <w:lang w:val="en-US" w:eastAsia="zh-CN"/>
        </w:rPr>
      </w:pPr>
      <w:r>
        <w:rPr>
          <w:rFonts w:hint="eastAsia"/>
          <w:sz w:val="24"/>
          <w:szCs w:val="24"/>
          <w:lang w:val="en-US" w:eastAsia="zh-CN"/>
        </w:rPr>
        <w:t>银河娱乐于2005年7月22日完成借壳，后复权当日收盘价为11.79元，截止到2018年4月6日，后复权收盘价为164元，则至今的收益率为130倍，年化收益率为23%。</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计算银河娱乐借壳上市后至今2008年股价最低点时的收益率</w:t>
      </w:r>
    </w:p>
    <w:p>
      <w:pPr>
        <w:rPr>
          <w:rFonts w:hint="eastAsia"/>
          <w:sz w:val="24"/>
          <w:szCs w:val="24"/>
          <w:lang w:val="en-US" w:eastAsia="zh-CN"/>
        </w:rPr>
      </w:pPr>
      <w:r>
        <w:rPr>
          <w:rFonts w:hint="eastAsia"/>
          <w:sz w:val="24"/>
          <w:szCs w:val="24"/>
          <w:lang w:val="en-US" w:eastAsia="zh-CN"/>
        </w:rPr>
        <w:t>银河娱乐股价最低点是2008年10月28日，其后复权当日收盘价为1.16，则至今收益率为140倍，年化收益率为64%。</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计算银河娱乐2008年股价最低点时的市值PE和PB</w:t>
      </w:r>
    </w:p>
    <w:p>
      <w:pPr>
        <w:rPr>
          <w:rFonts w:hint="eastAsia"/>
          <w:sz w:val="24"/>
          <w:szCs w:val="24"/>
          <w:lang w:val="en-US" w:eastAsia="zh-CN"/>
        </w:rPr>
      </w:pPr>
      <w:r>
        <w:rPr>
          <w:rFonts w:hint="eastAsia"/>
          <w:sz w:val="24"/>
          <w:szCs w:val="24"/>
          <w:lang w:val="en-US" w:eastAsia="zh-CN"/>
        </w:rPr>
        <w:t>2008年银河娱乐的股份数为39.38亿股，则最低点的市值是45.68亿，当年的净利润亏损113亿，则PE=-0.4，当年的净资产为70.11亿，则PB=0.65</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计算银河娱乐2008年股价最低点至此后2014年最高点时的收益率</w:t>
      </w:r>
    </w:p>
    <w:p>
      <w:pPr>
        <w:rPr>
          <w:rFonts w:hint="eastAsia"/>
          <w:sz w:val="24"/>
          <w:szCs w:val="24"/>
          <w:lang w:val="en-US" w:eastAsia="zh-CN"/>
        </w:rPr>
      </w:pPr>
      <w:r>
        <w:rPr>
          <w:rFonts w:hint="eastAsia"/>
          <w:sz w:val="24"/>
          <w:szCs w:val="24"/>
          <w:lang w:val="en-US" w:eastAsia="zh-CN"/>
        </w:rPr>
        <w:t>银河娱乐股价最高点位于2014年1月17日，当日后复权收盘价为181元，则2008年最低点到2014年最高点的收益率为155倍，年化收益率为130%。</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计算银河娱乐2014年股价最高点时的市值、PE和PB</w:t>
      </w:r>
    </w:p>
    <w:p>
      <w:pPr>
        <w:widowControl w:val="0"/>
        <w:numPr>
          <w:ilvl w:val="0"/>
          <w:numId w:val="0"/>
        </w:numPr>
        <w:jc w:val="both"/>
        <w:rPr>
          <w:rFonts w:hint="eastAsia"/>
          <w:sz w:val="24"/>
          <w:szCs w:val="24"/>
          <w:lang w:val="en-US" w:eastAsia="zh-CN"/>
        </w:rPr>
      </w:pPr>
      <w:r>
        <w:rPr>
          <w:rFonts w:hint="eastAsia"/>
          <w:sz w:val="24"/>
          <w:szCs w:val="24"/>
          <w:lang w:val="en-US" w:eastAsia="zh-CN"/>
        </w:rPr>
        <w:t>银河娱乐2014年1月的股份总数为42.23亿股，则最高点的市值为7644亿，2013年的净利润为100.5亿，则PE=76，2013年12月的净资产为324亿，则PB=23.5</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计算金沙中国IPO上市后至今的收益率和年化收益率</w:t>
      </w:r>
    </w:p>
    <w:p>
      <w:pPr>
        <w:widowControl w:val="0"/>
        <w:numPr>
          <w:ilvl w:val="0"/>
          <w:numId w:val="0"/>
        </w:numPr>
        <w:jc w:val="both"/>
        <w:rPr>
          <w:rFonts w:hint="eastAsia"/>
          <w:sz w:val="24"/>
          <w:szCs w:val="24"/>
          <w:lang w:val="en-US" w:eastAsia="zh-CN"/>
        </w:rPr>
      </w:pPr>
      <w:r>
        <w:rPr>
          <w:rFonts w:hint="eastAsia"/>
          <w:sz w:val="24"/>
          <w:szCs w:val="24"/>
          <w:lang w:val="en-US" w:eastAsia="zh-CN"/>
        </w:rPr>
        <w:t>金沙中国IPO上市日期是2009年11月30日，上市发行价为10.38元，截止到2018年4月6日的收盘价为57.86元，则收益率为4.66倍，年化收益率为18.9%。</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计算金沙中国按IPO发行价计算的市值、PE和PB</w:t>
      </w:r>
    </w:p>
    <w:p>
      <w:pPr>
        <w:widowControl w:val="0"/>
        <w:numPr>
          <w:ilvl w:val="0"/>
          <w:numId w:val="0"/>
        </w:numPr>
        <w:jc w:val="both"/>
        <w:rPr>
          <w:rFonts w:hint="eastAsia"/>
          <w:sz w:val="24"/>
          <w:szCs w:val="24"/>
          <w:lang w:val="en-US" w:eastAsia="zh-CN"/>
        </w:rPr>
      </w:pPr>
      <w:r>
        <w:rPr>
          <w:rFonts w:hint="eastAsia"/>
          <w:sz w:val="24"/>
          <w:szCs w:val="24"/>
          <w:lang w:val="en-US" w:eastAsia="zh-CN"/>
        </w:rPr>
        <w:t>金沙中国IPO时的总股份为80.4亿股，则市值为834.5亿，2009年金沙中国的净利润和净资产分别为16.5亿和285.8亿，则PE=50.5；PB=2.91。</w:t>
      </w: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计算金沙中国IPO上市后至2014年最高点时的收益率</w:t>
      </w:r>
    </w:p>
    <w:p>
      <w:pPr>
        <w:widowControl w:val="0"/>
        <w:numPr>
          <w:ilvl w:val="0"/>
          <w:numId w:val="0"/>
        </w:numPr>
        <w:jc w:val="both"/>
        <w:rPr>
          <w:rFonts w:hint="eastAsia"/>
          <w:sz w:val="24"/>
          <w:szCs w:val="24"/>
          <w:lang w:val="en-US" w:eastAsia="zh-CN"/>
        </w:rPr>
      </w:pPr>
      <w:r>
        <w:rPr>
          <w:rFonts w:hint="eastAsia"/>
          <w:sz w:val="24"/>
          <w:szCs w:val="24"/>
          <w:lang w:val="en-US" w:eastAsia="zh-CN"/>
        </w:rPr>
        <w:t>金沙中国股价最高点出现在2014年2月28日，当日收盘价为72.2元，则上市至最高点的收益率为5.95倍，年化收益率为60%。</w:t>
      </w:r>
    </w:p>
    <w:p>
      <w:pPr>
        <w:widowControl w:val="0"/>
        <w:numPr>
          <w:ilvl w:val="0"/>
          <w:numId w:val="0"/>
        </w:numPr>
        <w:jc w:val="both"/>
        <w:rPr>
          <w:rFonts w:hint="eastAsia"/>
          <w:sz w:val="24"/>
          <w:szCs w:val="24"/>
          <w:lang w:val="en-US" w:eastAsia="zh-CN"/>
        </w:rPr>
      </w:pPr>
    </w:p>
    <w:p>
      <w:pPr>
        <w:numPr>
          <w:ilvl w:val="0"/>
          <w:numId w:val="3"/>
        </w:numPr>
        <w:rPr>
          <w:rFonts w:hint="eastAsia"/>
          <w:sz w:val="24"/>
          <w:szCs w:val="24"/>
          <w:lang w:val="en-US" w:eastAsia="zh-CN"/>
        </w:rPr>
      </w:pPr>
      <w:r>
        <w:rPr>
          <w:rFonts w:hint="eastAsia"/>
          <w:sz w:val="24"/>
          <w:szCs w:val="24"/>
          <w:lang w:val="en-US" w:eastAsia="zh-CN"/>
        </w:rPr>
        <w:t>计算金沙中国2014年股价最高点时的市值、PE和PB</w:t>
      </w:r>
    </w:p>
    <w:p>
      <w:pPr>
        <w:widowControl w:val="0"/>
        <w:numPr>
          <w:ilvl w:val="0"/>
          <w:numId w:val="0"/>
        </w:numPr>
        <w:jc w:val="both"/>
        <w:rPr>
          <w:rFonts w:hint="eastAsia"/>
          <w:sz w:val="24"/>
          <w:szCs w:val="24"/>
          <w:lang w:val="en-US" w:eastAsia="zh-CN"/>
        </w:rPr>
      </w:pPr>
      <w:r>
        <w:rPr>
          <w:rFonts w:hint="eastAsia"/>
          <w:sz w:val="24"/>
          <w:szCs w:val="24"/>
          <w:lang w:val="en-US" w:eastAsia="zh-CN"/>
        </w:rPr>
        <w:t>2014年2月的股份数为80.6亿，则市值为5819亿，2013年的净利润和净资产分别为171亿和500亿，则PE=34；PB=11.6。</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7、参考美股、港股和其他博彩股（永利NYSE、WYNN、米高梅NYSE、MGM、奥博控股880.HK等），熊市投资博彩股是否包赚不赔？有何风险？</w:t>
      </w:r>
    </w:p>
    <w:p>
      <w:pPr>
        <w:widowControl w:val="0"/>
        <w:numPr>
          <w:ilvl w:val="0"/>
          <w:numId w:val="0"/>
        </w:numPr>
        <w:jc w:val="both"/>
        <w:rPr>
          <w:rFonts w:hint="eastAsia"/>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奥博控股2008-2018年的股价走势图：</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69230" cy="230886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30886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银河娱乐2006年-2018年的股价走势图：</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70500" cy="2381250"/>
            <wp:effectExtent l="0" t="0" r="254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38125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同时期恒生指数的走势图2005-2018年：</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73675" cy="1997710"/>
            <wp:effectExtent l="0" t="0" r="1460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199771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永利度假2005-2018年股价走势图：</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73040" cy="177673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177673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美高梅国际酒店2005-2018年股价走势图：</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71135" cy="1678305"/>
            <wp:effectExtent l="0" t="0" r="190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1678305"/>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道琼斯2005-2018年走势图：</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5263515" cy="1983740"/>
            <wp:effectExtent l="0" t="0" r="952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3515" cy="1983740"/>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从以上几张走势图对比来看，熊市投资博彩业并非包赚不赔，在经济严重衰退的熊市阶段，博彩业个股</w:t>
      </w:r>
      <w:r>
        <w:rPr>
          <w:rFonts w:hint="eastAsia"/>
          <w:b/>
          <w:bCs/>
          <w:sz w:val="24"/>
          <w:szCs w:val="24"/>
          <w:lang w:val="en-US" w:eastAsia="zh-CN"/>
        </w:rPr>
        <w:t>下滑的幅度</w:t>
      </w:r>
      <w:r>
        <w:rPr>
          <w:rFonts w:hint="eastAsia"/>
          <w:sz w:val="24"/>
          <w:szCs w:val="24"/>
          <w:lang w:val="en-US" w:eastAsia="zh-CN"/>
        </w:rPr>
        <w:t>可能</w:t>
      </w:r>
      <w:r>
        <w:rPr>
          <w:rFonts w:hint="eastAsia"/>
          <w:b/>
          <w:bCs/>
          <w:sz w:val="24"/>
          <w:szCs w:val="24"/>
          <w:lang w:val="en-US" w:eastAsia="zh-CN"/>
        </w:rPr>
        <w:t>远远大于</w:t>
      </w:r>
      <w:r>
        <w:rPr>
          <w:rFonts w:hint="eastAsia"/>
          <w:sz w:val="24"/>
          <w:szCs w:val="24"/>
          <w:lang w:val="en-US" w:eastAsia="zh-CN"/>
        </w:rPr>
        <w:t>指数下滑的幅度，</w:t>
      </w:r>
      <w:r>
        <w:rPr>
          <w:rFonts w:hint="eastAsia"/>
          <w:b/>
          <w:bCs/>
          <w:sz w:val="24"/>
          <w:szCs w:val="24"/>
          <w:lang w:val="en-US" w:eastAsia="zh-CN"/>
        </w:rPr>
        <w:t>持续时间</w:t>
      </w:r>
      <w:r>
        <w:rPr>
          <w:rFonts w:hint="eastAsia"/>
          <w:sz w:val="24"/>
          <w:szCs w:val="24"/>
          <w:lang w:val="en-US" w:eastAsia="zh-CN"/>
        </w:rPr>
        <w:t>也比指数下跌期</w:t>
      </w:r>
      <w:r>
        <w:rPr>
          <w:rFonts w:hint="eastAsia"/>
          <w:b/>
          <w:bCs/>
          <w:sz w:val="24"/>
          <w:szCs w:val="24"/>
          <w:lang w:val="en-US" w:eastAsia="zh-CN"/>
        </w:rPr>
        <w:t>更长</w:t>
      </w:r>
      <w:r>
        <w:rPr>
          <w:rFonts w:hint="eastAsia"/>
          <w:sz w:val="24"/>
          <w:szCs w:val="24"/>
          <w:lang w:val="en-US" w:eastAsia="zh-CN"/>
        </w:rPr>
        <w:t>。</w:t>
      </w:r>
    </w:p>
    <w:p>
      <w:pPr>
        <w:widowControl w:val="0"/>
        <w:numPr>
          <w:ilvl w:val="0"/>
          <w:numId w:val="0"/>
        </w:numPr>
        <w:jc w:val="both"/>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8、博彩业提升收入主要靠哪些驱动因素？</w:t>
      </w:r>
    </w:p>
    <w:p>
      <w:pPr>
        <w:widowControl w:val="0"/>
        <w:numPr>
          <w:ilvl w:val="0"/>
          <w:numId w:val="0"/>
        </w:numPr>
        <w:jc w:val="both"/>
        <w:rPr>
          <w:rFonts w:hint="eastAsia"/>
          <w:lang w:val="en-US" w:eastAsia="zh-CN"/>
        </w:rPr>
      </w:pPr>
    </w:p>
    <w:p>
      <w:pPr>
        <w:numPr>
          <w:ilvl w:val="0"/>
          <w:numId w:val="4"/>
        </w:numPr>
        <w:rPr>
          <w:rFonts w:hint="eastAsia"/>
          <w:sz w:val="24"/>
          <w:szCs w:val="24"/>
          <w:lang w:val="en-US" w:eastAsia="zh-CN"/>
        </w:rPr>
      </w:pPr>
      <w:r>
        <w:rPr>
          <w:rFonts w:hint="eastAsia"/>
          <w:sz w:val="24"/>
          <w:szCs w:val="24"/>
          <w:lang w:val="en-US" w:eastAsia="zh-CN"/>
        </w:rPr>
        <w:t>客流增加</w:t>
      </w:r>
    </w:p>
    <w:p>
      <w:pPr>
        <w:numPr>
          <w:ilvl w:val="0"/>
          <w:numId w:val="4"/>
        </w:numPr>
        <w:rPr>
          <w:rFonts w:hint="eastAsia"/>
          <w:sz w:val="24"/>
          <w:szCs w:val="24"/>
          <w:lang w:val="en-US" w:eastAsia="zh-CN"/>
        </w:rPr>
      </w:pPr>
      <w:r>
        <w:rPr>
          <w:rFonts w:hint="eastAsia"/>
          <w:sz w:val="24"/>
          <w:szCs w:val="24"/>
          <w:lang w:val="en-US" w:eastAsia="zh-CN"/>
        </w:rPr>
        <w:t>客人的收入增加</w:t>
      </w:r>
    </w:p>
    <w:p>
      <w:pPr>
        <w:numPr>
          <w:ilvl w:val="0"/>
          <w:numId w:val="4"/>
        </w:numPr>
        <w:rPr>
          <w:rFonts w:hint="eastAsia"/>
          <w:sz w:val="24"/>
          <w:szCs w:val="24"/>
          <w:lang w:val="en-US" w:eastAsia="zh-CN"/>
        </w:rPr>
      </w:pPr>
      <w:r>
        <w:rPr>
          <w:rFonts w:hint="eastAsia"/>
          <w:sz w:val="24"/>
          <w:szCs w:val="24"/>
          <w:lang w:val="en-US" w:eastAsia="zh-CN"/>
        </w:rPr>
        <w:t>增加赌台数量</w:t>
      </w:r>
    </w:p>
    <w:p>
      <w:pPr>
        <w:numPr>
          <w:ilvl w:val="0"/>
          <w:numId w:val="4"/>
        </w:numPr>
        <w:rPr>
          <w:rFonts w:hint="eastAsia"/>
          <w:sz w:val="24"/>
          <w:szCs w:val="24"/>
          <w:lang w:val="en-US" w:eastAsia="zh-CN"/>
        </w:rPr>
      </w:pPr>
      <w:r>
        <w:rPr>
          <w:rFonts w:hint="eastAsia"/>
          <w:sz w:val="24"/>
          <w:szCs w:val="24"/>
          <w:lang w:val="en-US" w:eastAsia="zh-CN"/>
        </w:rPr>
        <w:t>开新赌场</w:t>
      </w:r>
    </w:p>
    <w:p>
      <w:pPr>
        <w:numPr>
          <w:ilvl w:val="0"/>
          <w:numId w:val="4"/>
        </w:numPr>
        <w:rPr>
          <w:rFonts w:hint="eastAsia"/>
          <w:sz w:val="24"/>
          <w:szCs w:val="24"/>
          <w:lang w:val="en-US" w:eastAsia="zh-CN"/>
        </w:rPr>
      </w:pPr>
      <w:r>
        <w:rPr>
          <w:rFonts w:hint="eastAsia"/>
          <w:sz w:val="24"/>
          <w:szCs w:val="24"/>
          <w:lang w:val="en-US" w:eastAsia="zh-CN"/>
        </w:rPr>
        <w:t>提高最低投注金额</w:t>
      </w:r>
    </w:p>
    <w:p>
      <w:pPr>
        <w:numPr>
          <w:ilvl w:val="0"/>
          <w:numId w:val="4"/>
        </w:numPr>
        <w:rPr>
          <w:rFonts w:hint="eastAsia"/>
          <w:sz w:val="24"/>
          <w:szCs w:val="24"/>
          <w:lang w:val="en-US" w:eastAsia="zh-CN"/>
        </w:rPr>
      </w:pPr>
      <w:r>
        <w:rPr>
          <w:rFonts w:hint="eastAsia"/>
          <w:sz w:val="24"/>
          <w:szCs w:val="24"/>
          <w:lang w:val="en-US" w:eastAsia="zh-CN"/>
        </w:rPr>
        <w:t>增加非赌业收入</w:t>
      </w:r>
    </w:p>
    <w:p>
      <w:pPr>
        <w:numPr>
          <w:ilvl w:val="0"/>
          <w:numId w:val="0"/>
        </w:numPr>
        <w:rPr>
          <w:rFonts w:hint="eastAsia"/>
          <w:sz w:val="24"/>
          <w:szCs w:val="24"/>
          <w:lang w:val="en-US" w:eastAsia="zh-CN"/>
        </w:rPr>
      </w:pPr>
      <w:r>
        <w:rPr>
          <w:rFonts w:hint="eastAsia"/>
          <w:sz w:val="24"/>
          <w:szCs w:val="24"/>
          <w:lang w:val="en-US" w:eastAsia="zh-CN"/>
        </w:rPr>
        <w:t>把你的选择按照重要性排序，并加以说明</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在澳门博彩业第一轮景气周期（05-09年），受益于2002年赌权开放，六家博彩特许经营权公司纷纷开始建设，这段时间博彩业提升收入主要依靠的因素是D和C。</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澳门博彩业第二轮景气周期（10-14年），博彩业提升收入依靠的因素是E和A。</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目前澳门博彩业已开始复苏，博彩业上市公司提升收入主要依靠的因素将是A、B和F，港珠澳大桥、澳门轻轨等重大基建陆续完成，交通的便捷性将带来游客的增长，人均博彩花费将随着居民收入水平的提升而增长，另外中央和澳门特区政府都重视经济多元化建设，避免过度依赖博彩业的问题，各上市公司也加大了非博彩业的投入，大量非博彩娱乐项目的建成将吸引多元化游客，非赌业收入将成为一大增长点。</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9、14年后澳门博彩业不振，主要有哪些主要原因？</w:t>
      </w:r>
    </w:p>
    <w:p>
      <w:pPr>
        <w:numPr>
          <w:ilvl w:val="0"/>
          <w:numId w:val="0"/>
        </w:numPr>
        <w:rPr>
          <w:rFonts w:hint="eastAsia"/>
          <w:sz w:val="24"/>
          <w:szCs w:val="24"/>
          <w:lang w:val="en-US" w:eastAsia="zh-CN"/>
        </w:rPr>
      </w:pPr>
      <w:r>
        <w:rPr>
          <w:rFonts w:hint="eastAsia"/>
          <w:sz w:val="24"/>
          <w:szCs w:val="24"/>
          <w:lang w:val="en-US" w:eastAsia="zh-CN"/>
        </w:rPr>
        <w:t>博彩业主要下滑的原因来自于政策变化，受国内持续反腐运动、银联卡限制额度以及禁烟令等影响较大。</w:t>
      </w:r>
    </w:p>
    <w:p>
      <w:pPr>
        <w:rPr>
          <w:rFonts w:hint="eastAsia"/>
          <w:sz w:val="24"/>
          <w:szCs w:val="24"/>
        </w:rPr>
      </w:pPr>
    </w:p>
    <w:p/>
    <w:p/>
    <w:p/>
    <w:p/>
    <w:p/>
    <w:p/>
    <w:p/>
    <w:p/>
    <w:p/>
    <w:p/>
    <w:p/>
    <w:p/>
    <w:p/>
    <w:p/>
    <w:p/>
    <w:p/>
    <w:p/>
    <w:p/>
    <w:p/>
    <w:p/>
    <w:p/>
    <w:p>
      <w:pPr>
        <w:numPr>
          <w:ilvl w:val="0"/>
          <w:numId w:val="0"/>
        </w:numPr>
        <w:rPr>
          <w:rFonts w:hint="eastAsia"/>
          <w:b/>
          <w:bCs/>
          <w:sz w:val="28"/>
          <w:szCs w:val="28"/>
          <w:lang w:val="en-US" w:eastAsia="zh-CN"/>
        </w:rPr>
      </w:pPr>
      <w:r>
        <w:rPr>
          <w:rFonts w:hint="eastAsia"/>
          <w:b/>
          <w:bCs/>
          <w:sz w:val="28"/>
          <w:szCs w:val="28"/>
          <w:lang w:val="en-US" w:eastAsia="zh-CN"/>
        </w:rPr>
        <w:t>附加题</w:t>
      </w:r>
    </w:p>
    <w:p>
      <w:pPr>
        <w:numPr>
          <w:ilvl w:val="0"/>
          <w:numId w:val="0"/>
        </w:numPr>
        <w:rPr>
          <w:rFonts w:hint="eastAsia"/>
          <w:b/>
          <w:bCs/>
          <w:sz w:val="28"/>
          <w:szCs w:val="28"/>
          <w:lang w:val="en-US" w:eastAsia="zh-CN"/>
        </w:rPr>
      </w:pPr>
      <w:r>
        <w:rPr>
          <w:rFonts w:hint="eastAsia"/>
          <w:b/>
          <w:bCs/>
          <w:sz w:val="28"/>
          <w:szCs w:val="28"/>
          <w:lang w:val="en-US" w:eastAsia="zh-CN"/>
        </w:rPr>
        <w:t>1、酒店的入住率，餐饮的翻台率和博彩单个台子的净收入有何联系？对比快餐和赌场，商业模式和关键营运指标有何异同？</w:t>
      </w:r>
    </w:p>
    <w:p>
      <w:pPr>
        <w:widowControl w:val="0"/>
        <w:numPr>
          <w:ilvl w:val="0"/>
          <w:numId w:val="0"/>
        </w:numPr>
        <w:jc w:val="both"/>
        <w:rPr>
          <w:rFonts w:hint="eastAsia"/>
        </w:rPr>
      </w:pPr>
    </w:p>
    <w:p>
      <w:pPr>
        <w:widowControl w:val="0"/>
        <w:numPr>
          <w:ilvl w:val="0"/>
          <w:numId w:val="0"/>
        </w:numPr>
        <w:jc w:val="both"/>
      </w:pPr>
      <w:r>
        <w:drawing>
          <wp:inline distT="0" distB="0" distL="114300" distR="114300">
            <wp:extent cx="5270500" cy="2026285"/>
            <wp:effectExtent l="0" t="0" r="2540"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0500" cy="2026285"/>
                    </a:xfrm>
                    <a:prstGeom prst="rect">
                      <a:avLst/>
                    </a:prstGeom>
                    <a:noFill/>
                    <a:ln w="9525">
                      <a:noFill/>
                    </a:ln>
                  </pic:spPr>
                </pic:pic>
              </a:graphicData>
            </a:graphic>
          </wp:inline>
        </w:drawing>
      </w:r>
    </w:p>
    <w:p>
      <w:pPr>
        <w:widowControl w:val="0"/>
        <w:numPr>
          <w:ilvl w:val="0"/>
          <w:numId w:val="0"/>
        </w:numPr>
        <w:jc w:val="both"/>
        <w:rPr>
          <w:rFonts w:hint="eastAsia"/>
        </w:rPr>
      </w:pPr>
      <w:r>
        <w:drawing>
          <wp:inline distT="0" distB="0" distL="114300" distR="114300">
            <wp:extent cx="4812030" cy="2747010"/>
            <wp:effectExtent l="0" t="0" r="381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812030" cy="27470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2405" cy="2940050"/>
            <wp:effectExtent l="0" t="0" r="635" b="12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a:stretch>
                      <a:fillRect/>
                    </a:stretch>
                  </pic:blipFill>
                  <pic:spPr>
                    <a:xfrm>
                      <a:off x="0" y="0"/>
                      <a:ext cx="5272405" cy="29400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从统计数据来看，08年以后博彩单台净收入与酒店入住率成正相关关系，与餐饮企业的收入（近似理解为翻台率一致）成正相关关系。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比快餐和赌场，商业模式上，快餐店对食物进行加工后提供给食客，成本主要是房租、食材和人工；赌场是吸引赌客下注，通过一定的胜率获得净收入，中介的参与很大，需要给中介返佣，除了资本性开支和人工，返佣也是主要的成本之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关键运营指标，单台净收入均是快餐店和赌场重要的运营指标，快餐店更关注翻台率，而赌场会更关注转码百分比和赢率百分比。</w:t>
      </w:r>
    </w:p>
    <w:p>
      <w:pPr>
        <w:widowControl w:val="0"/>
        <w:numPr>
          <w:ilvl w:val="0"/>
          <w:numId w:val="0"/>
        </w:numPr>
        <w:jc w:val="both"/>
        <w:rPr>
          <w:rFonts w:hint="eastAsia"/>
        </w:rPr>
      </w:pPr>
    </w:p>
    <w:p>
      <w:pPr>
        <w:numPr>
          <w:ilvl w:val="0"/>
          <w:numId w:val="0"/>
        </w:numPr>
        <w:rPr>
          <w:rFonts w:hint="eastAsia"/>
          <w:b/>
          <w:bCs/>
          <w:sz w:val="28"/>
          <w:szCs w:val="28"/>
          <w:lang w:val="en-US" w:eastAsia="zh-CN"/>
        </w:rPr>
      </w:pPr>
      <w:r>
        <w:rPr>
          <w:rFonts w:hint="eastAsia"/>
          <w:b/>
          <w:bCs/>
          <w:sz w:val="28"/>
          <w:szCs w:val="28"/>
          <w:lang w:val="en-US" w:eastAsia="zh-CN"/>
        </w:rPr>
        <w:t>2、按照中美人口、经济总量对比，澳门和拉斯维加斯博彩业收入对比，你认为澳门的博彩业发展是否面临增长的极限？</w:t>
      </w:r>
    </w:p>
    <w:p>
      <w:pPr>
        <w:widowControl w:val="0"/>
        <w:numPr>
          <w:ilvl w:val="0"/>
          <w:numId w:val="0"/>
        </w:numPr>
        <w:jc w:val="both"/>
        <w:rPr>
          <w:rFonts w:hint="eastAsia"/>
        </w:rPr>
      </w:pPr>
    </w:p>
    <w:p>
      <w:pPr>
        <w:widowControl w:val="0"/>
        <w:numPr>
          <w:ilvl w:val="0"/>
          <w:numId w:val="0"/>
        </w:numPr>
        <w:jc w:val="center"/>
        <w:rPr>
          <w:rFonts w:hint="eastAsia"/>
        </w:rPr>
      </w:pPr>
      <w:bookmarkStart w:id="0" w:name="_GoBack"/>
      <w:r>
        <w:drawing>
          <wp:inline distT="0" distB="0" distL="114300" distR="114300">
            <wp:extent cx="3993515" cy="2377440"/>
            <wp:effectExtent l="0" t="0" r="1460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3993515" cy="2377440"/>
                    </a:xfrm>
                    <a:prstGeom prst="rect">
                      <a:avLst/>
                    </a:prstGeom>
                    <a:noFill/>
                    <a:ln w="9525">
                      <a:noFill/>
                    </a:ln>
                  </pic:spPr>
                </pic:pic>
              </a:graphicData>
            </a:graphic>
          </wp:inline>
        </w:drawing>
      </w:r>
      <w:bookmarkEnd w:id="0"/>
    </w:p>
    <w:p>
      <w:pPr>
        <w:widowControl w:val="0"/>
        <w:numPr>
          <w:ilvl w:val="0"/>
          <w:numId w:val="0"/>
        </w:numPr>
        <w:jc w:val="both"/>
        <w:rPr>
          <w:rFonts w:hint="eastAsia"/>
        </w:rPr>
      </w:pPr>
    </w:p>
    <w:p>
      <w:pPr>
        <w:widowControl w:val="0"/>
        <w:numPr>
          <w:ilvl w:val="0"/>
          <w:numId w:val="0"/>
        </w:numPr>
        <w:jc w:val="both"/>
        <w:rPr>
          <w:rFonts w:hint="eastAsia"/>
        </w:rPr>
      </w:pPr>
      <w:r>
        <w:rPr>
          <w:rFonts w:ascii="宋体" w:hAnsi="宋体" w:eastAsia="宋体" w:cs="宋体"/>
          <w:sz w:val="24"/>
          <w:szCs w:val="24"/>
        </w:rPr>
        <w:drawing>
          <wp:inline distT="0" distB="0" distL="114300" distR="114300">
            <wp:extent cx="5131435" cy="2357120"/>
            <wp:effectExtent l="0" t="0" r="4445" b="508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4"/>
                    <a:stretch>
                      <a:fillRect/>
                    </a:stretch>
                  </pic:blipFill>
                  <pic:spPr>
                    <a:xfrm>
                      <a:off x="0" y="0"/>
                      <a:ext cx="5131435" cy="2357120"/>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158105" cy="4257675"/>
            <wp:effectExtent l="0" t="0" r="8255" b="952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5"/>
                    <a:stretch>
                      <a:fillRect/>
                    </a:stretch>
                  </pic:blipFill>
                  <pic:spPr>
                    <a:xfrm>
                      <a:off x="0" y="0"/>
                      <a:ext cx="5158105" cy="4257675"/>
                    </a:xfrm>
                    <a:prstGeom prst="rect">
                      <a:avLst/>
                    </a:prstGeom>
                    <a:noFill/>
                    <a:ln w="9525">
                      <a:noFill/>
                    </a:ln>
                  </pic:spPr>
                </pic:pic>
              </a:graphicData>
            </a:graphic>
          </wp:inline>
        </w:drawing>
      </w:r>
    </w:p>
    <w:p>
      <w:pPr>
        <w:widowControl w:val="0"/>
        <w:numPr>
          <w:ilvl w:val="0"/>
          <w:numId w:val="0"/>
        </w:numPr>
        <w:jc w:val="both"/>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2016年澳门GDP总值为3582亿澳门元，折合448亿美元，</w:t>
      </w:r>
      <w:r>
        <w:rPr>
          <w:rFonts w:hint="default" w:ascii="宋体" w:hAnsi="宋体" w:eastAsia="宋体" w:cs="宋体"/>
          <w:sz w:val="24"/>
          <w:szCs w:val="24"/>
          <w:lang w:val="en-US" w:eastAsia="zh-CN"/>
        </w:rPr>
        <w:t>人均GDP为69732美元</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drawing>
          <wp:inline distT="0" distB="0" distL="114300" distR="114300">
            <wp:extent cx="4831080" cy="2915285"/>
            <wp:effectExtent l="0" t="0" r="0" b="1079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6"/>
                    <a:stretch>
                      <a:fillRect/>
                    </a:stretch>
                  </pic:blipFill>
                  <pic:spPr>
                    <a:xfrm>
                      <a:off x="0" y="0"/>
                      <a:ext cx="4831080" cy="29152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2016年拉斯维加斯都会区GDP为1033.43亿美元，人口219.93万人，</w:t>
      </w:r>
      <w:r>
        <w:rPr>
          <w:rFonts w:hint="default" w:ascii="宋体" w:hAnsi="宋体" w:eastAsia="宋体" w:cs="宋体"/>
          <w:sz w:val="24"/>
          <w:szCs w:val="24"/>
          <w:lang w:val="en-US" w:eastAsia="zh-CN"/>
        </w:rPr>
        <w:t>人均GDP为46989美元</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拉斯维加斯早在上世纪90年代就迎来了第一次改革浪潮。著名的梦幻金殿、纽约纽约、威尼斯人酒店均建于彼时，单一博彩模式也随之被集美食、娱乐、购物为一体的多元度假新模式所取代。澳门博彩收入在2006年就超越了拉斯维加斯，跃居世界第一大赌城。2007年至2009年的全球金融危机和经济衰退让拉斯维加斯受到沉重打击，其经济深受其害。目前，虽然每年来到拉斯维加斯的游客近4000多万，消费金额达320亿美元，但其中来自博彩业的消费仅占25％，约合80亿美元，博彩业收入约为澳门的三分之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从拉斯维加斯博彩业的发展历程来看，博彩业的发展也将面临增长的极限，会受到人口增长，人均收入增长的影响。</w:t>
      </w:r>
    </w:p>
    <w:p>
      <w:pPr>
        <w:widowControl w:val="0"/>
        <w:numPr>
          <w:ilvl w:val="0"/>
          <w:numId w:val="0"/>
        </w:numPr>
        <w:jc w:val="both"/>
        <w:rPr>
          <w:rFonts w:hint="eastAsia" w:ascii="宋体" w:hAnsi="宋体" w:eastAsia="宋体" w:cs="宋体"/>
          <w:sz w:val="24"/>
          <w:szCs w:val="24"/>
        </w:rPr>
      </w:pPr>
    </w:p>
    <w:p>
      <w:pPr>
        <w:numPr>
          <w:ilvl w:val="0"/>
          <w:numId w:val="0"/>
        </w:numPr>
        <w:rPr>
          <w:rFonts w:hint="eastAsia"/>
          <w:b/>
          <w:bCs/>
          <w:sz w:val="28"/>
          <w:szCs w:val="28"/>
          <w:lang w:val="en-US" w:eastAsia="zh-CN"/>
        </w:rPr>
      </w:pPr>
      <w:r>
        <w:rPr>
          <w:rFonts w:hint="eastAsia"/>
          <w:b/>
          <w:bCs/>
          <w:sz w:val="28"/>
          <w:szCs w:val="28"/>
          <w:lang w:val="en-US" w:eastAsia="zh-CN"/>
        </w:rPr>
        <w:t>3、你认为人均GDP与博彩行业发展有怎样的联系？</w:t>
      </w:r>
    </w:p>
    <w:p>
      <w:pPr>
        <w:widowControl w:val="0"/>
        <w:numPr>
          <w:numId w:val="0"/>
        </w:numPr>
        <w:jc w:val="both"/>
        <w:rPr>
          <w:rFonts w:hint="eastAsia"/>
        </w:rPr>
      </w:pPr>
    </w:p>
    <w:p>
      <w:pPr>
        <w:widowControl w:val="0"/>
        <w:numPr>
          <w:numId w:val="0"/>
        </w:numPr>
        <w:jc w:val="both"/>
      </w:pPr>
      <w:r>
        <w:drawing>
          <wp:inline distT="0" distB="0" distL="114300" distR="114300">
            <wp:extent cx="4805045" cy="2661920"/>
            <wp:effectExtent l="0" t="0" r="1079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4805045" cy="266192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r>
        <w:drawing>
          <wp:inline distT="0" distB="0" distL="114300" distR="114300">
            <wp:extent cx="4941570" cy="2972435"/>
            <wp:effectExtent l="0" t="0" r="11430"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941570" cy="297243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历史数据可以看出，澳门博彩行业开放后澳门的赌客人均博彩支出持续稳步增长。赌客的人均支出与人均GDP增长水平基本保持同步。澳门博彩行业的毛收入增速情况来看也与我国名义GDP的增速呈现出很高的相关性。</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因此人均GDP与博彩行业发展呈</w:t>
      </w:r>
      <w:r>
        <w:rPr>
          <w:rFonts w:hint="eastAsia" w:ascii="宋体" w:hAnsi="宋体" w:eastAsia="宋体" w:cs="宋体"/>
          <w:color w:val="FF0000"/>
          <w:sz w:val="24"/>
          <w:szCs w:val="24"/>
          <w:lang w:val="en-US" w:eastAsia="zh-CN"/>
        </w:rPr>
        <w:t>正相关</w:t>
      </w:r>
      <w:r>
        <w:rPr>
          <w:rFonts w:hint="eastAsia" w:ascii="宋体" w:hAnsi="宋体" w:eastAsia="宋体" w:cs="宋体"/>
          <w:sz w:val="24"/>
          <w:szCs w:val="24"/>
          <w:lang w:val="en-US" w:eastAsia="zh-CN"/>
        </w:rPr>
        <w:t>关系。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86904"/>
    <w:multiLevelType w:val="singleLevel"/>
    <w:tmpl w:val="5AC86904"/>
    <w:lvl w:ilvl="0" w:tentative="0">
      <w:start w:val="1"/>
      <w:numFmt w:val="decimal"/>
      <w:suff w:val="nothing"/>
      <w:lvlText w:val="%1、"/>
      <w:lvlJc w:val="left"/>
    </w:lvl>
  </w:abstractNum>
  <w:abstractNum w:abstractNumId="1">
    <w:nsid w:val="5AC86CF8"/>
    <w:multiLevelType w:val="singleLevel"/>
    <w:tmpl w:val="5AC86CF8"/>
    <w:lvl w:ilvl="0" w:tentative="0">
      <w:start w:val="1"/>
      <w:numFmt w:val="upperLetter"/>
      <w:suff w:val="nothing"/>
      <w:lvlText w:val="%1、"/>
      <w:lvlJc w:val="left"/>
    </w:lvl>
  </w:abstractNum>
  <w:abstractNum w:abstractNumId="2">
    <w:nsid w:val="5AC86EE1"/>
    <w:multiLevelType w:val="singleLevel"/>
    <w:tmpl w:val="5AC86EE1"/>
    <w:lvl w:ilvl="0" w:tentative="0">
      <w:start w:val="1"/>
      <w:numFmt w:val="upperLetter"/>
      <w:suff w:val="nothing"/>
      <w:lvlText w:val="%1、"/>
      <w:lvlJc w:val="left"/>
    </w:lvl>
  </w:abstractNum>
  <w:abstractNum w:abstractNumId="3">
    <w:nsid w:val="5AC876DF"/>
    <w:multiLevelType w:val="singleLevel"/>
    <w:tmpl w:val="5AC876DF"/>
    <w:lvl w:ilvl="0" w:tentative="0">
      <w:start w:val="1"/>
      <w:numFmt w:val="upperLetter"/>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B7174E8"/>
    <w:rsid w:val="002C5951"/>
    <w:rsid w:val="00515FFA"/>
    <w:rsid w:val="006F41CB"/>
    <w:rsid w:val="00781E5D"/>
    <w:rsid w:val="009709BB"/>
    <w:rsid w:val="00BC37C5"/>
    <w:rsid w:val="00E43751"/>
    <w:rsid w:val="02A62FFF"/>
    <w:rsid w:val="0484763A"/>
    <w:rsid w:val="12BE527A"/>
    <w:rsid w:val="12DB28E1"/>
    <w:rsid w:val="134E7592"/>
    <w:rsid w:val="176F3533"/>
    <w:rsid w:val="1BFE798B"/>
    <w:rsid w:val="1EBA4B06"/>
    <w:rsid w:val="20465397"/>
    <w:rsid w:val="237978CE"/>
    <w:rsid w:val="272665FE"/>
    <w:rsid w:val="29DC2B4E"/>
    <w:rsid w:val="31054820"/>
    <w:rsid w:val="319E2253"/>
    <w:rsid w:val="34450A8D"/>
    <w:rsid w:val="35B1126D"/>
    <w:rsid w:val="38221439"/>
    <w:rsid w:val="399626DA"/>
    <w:rsid w:val="441C34DB"/>
    <w:rsid w:val="467E5B13"/>
    <w:rsid w:val="483C2BEB"/>
    <w:rsid w:val="4E2D151A"/>
    <w:rsid w:val="4E6003FB"/>
    <w:rsid w:val="52FA2E92"/>
    <w:rsid w:val="5457702F"/>
    <w:rsid w:val="55981255"/>
    <w:rsid w:val="5C216B3E"/>
    <w:rsid w:val="6093711B"/>
    <w:rsid w:val="611429D0"/>
    <w:rsid w:val="6845668C"/>
    <w:rsid w:val="6A9C1B7B"/>
    <w:rsid w:val="72854D85"/>
    <w:rsid w:val="766E59F3"/>
    <w:rsid w:val="79552B6B"/>
    <w:rsid w:val="7AC218F2"/>
    <w:rsid w:val="7B7174E8"/>
    <w:rsid w:val="7D8502B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2">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4">
    <w:name w:val="FollowedHyperlink"/>
    <w:basedOn w:val="3"/>
    <w:uiPriority w:val="0"/>
    <w:rPr>
      <w:color w:val="5D7FA2"/>
      <w:u w:val="none"/>
    </w:rPr>
  </w:style>
  <w:style w:type="character" w:styleId="5">
    <w:name w:val="Emphasis"/>
    <w:basedOn w:val="3"/>
    <w:qFormat/>
    <w:uiPriority w:val="0"/>
  </w:style>
  <w:style w:type="character" w:styleId="6">
    <w:name w:val="HTML Definition"/>
    <w:basedOn w:val="3"/>
    <w:uiPriority w:val="0"/>
  </w:style>
  <w:style w:type="character" w:styleId="7">
    <w:name w:val="HTML Variable"/>
    <w:basedOn w:val="3"/>
    <w:uiPriority w:val="0"/>
  </w:style>
  <w:style w:type="character" w:styleId="8">
    <w:name w:val="Hyperlink"/>
    <w:basedOn w:val="3"/>
    <w:uiPriority w:val="0"/>
    <w:rPr>
      <w:color w:val="072885"/>
      <w:u w:val="none"/>
    </w:rPr>
  </w:style>
  <w:style w:type="character" w:styleId="9">
    <w:name w:val="HTML Code"/>
    <w:basedOn w:val="3"/>
    <w:uiPriority w:val="0"/>
    <w:rPr>
      <w:rFonts w:ascii="Courier New" w:hAnsi="Courier New"/>
      <w:sz w:val="20"/>
    </w:rPr>
  </w:style>
  <w:style w:type="character" w:styleId="10">
    <w:name w:val="HTML Cite"/>
    <w:basedOn w:val="3"/>
    <w:uiPriority w:val="0"/>
  </w:style>
  <w:style w:type="character" w:customStyle="1" w:styleId="12">
    <w:name w:val="weibomod-usercard-followbtn"/>
    <w:basedOn w:val="3"/>
    <w:uiPriority w:val="0"/>
    <w:rPr>
      <w:color w:val="666666"/>
      <w:bdr w:val="single" w:color="D7D7D7" w:sz="4" w:space="0"/>
      <w:shd w:val="clear" w:fill="EAEAEA"/>
    </w:rPr>
  </w:style>
  <w:style w:type="character" w:customStyle="1" w:styleId="13">
    <w:name w:val="weibomod-usercard-followbtn1"/>
    <w:basedOn w:val="3"/>
    <w:uiPriority w:val="0"/>
    <w:rPr>
      <w:color w:val="666666"/>
      <w:bdr w:val="single" w:color="D7D7D7" w:sz="4" w:space="0"/>
      <w:shd w:val="clear" w:fill="EAEAEA"/>
    </w:rPr>
  </w:style>
  <w:style w:type="character" w:customStyle="1" w:styleId="14">
    <w:name w:val="cur"/>
    <w:basedOn w:val="3"/>
    <w:uiPriority w:val="0"/>
    <w:rPr>
      <w:b/>
      <w:color w:val="FFFFFF"/>
      <w:bdr w:val="none" w:color="072885" w:sz="0" w:space="0"/>
      <w:shd w:val="clear" w:fill="072885"/>
    </w:rPr>
  </w:style>
  <w:style w:type="character" w:customStyle="1" w:styleId="15">
    <w:name w:val="selected"/>
    <w:basedOn w:val="3"/>
    <w:uiPriority w:val="0"/>
    <w:rPr>
      <w:color w:val="09227C"/>
      <w:shd w:val="clear" w:fill="FFFFFF"/>
    </w:rPr>
  </w:style>
  <w:style w:type="character" w:customStyle="1" w:styleId="16">
    <w:name w:val="selected1"/>
    <w:basedOn w:val="3"/>
    <w:uiPriority w:val="0"/>
    <w:rPr>
      <w:color w:val="010101"/>
      <w:shd w:val="clear" w:fill="FFFFFF"/>
    </w:rPr>
  </w:style>
  <w:style w:type="character" w:customStyle="1" w:styleId="17">
    <w:name w:val="nolike"/>
    <w:basedOn w:val="3"/>
    <w:uiPriority w:val="0"/>
  </w:style>
  <w:style w:type="character" w:customStyle="1" w:styleId="18">
    <w:name w:val="more"/>
    <w:basedOn w:val="3"/>
    <w:uiPriority w:val="0"/>
    <w:rPr>
      <w:rFonts w:hint="eastAsia" w:ascii="宋体" w:hAnsi="宋体" w:eastAsia="宋体" w:cs="宋体"/>
      <w:sz w:val="14"/>
      <w:szCs w:val="14"/>
      <w:bdr w:val="none" w:color="auto" w:sz="0" w:space="0"/>
    </w:rPr>
  </w:style>
  <w:style w:type="character" w:customStyle="1" w:styleId="19">
    <w:name w:val="fl"/>
    <w:basedOn w:val="3"/>
    <w:uiPriority w:val="0"/>
  </w:style>
  <w:style w:type="character" w:customStyle="1" w:styleId="20">
    <w:name w:val="current"/>
    <w:basedOn w:val="3"/>
    <w:uiPriority w:val="0"/>
    <w:rPr>
      <w:shd w:val="clear" w:fill="E23F40"/>
    </w:rPr>
  </w:style>
  <w:style w:type="character" w:customStyle="1" w:styleId="21">
    <w:name w:val="qq_login_logo"/>
    <w:basedOn w:val="3"/>
    <w:uiPriority w:val="0"/>
  </w:style>
  <w:style w:type="character" w:customStyle="1" w:styleId="22">
    <w:name w:val="bsharetext"/>
    <w:basedOn w:val="3"/>
    <w:uiPriority w:val="0"/>
  </w:style>
  <w:style w:type="character" w:customStyle="1" w:styleId="23">
    <w:name w:val="cur1"/>
    <w:basedOn w:val="3"/>
    <w:uiPriority w:val="0"/>
    <w:rPr>
      <w:b/>
      <w:color w:val="FFFFFF"/>
      <w:bdr w:val="none" w:color="072885" w:sz="0" w:space="0"/>
      <w:shd w:val="clear" w:fill="072885"/>
    </w:rPr>
  </w:style>
  <w:style w:type="character" w:customStyle="1" w:styleId="24">
    <w:name w:val="more8"/>
    <w:basedOn w:val="3"/>
    <w:uiPriority w:val="0"/>
    <w:rPr>
      <w:rFonts w:hint="eastAsia" w:ascii="宋体" w:hAnsi="宋体" w:eastAsia="宋体" w:cs="宋体"/>
      <w:sz w:val="14"/>
      <w:szCs w:val="14"/>
      <w:bdr w:val="none" w:color="auto" w:sz="0"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payh</Company>
  <Pages>2</Pages>
  <Words>151</Words>
  <Characters>862</Characters>
  <Lines>7</Lines>
  <Paragraphs>2</Paragraphs>
  <ScaleCrop>false</ScaleCrop>
  <LinksUpToDate>false</LinksUpToDate>
  <CharactersWithSpaces>1011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2018-04-07T06:38:00Z</dcterms:created>
  <dc:creator>think</dc:creator>
  <cp:lastModifiedBy>沈Su</cp:lastModifiedBy>
  <dcterms:modified xsi:type="dcterms:W3CDTF">2018-04-09T06:27:11Z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