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【18春训营-价值投资新时代】任务三：银行-重资产国家产业</w:t>
      </w:r>
    </w:p>
    <w:p>
      <w:pPr>
        <w:rPr>
          <w:rFonts w:hint="eastAsia"/>
          <w:lang w:val="en-US" w:eastAsia="zh-CN"/>
        </w:rPr>
      </w:pPr>
    </w:p>
    <w:p>
      <w:pPr>
        <w:rPr>
          <w:rFonts w:hint="eastAsia"/>
          <w:lang w:val="en-US" w:eastAsia="zh-CN"/>
        </w:rPr>
      </w:pPr>
      <w:r>
        <w:rPr>
          <w:rFonts w:hint="eastAsia"/>
          <w:lang w:val="en-US" w:eastAsia="zh-CN"/>
        </w:rPr>
        <w:t>【春训营守则】：</w:t>
      </w:r>
    </w:p>
    <w:p>
      <w:pPr>
        <w:numPr>
          <w:ilvl w:val="0"/>
          <w:numId w:val="1"/>
        </w:numPr>
        <w:rPr>
          <w:rFonts w:hint="eastAsia"/>
          <w:lang w:val="en-US" w:eastAsia="zh-CN"/>
        </w:rPr>
      </w:pPr>
      <w:r>
        <w:rPr>
          <w:rFonts w:hint="eastAsia"/>
          <w:lang w:val="en-US" w:eastAsia="zh-CN"/>
        </w:rPr>
        <w:t>高质完成作业，按时（周日晚12点前）提交；</w:t>
      </w:r>
    </w:p>
    <w:p>
      <w:pPr>
        <w:numPr>
          <w:ilvl w:val="0"/>
          <w:numId w:val="1"/>
        </w:numPr>
        <w:rPr>
          <w:rFonts w:hint="eastAsia"/>
          <w:lang w:val="en-US" w:eastAsia="zh-CN"/>
        </w:rPr>
      </w:pPr>
      <w:r>
        <w:rPr>
          <w:rFonts w:hint="eastAsia"/>
          <w:lang w:val="en-US" w:eastAsia="zh-CN"/>
        </w:rPr>
        <w:t>对题目内容保密，严禁外传，一经发现，取消春训营资格；</w:t>
      </w:r>
    </w:p>
    <w:p>
      <w:pPr>
        <w:numPr>
          <w:ilvl w:val="0"/>
          <w:numId w:val="1"/>
        </w:numPr>
        <w:rPr>
          <w:rFonts w:hint="eastAsia"/>
          <w:lang w:val="en-US" w:eastAsia="zh-CN"/>
        </w:rPr>
      </w:pPr>
      <w:r>
        <w:rPr>
          <w:rFonts w:hint="eastAsia"/>
          <w:lang w:val="en-US" w:eastAsia="zh-CN"/>
        </w:rPr>
        <w:t>每人有三次交作业豁免的机会，三次机会用完后每次需付费100元查看答案。</w:t>
      </w:r>
    </w:p>
    <w:p>
      <w:pPr>
        <w:numPr>
          <w:ilvl w:val="0"/>
          <w:numId w:val="1"/>
        </w:numPr>
        <w:rPr>
          <w:rFonts w:hint="eastAsia"/>
          <w:lang w:val="en-US" w:eastAsia="zh-CN"/>
        </w:rPr>
      </w:pPr>
      <w:r>
        <w:rPr>
          <w:rFonts w:hint="eastAsia"/>
          <w:lang w:val="en-US" w:eastAsia="zh-CN"/>
        </w:rPr>
        <w:t>作业被评为“很水”需要在群内发50元（分十个）拼手气红包。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【截止时间】：4月15日（周日）晚12点前在九斗网站提交</w:t>
      </w:r>
    </w:p>
    <w:p>
      <w:pPr>
        <w:widowControl w:val="0"/>
        <w:numPr>
          <w:ilvl w:val="0"/>
          <w:numId w:val="0"/>
        </w:numPr>
        <w:jc w:val="both"/>
        <w:rPr>
          <w:rFonts w:hint="eastAsia"/>
          <w:lang w:val="en-US" w:eastAsia="zh-CN"/>
        </w:rPr>
      </w:pPr>
      <w:r>
        <w:rPr>
          <w:rFonts w:hint="eastAsia"/>
          <w:lang w:val="en-US" w:eastAsia="zh-CN"/>
        </w:rPr>
        <w:t>【耗时预估】：12-20小时</w:t>
      </w:r>
    </w:p>
    <w:p>
      <w:pPr>
        <w:widowControl w:val="0"/>
        <w:numPr>
          <w:ilvl w:val="0"/>
          <w:numId w:val="0"/>
        </w:numPr>
        <w:jc w:val="both"/>
        <w:rPr>
          <w:rFonts w:hint="eastAsia"/>
          <w:lang w:val="en-US" w:eastAsia="zh-CN"/>
        </w:rPr>
      </w:pPr>
      <w:r>
        <w:rPr>
          <w:rFonts w:hint="eastAsia"/>
          <w:lang w:val="en-US" w:eastAsia="zh-CN"/>
        </w:rPr>
        <w:t>【预备阅读】：</w:t>
      </w:r>
    </w:p>
    <w:p>
      <w:pPr>
        <w:widowControl w:val="0"/>
        <w:numPr>
          <w:ilvl w:val="0"/>
          <w:numId w:val="0"/>
        </w:numPr>
        <w:jc w:val="both"/>
        <w:rPr>
          <w:rFonts w:hint="eastAsia"/>
          <w:lang w:val="en-US" w:eastAsia="zh-CN"/>
        </w:rPr>
      </w:pPr>
      <w:r>
        <w:rPr>
          <w:rFonts w:hint="eastAsia"/>
          <w:lang w:val="en-US" w:eastAsia="zh-CN"/>
        </w:rPr>
        <w:t>分为通关题阅读和附加题阅读，请翻页查看。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通关题【预备阅读】：</w:t>
      </w:r>
    </w:p>
    <w:p>
      <w:pPr>
        <w:widowControl w:val="0"/>
        <w:numPr>
          <w:ilvl w:val="0"/>
          <w:numId w:val="2"/>
        </w:numPr>
        <w:jc w:val="both"/>
        <w:rPr>
          <w:rFonts w:hint="eastAsia"/>
          <w:lang w:val="en-US" w:eastAsia="zh-CN"/>
        </w:rPr>
      </w:pPr>
      <w:r>
        <w:rPr>
          <w:rFonts w:hint="eastAsia"/>
          <w:lang w:val="en-US" w:eastAsia="zh-CN"/>
        </w:rPr>
        <w:t>银行赚钱模式小解（基础篇、进阶篇、完结篇）</w:t>
      </w:r>
    </w:p>
    <w:p>
      <w:pPr>
        <w:widowControl w:val="0"/>
        <w:numPr>
          <w:ilvl w:val="0"/>
          <w:numId w:val="2"/>
        </w:numPr>
        <w:jc w:val="both"/>
        <w:rPr>
          <w:rFonts w:hint="eastAsia"/>
          <w:lang w:val="en-US" w:eastAsia="zh-CN"/>
        </w:rPr>
      </w:pPr>
      <w:r>
        <w:rPr>
          <w:rFonts w:hint="eastAsia"/>
          <w:lang w:val="en-US" w:eastAsia="zh-CN"/>
        </w:rPr>
        <w:t>《（论估值）银行股还能飞多高？》公众号回复303</w:t>
      </w:r>
    </w:p>
    <w:p>
      <w:pPr>
        <w:widowControl w:val="0"/>
        <w:numPr>
          <w:ilvl w:val="0"/>
          <w:numId w:val="0"/>
        </w:numPr>
        <w:jc w:val="both"/>
        <w:rPr>
          <w:rFonts w:hint="eastAsia"/>
          <w:lang w:val="en-US" w:eastAsia="zh-CN"/>
        </w:rPr>
      </w:pPr>
      <w:r>
        <w:rPr>
          <w:rFonts w:hint="eastAsia"/>
          <w:lang w:val="en-US" w:eastAsia="zh-CN"/>
        </w:rPr>
        <w:t>https://mp.weixin.qq.com/s?__biz=MzIxMzI0OTg2Mw==&amp;mid=502695608&amp;idx=1&amp;sn=4b8a4a441ef8eaac42a8bbdac1b015ba&amp;key=a8ebc24790f6fd0140ca99f351ecf1c36d7ac50c7250b21423d7c9b6c85ba6eecd4e222c330c0485580d18d605acf1f1d110f4e5981e4a893ca8c0a70e91198c50c509f88334c3ab68bf1fc6832a5de4&amp;ascene=1&amp;uin=OTE0NDI3MDQw&amp;devicetype=Windows-QQBrowser&amp;version=6103000b&amp;lang=zh_CN&amp;pass_ticket=D5QTb49OoyCBSGfH%2Bz5isIE%2F9cbCDXtQqVIvTNBGVXlesl4ku%2For1gS%2BtvFvwbzk</w:t>
      </w:r>
    </w:p>
    <w:p>
      <w:pPr>
        <w:widowControl w:val="0"/>
        <w:numPr>
          <w:ilvl w:val="0"/>
          <w:numId w:val="2"/>
        </w:numPr>
        <w:jc w:val="both"/>
        <w:rPr>
          <w:rFonts w:hint="eastAsia"/>
          <w:lang w:val="en-US" w:eastAsia="zh-CN"/>
        </w:rPr>
      </w:pPr>
      <w:r>
        <w:rPr>
          <w:rFonts w:hint="eastAsia"/>
          <w:lang w:val="en-US" w:eastAsia="zh-CN"/>
        </w:rPr>
        <w:t>《花旗银行危机政府救助》，见附件</w:t>
      </w:r>
    </w:p>
    <w:p>
      <w:pPr>
        <w:widowControl w:val="0"/>
        <w:numPr>
          <w:ilvl w:val="0"/>
          <w:numId w:val="2"/>
        </w:numPr>
        <w:jc w:val="both"/>
        <w:rPr>
          <w:rFonts w:hint="eastAsia"/>
          <w:lang w:val="en-US" w:eastAsia="zh-CN"/>
        </w:rPr>
      </w:pPr>
      <w:r>
        <w:rPr>
          <w:rFonts w:hint="eastAsia"/>
          <w:lang w:val="en-US" w:eastAsia="zh-CN"/>
        </w:rPr>
        <w:t>《外汇注资，不一样的银行改革》，见辅助文件下载</w:t>
      </w:r>
    </w:p>
    <w:p>
      <w:pPr>
        <w:widowControl w:val="0"/>
        <w:numPr>
          <w:ilvl w:val="0"/>
          <w:numId w:val="2"/>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"http://bank.hexun.com/2008/kf30zhjhzz/index.html" </w:instrText>
      </w:r>
      <w:r>
        <w:rPr>
          <w:rFonts w:hint="eastAsia"/>
          <w:lang w:val="en-US" w:eastAsia="zh-CN"/>
        </w:rPr>
        <w:fldChar w:fldCharType="separate"/>
      </w:r>
      <w:r>
        <w:rPr>
          <w:rStyle w:val="3"/>
          <w:rFonts w:hint="eastAsia"/>
          <w:lang w:val="en-US" w:eastAsia="zh-CN"/>
        </w:rPr>
        <w:t>http://bank.hexun.com/2008/kf30zhjhzz/index.html</w:t>
      </w:r>
      <w:r>
        <w:rPr>
          <w:rFonts w:hint="eastAsia"/>
          <w:lang w:val="en-US" w:eastAsia="zh-CN"/>
        </w:rPr>
        <w:fldChar w:fldCharType="end"/>
      </w:r>
    </w:p>
    <w:p>
      <w:pPr>
        <w:widowControl w:val="0"/>
        <w:numPr>
          <w:ilvl w:val="0"/>
          <w:numId w:val="2"/>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"http://bank.hexun.com/2008/kaifang1/" </w:instrText>
      </w:r>
      <w:r>
        <w:rPr>
          <w:rFonts w:hint="eastAsia"/>
          <w:lang w:val="en-US" w:eastAsia="zh-CN"/>
        </w:rPr>
        <w:fldChar w:fldCharType="separate"/>
      </w:r>
      <w:r>
        <w:rPr>
          <w:rStyle w:val="3"/>
          <w:rFonts w:hint="eastAsia"/>
          <w:lang w:val="en-US" w:eastAsia="zh-CN"/>
        </w:rPr>
        <w:t>http://bank.hexun.com/2008/kaifang1/</w:t>
      </w:r>
      <w:r>
        <w:rPr>
          <w:rFonts w:hint="eastAsia"/>
          <w:lang w:val="en-US" w:eastAsia="zh-CN"/>
        </w:rPr>
        <w:fldChar w:fldCharType="end"/>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【通关题】：</w:t>
      </w:r>
    </w:p>
    <w:p>
      <w:pPr>
        <w:widowControl w:val="0"/>
        <w:numPr>
          <w:ilvl w:val="0"/>
          <w:numId w:val="3"/>
        </w:numPr>
        <w:jc w:val="both"/>
        <w:rPr>
          <w:rFonts w:hint="eastAsia"/>
          <w:lang w:val="en-US" w:eastAsia="zh-CN"/>
        </w:rPr>
      </w:pPr>
      <w:r>
        <w:rPr>
          <w:rFonts w:hint="eastAsia"/>
          <w:lang w:val="en-US" w:eastAsia="zh-CN"/>
        </w:rPr>
        <w:t>请用自己的语言表述不良率和拨备率</w:t>
      </w:r>
    </w:p>
    <w:p>
      <w:pPr>
        <w:widowControl w:val="0"/>
        <w:numPr>
          <w:ilvl w:val="0"/>
          <w:numId w:val="0"/>
        </w:numPr>
        <w:jc w:val="both"/>
        <w:rPr>
          <w:rFonts w:hint="eastAsia"/>
          <w:lang w:val="en-US" w:eastAsia="zh-CN"/>
        </w:rPr>
      </w:pPr>
      <w:r>
        <w:rPr>
          <w:rFonts w:hint="eastAsia"/>
          <w:lang w:val="en-US" w:eastAsia="zh-CN"/>
        </w:rPr>
        <w:t>不良率：银行房贷后客户不能及时、足额、无法收回利息的情况属于不良贷款，不良贷款/总贷款的比例就是不良率。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拨备率：根据贷款余额为不良贷款提取准备金的比例，提取准备金记入当期损益。</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以中国工商银行为例，列举2010年至今的不良率和拨备率</w:t>
      </w:r>
    </w:p>
    <w:tbl>
      <w:tblPr>
        <w:tblStyle w:val="5"/>
        <w:tblpPr w:leftFromText="180" w:rightFromText="180" w:vertAnchor="text" w:horzAnchor="page" w:tblpX="1838" w:tblpY="251"/>
        <w:tblOverlap w:val="never"/>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9"/>
        <w:gridCol w:w="879"/>
        <w:gridCol w:w="1009"/>
        <w:gridCol w:w="1010"/>
        <w:gridCol w:w="1009"/>
        <w:gridCol w:w="1010"/>
        <w:gridCol w:w="1010"/>
        <w:gridCol w:w="1011"/>
        <w:gridCol w:w="1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139"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科目/年度</w:t>
            </w:r>
          </w:p>
        </w:tc>
        <w:tc>
          <w:tcPr>
            <w:tcW w:w="879"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2010</w:t>
            </w:r>
          </w:p>
        </w:tc>
        <w:tc>
          <w:tcPr>
            <w:tcW w:w="1009"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2011</w:t>
            </w:r>
          </w:p>
        </w:tc>
        <w:tc>
          <w:tcPr>
            <w:tcW w:w="1010"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2012</w:t>
            </w:r>
          </w:p>
        </w:tc>
        <w:tc>
          <w:tcPr>
            <w:tcW w:w="1009"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2013</w:t>
            </w:r>
          </w:p>
        </w:tc>
        <w:tc>
          <w:tcPr>
            <w:tcW w:w="1010"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2014</w:t>
            </w:r>
          </w:p>
        </w:tc>
        <w:tc>
          <w:tcPr>
            <w:tcW w:w="1010"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2015</w:t>
            </w:r>
          </w:p>
        </w:tc>
        <w:tc>
          <w:tcPr>
            <w:tcW w:w="1011"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2016</w:t>
            </w:r>
          </w:p>
        </w:tc>
        <w:tc>
          <w:tcPr>
            <w:tcW w:w="1003" w:type="dxa"/>
            <w:shd w:val="clear" w:color="auto" w:fill="BEBEBE" w:themeFill="background1" w:themeFillShade="BF"/>
          </w:tcPr>
          <w:p>
            <w:pPr>
              <w:widowControl w:val="0"/>
              <w:numPr>
                <w:ilvl w:val="0"/>
                <w:numId w:val="0"/>
              </w:num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39"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不良率</w:t>
            </w:r>
          </w:p>
        </w:tc>
        <w:tc>
          <w:tcPr>
            <w:tcW w:w="879"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1.08%</w:t>
            </w:r>
          </w:p>
        </w:tc>
        <w:tc>
          <w:tcPr>
            <w:tcW w:w="1009"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0.94%</w:t>
            </w:r>
          </w:p>
        </w:tc>
        <w:tc>
          <w:tcPr>
            <w:tcW w:w="1010"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0.85%</w:t>
            </w:r>
          </w:p>
        </w:tc>
        <w:tc>
          <w:tcPr>
            <w:tcW w:w="1009"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0.94%</w:t>
            </w:r>
          </w:p>
        </w:tc>
        <w:tc>
          <w:tcPr>
            <w:tcW w:w="1010"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1.13%</w:t>
            </w:r>
          </w:p>
        </w:tc>
        <w:tc>
          <w:tcPr>
            <w:tcW w:w="1010"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1.50%</w:t>
            </w:r>
          </w:p>
        </w:tc>
        <w:tc>
          <w:tcPr>
            <w:tcW w:w="1011"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1.62%</w:t>
            </w:r>
          </w:p>
        </w:tc>
        <w:tc>
          <w:tcPr>
            <w:tcW w:w="1003"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139" w:type="dxa"/>
          </w:tcPr>
          <w:p>
            <w:pPr>
              <w:widowControl w:val="0"/>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拨备覆盖率</w:t>
            </w:r>
          </w:p>
        </w:tc>
        <w:tc>
          <w:tcPr>
            <w:tcW w:w="879"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228.20%</w:t>
            </w:r>
          </w:p>
        </w:tc>
        <w:tc>
          <w:tcPr>
            <w:tcW w:w="1009"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266.92%</w:t>
            </w:r>
          </w:p>
        </w:tc>
        <w:tc>
          <w:tcPr>
            <w:tcW w:w="1010"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295.55%</w:t>
            </w:r>
          </w:p>
        </w:tc>
        <w:tc>
          <w:tcPr>
            <w:tcW w:w="1009"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257.19%</w:t>
            </w:r>
          </w:p>
        </w:tc>
        <w:tc>
          <w:tcPr>
            <w:tcW w:w="1010"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206.90%</w:t>
            </w:r>
          </w:p>
        </w:tc>
        <w:tc>
          <w:tcPr>
            <w:tcW w:w="1010"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156.34%</w:t>
            </w:r>
          </w:p>
        </w:tc>
        <w:tc>
          <w:tcPr>
            <w:tcW w:w="1011"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136.69%</w:t>
            </w:r>
          </w:p>
        </w:tc>
        <w:tc>
          <w:tcPr>
            <w:tcW w:w="1003" w:type="dxa"/>
            <w:vAlign w:val="top"/>
          </w:tcPr>
          <w:p>
            <w:pPr>
              <w:widowControl w:val="0"/>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154.07%</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你认为上市的四大行和股份制银行是否有实质性的破产风险，为什么？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政策背景：2017银行破产条例规定：日前，银监会官网上发布对“十二届全国人大五次会议第2691号建议的答复”称，银监会正在起草《商业银行破产风险处置条例》，加快推出银行破产条例。这意味着银行也可以破产的时代将要到来。</w:t>
      </w:r>
      <w:r>
        <w:rPr>
          <w:rFonts w:hint="eastAsia"/>
          <w:lang w:val="en-US" w:eastAsia="zh-CN"/>
        </w:rPr>
        <w:br w:type="textWrapping"/>
      </w:r>
    </w:p>
    <w:p>
      <w:pPr>
        <w:widowControl w:val="0"/>
        <w:numPr>
          <w:ilvl w:val="0"/>
          <w:numId w:val="0"/>
        </w:numPr>
        <w:jc w:val="both"/>
        <w:rPr>
          <w:rFonts w:hint="eastAsia"/>
          <w:lang w:val="en-US" w:eastAsia="zh-CN"/>
        </w:rPr>
      </w:pPr>
      <w:r>
        <w:rPr>
          <w:rFonts w:hint="eastAsia"/>
          <w:lang w:val="en-US" w:eastAsia="zh-CN"/>
        </w:rPr>
        <w:t>上市的四大行大股东几乎都是财政部、中央汇金、中央证金等，实质上四大行还是属于国家兜底，只要中国没有改朝换代他们就不会破产。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股份制银行的大股东通常是央企，例如：招商局、首钢、保险等，有破产风险但是不会实质性破产。原因：类似美国2008金融危机，国家也没办法救所有银行，雷曼就破产了。而且法律上面已经其实做准备。历史上出现的银行倒闭有：海南发展银行（1998年），汕头市商业银行（2001年），但是央行作为最后贷款人，破产的银行会由央行指派接管。</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计算题I：</w:t>
      </w:r>
    </w:p>
    <w:p>
      <w:pPr>
        <w:widowControl w:val="0"/>
        <w:numPr>
          <w:ilvl w:val="0"/>
          <w:numId w:val="4"/>
        </w:numPr>
        <w:ind w:left="425" w:leftChars="0" w:hanging="425" w:firstLineChars="0"/>
        <w:jc w:val="both"/>
        <w:rPr>
          <w:rFonts w:hint="eastAsia"/>
          <w:lang w:val="en-US" w:eastAsia="zh-CN"/>
        </w:rPr>
      </w:pPr>
      <w:r>
        <w:rPr>
          <w:rFonts w:hint="eastAsia"/>
          <w:lang w:val="en-US" w:eastAsia="zh-CN"/>
        </w:rPr>
        <w:t>计算花旗银行从2007年美国次贷危机前最高点至2008年3月17日贝尔斯登被收购期间的跌幅</w:t>
      </w:r>
    </w:p>
    <w:p>
      <w:pPr>
        <w:widowControl w:val="0"/>
        <w:numPr>
          <w:numId w:val="0"/>
        </w:numPr>
        <w:ind w:leftChars="0"/>
        <w:jc w:val="both"/>
        <w:rPr>
          <w:rFonts w:hint="eastAsia"/>
          <w:lang w:val="en-US" w:eastAsia="zh-CN"/>
        </w:rPr>
      </w:pPr>
      <w:r>
        <w:rPr>
          <w:rFonts w:hint="eastAsia"/>
          <w:lang w:val="en-US" w:eastAsia="zh-CN"/>
        </w:rPr>
        <w:t>花旗银行2007/05/18  股价55.55  ，2008/03/17 股价17.99 ，跌幅：-67.61%</w:t>
      </w:r>
    </w:p>
    <w:p>
      <w:pPr>
        <w:widowControl w:val="0"/>
        <w:numPr>
          <w:ilvl w:val="0"/>
          <w:numId w:val="0"/>
        </w:numPr>
        <w:tabs>
          <w:tab w:val="left" w:pos="420"/>
        </w:tabs>
        <w:jc w:val="both"/>
        <w:rPr>
          <w:rFonts w:hint="eastAsia"/>
          <w:lang w:val="en-US" w:eastAsia="zh-CN"/>
        </w:rPr>
      </w:pPr>
    </w:p>
    <w:p>
      <w:pPr>
        <w:widowControl w:val="0"/>
        <w:numPr>
          <w:ilvl w:val="0"/>
          <w:numId w:val="4"/>
        </w:numPr>
        <w:ind w:left="425" w:leftChars="0" w:hanging="425" w:firstLineChars="0"/>
        <w:jc w:val="both"/>
        <w:rPr>
          <w:rFonts w:hint="eastAsia"/>
          <w:lang w:val="en-US" w:eastAsia="zh-CN"/>
        </w:rPr>
      </w:pPr>
      <w:r>
        <w:rPr>
          <w:rFonts w:hint="eastAsia"/>
          <w:lang w:val="en-US" w:eastAsia="zh-CN"/>
        </w:rPr>
        <w:t>计算花旗银行从2008年3月17日至9月15日雷曼破产期间的跌幅</w:t>
      </w:r>
    </w:p>
    <w:p>
      <w:pPr>
        <w:widowControl w:val="0"/>
        <w:numPr>
          <w:ilvl w:val="0"/>
          <w:numId w:val="0"/>
        </w:numPr>
        <w:tabs>
          <w:tab w:val="left" w:pos="420"/>
        </w:tabs>
        <w:jc w:val="both"/>
        <w:rPr>
          <w:rFonts w:hint="eastAsia"/>
          <w:lang w:val="en-US" w:eastAsia="zh-CN"/>
        </w:rPr>
      </w:pPr>
      <w:r>
        <w:rPr>
          <w:rFonts w:hint="eastAsia"/>
          <w:lang w:val="en-US" w:eastAsia="zh-CN"/>
        </w:rPr>
        <w:t>花旗银行2008年3月17日 股价：17.99 ，2008年9月15日 股价：15.24 ，跌幅：-15.29%</w:t>
      </w:r>
    </w:p>
    <w:p>
      <w:pPr>
        <w:widowControl w:val="0"/>
        <w:numPr>
          <w:ilvl w:val="0"/>
          <w:numId w:val="0"/>
        </w:numPr>
        <w:tabs>
          <w:tab w:val="left" w:pos="420"/>
        </w:tabs>
        <w:jc w:val="both"/>
        <w:rPr>
          <w:rFonts w:hint="eastAsia"/>
          <w:lang w:val="en-US" w:eastAsia="zh-CN"/>
        </w:rPr>
      </w:pPr>
    </w:p>
    <w:p>
      <w:pPr>
        <w:widowControl w:val="0"/>
        <w:numPr>
          <w:ilvl w:val="0"/>
          <w:numId w:val="4"/>
        </w:numPr>
        <w:ind w:left="425" w:leftChars="0" w:hanging="425" w:firstLineChars="0"/>
        <w:jc w:val="both"/>
        <w:rPr>
          <w:rFonts w:hint="eastAsia"/>
          <w:lang w:val="en-US" w:eastAsia="zh-CN"/>
        </w:rPr>
      </w:pPr>
      <w:r>
        <w:rPr>
          <w:rFonts w:hint="eastAsia"/>
          <w:lang w:val="en-US" w:eastAsia="zh-CN"/>
        </w:rPr>
        <w:t>计算花旗银行从2008年9月15日至11月21日美联储宣布对花旗第二轮救助前的跌幅</w:t>
      </w:r>
    </w:p>
    <w:p>
      <w:pPr>
        <w:widowControl w:val="0"/>
        <w:numPr>
          <w:numId w:val="0"/>
        </w:numPr>
        <w:ind w:leftChars="0" w:firstLine="420" w:firstLineChars="0"/>
        <w:jc w:val="both"/>
        <w:rPr>
          <w:rFonts w:hint="eastAsia"/>
          <w:lang w:val="en-US" w:eastAsia="zh-CN"/>
        </w:rPr>
      </w:pPr>
      <w:r>
        <w:rPr>
          <w:rFonts w:hint="eastAsia"/>
          <w:lang w:val="en-US" w:eastAsia="zh-CN"/>
        </w:rPr>
        <w:t>2008年9月15日 股价：15.24 ，11月21日 股价：3.77，跌幅：-75.26%</w:t>
      </w:r>
    </w:p>
    <w:p>
      <w:pPr>
        <w:widowControl w:val="0"/>
        <w:numPr>
          <w:ilvl w:val="0"/>
          <w:numId w:val="0"/>
        </w:numPr>
        <w:tabs>
          <w:tab w:val="left" w:pos="420"/>
        </w:tabs>
        <w:jc w:val="both"/>
        <w:rPr>
          <w:rFonts w:hint="eastAsia"/>
          <w:lang w:val="en-US" w:eastAsia="zh-CN"/>
        </w:rPr>
      </w:pPr>
    </w:p>
    <w:p>
      <w:pPr>
        <w:widowControl w:val="0"/>
        <w:numPr>
          <w:ilvl w:val="0"/>
          <w:numId w:val="4"/>
        </w:numPr>
        <w:ind w:left="425" w:leftChars="0" w:hanging="425" w:firstLineChars="0"/>
        <w:jc w:val="both"/>
        <w:rPr>
          <w:rFonts w:hint="eastAsia"/>
          <w:lang w:val="en-US" w:eastAsia="zh-CN"/>
        </w:rPr>
      </w:pPr>
      <w:r>
        <w:rPr>
          <w:rFonts w:hint="eastAsia"/>
          <w:lang w:val="en-US" w:eastAsia="zh-CN"/>
        </w:rPr>
        <w:t>计算花旗银行从2008年11月21日至最低点的跌幅</w:t>
      </w:r>
    </w:p>
    <w:p>
      <w:pPr>
        <w:widowControl w:val="0"/>
        <w:numPr>
          <w:numId w:val="0"/>
        </w:numPr>
        <w:ind w:leftChars="0" w:firstLine="420" w:firstLineChars="0"/>
        <w:jc w:val="both"/>
        <w:rPr>
          <w:rFonts w:hint="eastAsia"/>
          <w:lang w:val="en-US" w:eastAsia="zh-CN"/>
        </w:rPr>
      </w:pPr>
      <w:r>
        <w:rPr>
          <w:rFonts w:hint="eastAsia"/>
          <w:lang w:val="en-US" w:eastAsia="zh-CN"/>
        </w:rPr>
        <w:t>11月21日 股价：3.77，2009/03/05 股价：0.97 ，跌幅：-74.27%</w:t>
      </w:r>
    </w:p>
    <w:p>
      <w:pPr>
        <w:widowControl w:val="0"/>
        <w:numPr>
          <w:ilvl w:val="0"/>
          <w:numId w:val="0"/>
        </w:numPr>
        <w:tabs>
          <w:tab w:val="left" w:pos="420"/>
        </w:tabs>
        <w:jc w:val="both"/>
        <w:rPr>
          <w:rFonts w:hint="eastAsia"/>
          <w:lang w:val="en-US" w:eastAsia="zh-CN"/>
        </w:rPr>
      </w:pPr>
    </w:p>
    <w:p>
      <w:pPr>
        <w:widowControl w:val="0"/>
        <w:numPr>
          <w:ilvl w:val="0"/>
          <w:numId w:val="4"/>
        </w:numPr>
        <w:ind w:left="425" w:leftChars="0" w:hanging="425" w:firstLineChars="0"/>
        <w:jc w:val="both"/>
        <w:rPr>
          <w:rFonts w:hint="eastAsia"/>
          <w:lang w:val="en-US" w:eastAsia="zh-CN"/>
        </w:rPr>
      </w:pPr>
      <w:r>
        <w:rPr>
          <w:rFonts w:hint="eastAsia"/>
          <w:lang w:val="en-US" w:eastAsia="zh-CN"/>
        </w:rPr>
        <w:t>计算花旗银行从2007年次贷危机前最高点至今的涨跌幅，年化收益率</w:t>
      </w:r>
    </w:p>
    <w:p>
      <w:pPr>
        <w:widowControl w:val="0"/>
        <w:numPr>
          <w:ilvl w:val="0"/>
          <w:numId w:val="0"/>
        </w:numPr>
        <w:tabs>
          <w:tab w:val="left" w:pos="420"/>
        </w:tabs>
        <w:jc w:val="both"/>
        <w:rPr>
          <w:rFonts w:hint="eastAsia"/>
          <w:lang w:val="en-US" w:eastAsia="zh-CN"/>
        </w:rPr>
      </w:pPr>
      <w:r>
        <w:rPr>
          <w:rFonts w:hint="eastAsia"/>
          <w:lang w:val="en-US" w:eastAsia="zh-CN"/>
        </w:rPr>
        <w:tab/>
        <w:t>2006年12月28日，前复权价格：497.98元，</w:t>
      </w:r>
    </w:p>
    <w:p>
      <w:pPr>
        <w:widowControl w:val="0"/>
        <w:numPr>
          <w:ilvl w:val="0"/>
          <w:numId w:val="0"/>
        </w:numPr>
        <w:tabs>
          <w:tab w:val="left" w:pos="420"/>
        </w:tabs>
        <w:jc w:val="both"/>
        <w:rPr>
          <w:rFonts w:hint="eastAsia"/>
          <w:lang w:val="en-US" w:eastAsia="zh-CN"/>
        </w:rPr>
      </w:pPr>
      <w:r>
        <w:rPr>
          <w:rFonts w:hint="eastAsia"/>
          <w:lang w:val="en-US" w:eastAsia="zh-CN"/>
        </w:rPr>
        <w:tab/>
        <w:t>2018年4月13日，前复权价格：71.01元，</w:t>
      </w:r>
    </w:p>
    <w:p>
      <w:pPr>
        <w:widowControl w:val="0"/>
        <w:numPr>
          <w:ilvl w:val="0"/>
          <w:numId w:val="0"/>
        </w:numPr>
        <w:tabs>
          <w:tab w:val="left" w:pos="420"/>
        </w:tabs>
        <w:jc w:val="both"/>
        <w:rPr>
          <w:rFonts w:hint="eastAsia"/>
          <w:lang w:val="en-US" w:eastAsia="zh-CN"/>
        </w:rPr>
      </w:pPr>
      <w:r>
        <w:rPr>
          <w:rFonts w:hint="eastAsia"/>
          <w:lang w:val="en-US" w:eastAsia="zh-CN"/>
        </w:rPr>
        <w:tab/>
        <w:t>涨跌幅：-85.74%，</w:t>
      </w:r>
    </w:p>
    <w:p>
      <w:pPr>
        <w:widowControl w:val="0"/>
        <w:numPr>
          <w:ilvl w:val="0"/>
          <w:numId w:val="0"/>
        </w:numPr>
        <w:tabs>
          <w:tab w:val="left" w:pos="420"/>
        </w:tabs>
        <w:jc w:val="both"/>
        <w:rPr>
          <w:rFonts w:hint="eastAsia"/>
          <w:lang w:val="en-US" w:eastAsia="zh-CN"/>
        </w:rPr>
      </w:pPr>
      <w:r>
        <w:rPr>
          <w:rFonts w:hint="eastAsia"/>
          <w:lang w:val="en-US" w:eastAsia="zh-CN"/>
        </w:rPr>
        <w:tab/>
        <w:t>年化收益率: -37.62%</w:t>
      </w:r>
    </w:p>
    <w:p>
      <w:pPr>
        <w:widowControl w:val="0"/>
        <w:numPr>
          <w:ilvl w:val="0"/>
          <w:numId w:val="0"/>
        </w:numPr>
        <w:tabs>
          <w:tab w:val="left" w:pos="420"/>
        </w:tabs>
        <w:jc w:val="both"/>
        <w:rPr>
          <w:rFonts w:hint="eastAsia"/>
          <w:lang w:val="en-US" w:eastAsia="zh-CN"/>
        </w:rPr>
      </w:pPr>
    </w:p>
    <w:p>
      <w:pPr>
        <w:widowControl w:val="0"/>
        <w:numPr>
          <w:ilvl w:val="0"/>
          <w:numId w:val="5"/>
        </w:numPr>
        <w:tabs>
          <w:tab w:val="left" w:pos="420"/>
          <w:tab w:val="clear" w:pos="312"/>
        </w:tabs>
        <w:jc w:val="both"/>
        <w:rPr>
          <w:rFonts w:hint="eastAsia"/>
          <w:lang w:val="en-US" w:eastAsia="zh-CN"/>
        </w:rPr>
      </w:pPr>
      <w:r>
        <w:rPr>
          <w:rFonts w:hint="eastAsia"/>
          <w:lang w:val="en-US" w:eastAsia="zh-CN"/>
        </w:rPr>
        <w:t>政府救助对二级市场投资者意味着什么？</w:t>
      </w:r>
    </w:p>
    <w:p>
      <w:pPr>
        <w:widowControl w:val="0"/>
        <w:numPr>
          <w:numId w:val="0"/>
        </w:numPr>
        <w:tabs>
          <w:tab w:val="left" w:pos="420"/>
        </w:tabs>
        <w:jc w:val="both"/>
        <w:rPr>
          <w:rFonts w:hint="eastAsia"/>
          <w:lang w:val="en-US" w:eastAsia="zh-CN"/>
        </w:rPr>
      </w:pPr>
      <w:r>
        <w:rPr>
          <w:rFonts w:hint="eastAsia"/>
          <w:lang w:val="en-US" w:eastAsia="zh-CN"/>
        </w:rPr>
        <w:tab/>
        <w:t>政府救助对于二级市场投资者来说就是确认金融危机的严重性非常大，到了政府非救不可的程度，对于市场造成更大的恐慌。所以才会有美国政府对于花旗银行的两次救助，而且救助后还是继续大幅下跌，直到恐慌情绪得到完全宣泄，才能起底回升。A股5178跌落下来的时候出现类似情况，政府救市之后还是大幅下跌，投资者的恐慌情绪宣泄完成到了2638.30才开始起底回升。</w:t>
      </w:r>
    </w:p>
    <w:p>
      <w:pPr>
        <w:widowControl w:val="0"/>
        <w:numPr>
          <w:numId w:val="0"/>
        </w:numPr>
        <w:tabs>
          <w:tab w:val="left" w:pos="420"/>
        </w:tabs>
        <w:jc w:val="both"/>
        <w:rPr>
          <w:rFonts w:hint="eastAsia"/>
          <w:lang w:val="en-US" w:eastAsia="zh-CN"/>
        </w:rPr>
      </w:pPr>
      <w:r>
        <w:rPr>
          <w:rFonts w:hint="eastAsia"/>
          <w:lang w:val="en-US" w:eastAsia="zh-CN"/>
        </w:rPr>
        <w:tab/>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5"/>
        </w:numPr>
        <w:tabs>
          <w:tab w:val="left" w:pos="420"/>
          <w:tab w:val="clear" w:pos="312"/>
        </w:tabs>
        <w:jc w:val="both"/>
        <w:rPr>
          <w:rFonts w:hint="eastAsia"/>
          <w:lang w:val="en-US" w:eastAsia="zh-CN"/>
        </w:rPr>
      </w:pPr>
      <w:r>
        <w:rPr>
          <w:rFonts w:hint="eastAsia"/>
          <w:lang w:val="en-US" w:eastAsia="zh-CN"/>
        </w:rPr>
        <w:t>为什么10年多前，财政部选择对四大行注资，然后上市，如果当时四大行是上市公司，股价表现会怎样？</w:t>
      </w:r>
    </w:p>
    <w:p>
      <w:pPr>
        <w:widowControl w:val="0"/>
        <w:numPr>
          <w:ilvl w:val="0"/>
          <w:numId w:val="0"/>
        </w:numPr>
        <w:tabs>
          <w:tab w:val="left" w:pos="420"/>
        </w:tabs>
        <w:jc w:val="both"/>
        <w:rPr>
          <w:rFonts w:hint="eastAsia"/>
          <w:lang w:val="en-US" w:eastAsia="zh-CN"/>
        </w:rPr>
      </w:pPr>
      <w:r>
        <w:rPr>
          <w:rFonts w:hint="eastAsia"/>
          <w:lang w:val="en-US" w:eastAsia="zh-CN"/>
        </w:rPr>
        <w:t>财政部选择对四大行注资然后上市，清理了资产负债表（注销、核销不良资产），增加流动资金同事引入战略投资者、改革先有治理结构，对于四大行是非常大的利好，股价应该暴涨。</w:t>
      </w:r>
    </w:p>
    <w:p>
      <w:pPr>
        <w:widowControl w:val="0"/>
        <w:numPr>
          <w:ilvl w:val="0"/>
          <w:numId w:val="0"/>
        </w:numPr>
        <w:tabs>
          <w:tab w:val="left" w:pos="420"/>
        </w:tabs>
        <w:jc w:val="both"/>
        <w:rPr>
          <w:rFonts w:hint="eastAsia"/>
          <w:lang w:val="en-US" w:eastAsia="zh-CN"/>
        </w:rPr>
      </w:pPr>
      <w:r>
        <w:rPr>
          <w:rFonts w:hint="eastAsia"/>
          <w:lang w:val="en-US" w:eastAsia="zh-CN"/>
        </w:rPr>
        <w:tab/>
      </w:r>
    </w:p>
    <w:p>
      <w:pPr>
        <w:widowControl w:val="0"/>
        <w:numPr>
          <w:ilvl w:val="0"/>
          <w:numId w:val="5"/>
        </w:numPr>
        <w:tabs>
          <w:tab w:val="left" w:pos="420"/>
          <w:tab w:val="clear" w:pos="312"/>
        </w:tabs>
        <w:jc w:val="both"/>
        <w:rPr>
          <w:rFonts w:hint="eastAsia"/>
          <w:lang w:val="en-US" w:eastAsia="zh-CN"/>
        </w:rPr>
      </w:pPr>
      <w:r>
        <w:rPr>
          <w:rFonts w:hint="eastAsia"/>
          <w:lang w:val="en-US" w:eastAsia="zh-CN"/>
        </w:rPr>
        <w:t>计算题II：</w:t>
      </w:r>
    </w:p>
    <w:p>
      <w:pPr>
        <w:widowControl w:val="0"/>
        <w:numPr>
          <w:ilvl w:val="0"/>
          <w:numId w:val="6"/>
        </w:numPr>
        <w:ind w:left="425" w:leftChars="0" w:hanging="425" w:firstLineChars="0"/>
        <w:jc w:val="both"/>
        <w:rPr>
          <w:rFonts w:hint="eastAsia"/>
          <w:lang w:val="en-US" w:eastAsia="zh-CN"/>
        </w:rPr>
      </w:pPr>
      <w:r>
        <w:rPr>
          <w:rFonts w:hint="eastAsia"/>
          <w:lang w:val="en-US" w:eastAsia="zh-CN"/>
        </w:rPr>
        <w:tab/>
      </w:r>
      <w:r>
        <w:rPr>
          <w:rFonts w:hint="eastAsia"/>
          <w:lang w:val="en-US" w:eastAsia="zh-CN"/>
        </w:rPr>
        <w:t>写出工商银行AH股在上市后历史最低市净率，历史最低市盈率和对应日期</w:t>
      </w:r>
    </w:p>
    <w:p>
      <w:pPr>
        <w:widowControl w:val="0"/>
        <w:numPr>
          <w:ilvl w:val="0"/>
          <w:numId w:val="0"/>
        </w:numPr>
        <w:tabs>
          <w:tab w:val="left" w:pos="420"/>
        </w:tabs>
        <w:jc w:val="both"/>
        <w:rPr>
          <w:rFonts w:hint="eastAsia"/>
          <w:lang w:val="en-US" w:eastAsia="zh-CN"/>
        </w:rPr>
      </w:pPr>
      <w:r>
        <w:rPr>
          <w:rFonts w:hint="eastAsia"/>
          <w:lang w:val="en-US" w:eastAsia="zh-CN"/>
        </w:rPr>
        <w:tab/>
        <w:t>A股：</w:t>
      </w:r>
    </w:p>
    <w:p>
      <w:pPr>
        <w:widowControl w:val="0"/>
        <w:numPr>
          <w:ilvl w:val="0"/>
          <w:numId w:val="0"/>
        </w:numPr>
        <w:tabs>
          <w:tab w:val="left" w:pos="420"/>
        </w:tabs>
        <w:jc w:val="both"/>
        <w:rPr>
          <w:rFonts w:hint="eastAsia"/>
          <w:lang w:val="en-US" w:eastAsia="zh-CN"/>
        </w:rPr>
      </w:pPr>
      <w:r>
        <w:rPr>
          <w:rFonts w:hint="eastAsia"/>
          <w:lang w:val="en-US" w:eastAsia="zh-CN"/>
        </w:rPr>
        <w:tab/>
        <w:t>最低市净率：0.83  ，2016/05/09</w:t>
      </w:r>
    </w:p>
    <w:p>
      <w:pPr>
        <w:widowControl w:val="0"/>
        <w:numPr>
          <w:ilvl w:val="0"/>
          <w:numId w:val="0"/>
        </w:numPr>
        <w:tabs>
          <w:tab w:val="left" w:pos="420"/>
        </w:tabs>
        <w:jc w:val="both"/>
        <w:rPr>
          <w:rFonts w:hint="eastAsia"/>
          <w:lang w:val="en-US" w:eastAsia="zh-CN"/>
        </w:rPr>
      </w:pPr>
      <w:r>
        <w:rPr>
          <w:rFonts w:hint="eastAsia"/>
          <w:lang w:val="en-US" w:eastAsia="zh-CN"/>
        </w:rPr>
        <w:tab/>
        <w:t>最低市盈率：4.39  ，2014/03/11</w:t>
      </w:r>
    </w:p>
    <w:p>
      <w:pPr>
        <w:widowControl w:val="0"/>
        <w:numPr>
          <w:ilvl w:val="0"/>
          <w:numId w:val="0"/>
        </w:numPr>
        <w:tabs>
          <w:tab w:val="left" w:pos="420"/>
        </w:tabs>
        <w:jc w:val="both"/>
        <w:rPr>
          <w:rFonts w:hint="eastAsia"/>
          <w:lang w:val="en-US" w:eastAsia="zh-CN"/>
        </w:rPr>
      </w:pPr>
      <w:r>
        <w:rPr>
          <w:rFonts w:hint="eastAsia"/>
          <w:lang w:val="en-US" w:eastAsia="zh-CN"/>
        </w:rPr>
        <w:tab/>
        <w:t>H股：</w:t>
      </w:r>
    </w:p>
    <w:p>
      <w:pPr>
        <w:widowControl w:val="0"/>
        <w:numPr>
          <w:ilvl w:val="0"/>
          <w:numId w:val="0"/>
        </w:numPr>
        <w:tabs>
          <w:tab w:val="left" w:pos="420"/>
        </w:tabs>
        <w:jc w:val="both"/>
        <w:rPr>
          <w:rFonts w:hint="eastAsia"/>
          <w:lang w:val="en-US" w:eastAsia="zh-CN"/>
        </w:rPr>
      </w:pPr>
      <w:r>
        <w:rPr>
          <w:rFonts w:hint="eastAsia"/>
          <w:lang w:val="en-US" w:eastAsia="zh-CN"/>
        </w:rPr>
        <w:tab/>
        <w:t>最低市净率：0.61  ，2016/05/18</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最低市盈率：4.05  ，2016/02/25</w:t>
      </w:r>
    </w:p>
    <w:p>
      <w:pPr>
        <w:widowControl w:val="0"/>
        <w:numPr>
          <w:ilvl w:val="0"/>
          <w:numId w:val="0"/>
        </w:numPr>
        <w:tabs>
          <w:tab w:val="left" w:pos="420"/>
        </w:tabs>
        <w:jc w:val="both"/>
        <w:rPr>
          <w:rFonts w:hint="eastAsia"/>
          <w:lang w:val="en-US" w:eastAsia="zh-CN"/>
        </w:rPr>
      </w:pPr>
    </w:p>
    <w:p>
      <w:pPr>
        <w:widowControl w:val="0"/>
        <w:numPr>
          <w:ilvl w:val="0"/>
          <w:numId w:val="6"/>
        </w:numPr>
        <w:ind w:left="425" w:leftChars="0" w:hanging="425" w:firstLineChars="0"/>
        <w:jc w:val="both"/>
        <w:rPr>
          <w:rFonts w:hint="eastAsia"/>
          <w:lang w:val="en-US" w:eastAsia="zh-CN"/>
        </w:rPr>
      </w:pPr>
      <w:r>
        <w:rPr>
          <w:rFonts w:hint="eastAsia"/>
          <w:lang w:val="en-US" w:eastAsia="zh-CN"/>
        </w:rPr>
        <w:t>计算花旗银行2001-2007年每年的股息率（按当年末的收盘价计）和今天的股息率</w:t>
      </w:r>
    </w:p>
    <w:tbl>
      <w:tblPr>
        <w:tblStyle w:val="4"/>
        <w:tblpPr w:leftFromText="180" w:rightFromText="180" w:vertAnchor="text" w:horzAnchor="page" w:tblpX="1971" w:tblpY="261"/>
        <w:tblOverlap w:val="never"/>
        <w:tblW w:w="78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94"/>
        <w:gridCol w:w="1594"/>
        <w:gridCol w:w="2081"/>
        <w:gridCol w:w="26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年度</w:t>
            </w:r>
          </w:p>
        </w:tc>
        <w:tc>
          <w:tcPr>
            <w:tcW w:w="159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股息</w:t>
            </w:r>
          </w:p>
        </w:tc>
        <w:tc>
          <w:tcPr>
            <w:tcW w:w="208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年末收盘价</w:t>
            </w:r>
          </w:p>
        </w:tc>
        <w:tc>
          <w:tcPr>
            <w:tcW w:w="261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股息率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2001</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50.48</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2002</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35.19</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2003</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48.54</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2004</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48.18</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2005</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1.76</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48.53</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0"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2006</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55.7</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7"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2.16</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29.44</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7" w:hRule="atLeast"/>
        </w:trPr>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2017</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0.96</w:t>
            </w:r>
          </w:p>
        </w:tc>
        <w:tc>
          <w:tcPr>
            <w:tcW w:w="2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74.41</w:t>
            </w:r>
          </w:p>
        </w:tc>
        <w:tc>
          <w:tcPr>
            <w:tcW w:w="26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1.29%</w:t>
            </w:r>
          </w:p>
        </w:tc>
      </w:tr>
    </w:tbl>
    <w:p>
      <w:pPr>
        <w:widowControl w:val="0"/>
        <w:numPr>
          <w:ilvl w:val="0"/>
          <w:numId w:val="0"/>
        </w:numPr>
        <w:tabs>
          <w:tab w:val="left" w:pos="420"/>
        </w:tabs>
        <w:jc w:val="both"/>
        <w:rPr>
          <w:rFonts w:hint="eastAsia"/>
          <w:lang w:val="en-US" w:eastAsia="zh-CN"/>
        </w:rPr>
      </w:pPr>
      <w:r>
        <w:rPr>
          <w:rFonts w:hint="eastAsia"/>
          <w:lang w:val="en-US" w:eastAsia="zh-CN"/>
        </w:rPr>
        <w:tab/>
      </w:r>
    </w:p>
    <w:p>
      <w:pPr>
        <w:widowControl w:val="0"/>
        <w:numPr>
          <w:ilvl w:val="0"/>
          <w:numId w:val="0"/>
        </w:numPr>
        <w:tabs>
          <w:tab w:val="left" w:pos="420"/>
        </w:tabs>
        <w:jc w:val="both"/>
        <w:rPr>
          <w:rFonts w:hint="eastAsia"/>
          <w:lang w:val="en-US" w:eastAsia="zh-CN"/>
        </w:rPr>
      </w:pPr>
    </w:p>
    <w:p>
      <w:pPr>
        <w:widowControl w:val="0"/>
        <w:numPr>
          <w:ilvl w:val="0"/>
          <w:numId w:val="6"/>
        </w:numPr>
        <w:ind w:left="425" w:leftChars="0" w:hanging="425" w:firstLineChars="0"/>
        <w:jc w:val="both"/>
        <w:rPr>
          <w:rFonts w:hint="eastAsia"/>
          <w:lang w:val="en-US" w:eastAsia="zh-CN"/>
        </w:rPr>
      </w:pPr>
      <w:r>
        <w:rPr>
          <w:rFonts w:hint="eastAsia"/>
          <w:lang w:val="en-US" w:eastAsia="zh-CN"/>
        </w:rPr>
        <w:t>计算工商银行A股和H股2008、2014和2015年股价最低点时的股息率和今天的股息率</w:t>
      </w:r>
    </w:p>
    <w:p>
      <w:pPr>
        <w:widowControl w:val="0"/>
        <w:numPr>
          <w:numId w:val="0"/>
        </w:numPr>
        <w:tabs>
          <w:tab w:val="left" w:pos="420"/>
        </w:tabs>
        <w:jc w:val="both"/>
        <w:rPr>
          <w:rFonts w:hint="eastAsia"/>
          <w:lang w:val="en-US" w:eastAsia="zh-CN"/>
        </w:rPr>
      </w:pPr>
      <w:r>
        <w:rPr>
          <w:rFonts w:hint="eastAsia"/>
          <w:lang w:val="en-US" w:eastAsia="zh-CN"/>
        </w:rPr>
        <w:tab/>
      </w:r>
    </w:p>
    <w:tbl>
      <w:tblPr>
        <w:tblW w:w="8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51"/>
        <w:gridCol w:w="1650"/>
        <w:gridCol w:w="2155"/>
        <w:gridCol w:w="2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47" w:hRule="atLeast"/>
        </w:trPr>
        <w:tc>
          <w:tcPr>
            <w:tcW w:w="165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A股年度</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股息</w:t>
            </w:r>
          </w:p>
        </w:tc>
        <w:tc>
          <w:tcPr>
            <w:tcW w:w="2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最低点价格</w:t>
            </w:r>
          </w:p>
        </w:tc>
        <w:tc>
          <w:tcPr>
            <w:tcW w:w="27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股息率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7" w:hRule="atLeast"/>
        </w:trPr>
        <w:tc>
          <w:tcPr>
            <w:tcW w:w="165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0.133</w:t>
            </w:r>
          </w:p>
        </w:tc>
        <w:tc>
          <w:tcPr>
            <w:tcW w:w="2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3.13</w:t>
            </w:r>
          </w:p>
        </w:tc>
        <w:tc>
          <w:tcPr>
            <w:tcW w:w="27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7" w:hRule="atLeast"/>
        </w:trPr>
        <w:tc>
          <w:tcPr>
            <w:tcW w:w="165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0.2617</w:t>
            </w:r>
          </w:p>
        </w:tc>
        <w:tc>
          <w:tcPr>
            <w:tcW w:w="2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w:t>
            </w:r>
          </w:p>
        </w:tc>
        <w:tc>
          <w:tcPr>
            <w:tcW w:w="27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7" w:hRule="atLeast"/>
        </w:trPr>
        <w:tc>
          <w:tcPr>
            <w:tcW w:w="165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0.2554</w:t>
            </w:r>
          </w:p>
        </w:tc>
        <w:tc>
          <w:tcPr>
            <w:tcW w:w="2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3.81</w:t>
            </w:r>
          </w:p>
        </w:tc>
        <w:tc>
          <w:tcPr>
            <w:tcW w:w="27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6.70%</w:t>
            </w:r>
          </w:p>
        </w:tc>
      </w:tr>
    </w:tbl>
    <w:p>
      <w:pPr>
        <w:widowControl w:val="0"/>
        <w:numPr>
          <w:numId w:val="0"/>
        </w:numPr>
        <w:tabs>
          <w:tab w:val="left" w:pos="420"/>
        </w:tabs>
        <w:jc w:val="both"/>
        <w:rPr>
          <w:rFonts w:hint="eastAsia"/>
          <w:lang w:val="en-US" w:eastAsia="zh-CN"/>
        </w:rPr>
      </w:pPr>
    </w:p>
    <w:tbl>
      <w:tblPr>
        <w:tblW w:w="8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51"/>
        <w:gridCol w:w="1650"/>
        <w:gridCol w:w="2155"/>
        <w:gridCol w:w="2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4" w:hRule="atLeast"/>
        </w:trPr>
        <w:tc>
          <w:tcPr>
            <w:tcW w:w="165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H股年度</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股息</w:t>
            </w:r>
          </w:p>
        </w:tc>
        <w:tc>
          <w:tcPr>
            <w:tcW w:w="2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最低点价格</w:t>
            </w:r>
          </w:p>
        </w:tc>
        <w:tc>
          <w:tcPr>
            <w:tcW w:w="27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股息率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4" w:hRule="atLeast"/>
        </w:trPr>
        <w:tc>
          <w:tcPr>
            <w:tcW w:w="165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0.133</w:t>
            </w:r>
          </w:p>
        </w:tc>
        <w:tc>
          <w:tcPr>
            <w:tcW w:w="2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2.61</w:t>
            </w:r>
          </w:p>
        </w:tc>
        <w:tc>
          <w:tcPr>
            <w:tcW w:w="27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4" w:hRule="atLeast"/>
        </w:trPr>
        <w:tc>
          <w:tcPr>
            <w:tcW w:w="165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0.2617</w:t>
            </w:r>
          </w:p>
        </w:tc>
        <w:tc>
          <w:tcPr>
            <w:tcW w:w="2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4.33</w:t>
            </w:r>
          </w:p>
        </w:tc>
        <w:tc>
          <w:tcPr>
            <w:tcW w:w="27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84" w:hRule="atLeast"/>
        </w:trPr>
        <w:tc>
          <w:tcPr>
            <w:tcW w:w="165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0.2554</w:t>
            </w:r>
          </w:p>
        </w:tc>
        <w:tc>
          <w:tcPr>
            <w:tcW w:w="2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w:t>
            </w:r>
          </w:p>
        </w:tc>
        <w:tc>
          <w:tcPr>
            <w:tcW w:w="27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5.94%</w:t>
            </w:r>
          </w:p>
        </w:tc>
      </w:tr>
    </w:tbl>
    <w:p>
      <w:pPr>
        <w:widowControl w:val="0"/>
        <w:numPr>
          <w:numId w:val="0"/>
        </w:numPr>
        <w:tabs>
          <w:tab w:val="left" w:pos="420"/>
        </w:tabs>
        <w:jc w:val="both"/>
        <w:rPr>
          <w:rFonts w:hint="eastAsia"/>
          <w:lang w:val="en-US" w:eastAsia="zh-CN"/>
        </w:rPr>
      </w:pPr>
    </w:p>
    <w:p>
      <w:pPr>
        <w:widowControl w:val="0"/>
        <w:numPr>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7"/>
        </w:numPr>
        <w:ind w:leftChars="0"/>
        <w:jc w:val="both"/>
        <w:rPr>
          <w:rFonts w:hint="eastAsia"/>
          <w:lang w:val="en-US" w:eastAsia="zh-CN"/>
        </w:rPr>
      </w:pPr>
      <w:r>
        <w:rPr>
          <w:rFonts w:hint="eastAsia"/>
          <w:lang w:val="en-US" w:eastAsia="zh-CN"/>
        </w:rPr>
        <w:t>根据上述计算制定你的银行股投资策略：请用上述指标定量说明</w:t>
      </w:r>
    </w:p>
    <w:p>
      <w:pPr>
        <w:widowControl w:val="0"/>
        <w:numPr>
          <w:ilvl w:val="0"/>
          <w:numId w:val="0"/>
        </w:numPr>
        <w:ind w:firstLine="420" w:firstLineChars="0"/>
        <w:jc w:val="both"/>
        <w:rPr>
          <w:rFonts w:hint="eastAsia"/>
          <w:lang w:val="en-US" w:eastAsia="zh-CN"/>
        </w:rPr>
      </w:pPr>
      <w:r>
        <w:rPr>
          <w:rFonts w:hint="eastAsia"/>
          <w:lang w:val="en-US" w:eastAsia="zh-CN"/>
        </w:rPr>
        <w:t>总体策略：银行股在年度价格相对低位的时候观察市盈率，市净率，股息率选择相对低位的时候买入。盈利目标比年度固定存款利率高即可。</w:t>
      </w:r>
    </w:p>
    <w:p>
      <w:pPr>
        <w:widowControl w:val="0"/>
        <w:numPr>
          <w:ilvl w:val="0"/>
          <w:numId w:val="0"/>
        </w:numPr>
        <w:ind w:firstLine="420" w:firstLineChars="0"/>
        <w:jc w:val="both"/>
        <w:rPr>
          <w:rFonts w:hint="eastAsia"/>
          <w:lang w:val="en-US" w:eastAsia="zh-CN"/>
        </w:rPr>
      </w:pPr>
      <w:r>
        <w:rPr>
          <w:rFonts w:hint="eastAsia"/>
          <w:lang w:val="en-US" w:eastAsia="zh-CN"/>
        </w:rPr>
        <w:t>金融危机前的花旗银行股息率：1%~3%之间（2007年价格下跌一半造成核算股息率偏高排除），工商银行的AH股的股息率：4%~8%之间（不过是按照年度最低价格计算），按照年度相对平均价格，银行股的股息率应该取中位值2~3%左右，略高于固定利率，如果买的年度中较低价格可以赚取更高收益。</w:t>
      </w:r>
    </w:p>
    <w:p>
      <w:pPr>
        <w:widowControl w:val="0"/>
        <w:numPr>
          <w:ilvl w:val="0"/>
          <w:numId w:val="0"/>
        </w:numPr>
        <w:jc w:val="both"/>
        <w:rPr>
          <w:rFonts w:hint="eastAsia"/>
          <w:lang w:val="en-US" w:eastAsia="zh-CN"/>
        </w:rPr>
      </w:pPr>
    </w:p>
    <w:p>
      <w:pPr>
        <w:widowControl w:val="0"/>
        <w:numPr>
          <w:ilvl w:val="0"/>
          <w:numId w:val="7"/>
        </w:numPr>
        <w:ind w:leftChars="0"/>
        <w:jc w:val="both"/>
        <w:rPr>
          <w:rFonts w:hint="eastAsia"/>
          <w:lang w:val="en-US" w:eastAsia="zh-CN"/>
        </w:rPr>
      </w:pPr>
      <w:r>
        <w:rPr>
          <w:rFonts w:hint="eastAsia"/>
          <w:lang w:val="en-US" w:eastAsia="zh-CN"/>
        </w:rPr>
        <w:t>银行股投资最大的风险是什么？</w:t>
      </w:r>
    </w:p>
    <w:p>
      <w:pPr>
        <w:widowControl w:val="0"/>
        <w:numPr>
          <w:ilvl w:val="0"/>
          <w:numId w:val="0"/>
        </w:numPr>
        <w:tabs>
          <w:tab w:val="left" w:pos="420"/>
        </w:tabs>
        <w:jc w:val="both"/>
        <w:rPr>
          <w:rFonts w:hint="eastAsia"/>
          <w:lang w:val="en-US" w:eastAsia="zh-CN"/>
        </w:rPr>
      </w:pPr>
      <w:r>
        <w:rPr>
          <w:rFonts w:hint="eastAsia"/>
          <w:lang w:val="en-US" w:eastAsia="zh-CN"/>
        </w:rPr>
        <w:tab/>
      </w:r>
      <w:r>
        <w:rPr>
          <w:rFonts w:hint="eastAsia"/>
          <w:lang w:val="en-US" w:eastAsia="zh-CN"/>
        </w:rPr>
        <w:t>银行股有“大而不倒”的前提假设，央行作为最后贷款人。经营风险相对其他股票属于最低的类型。投资目标主要追求稳定，投资利润来源主要是股息率而不是价格，所以最大风险就是股息率下降这将直接影响投资收益。</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bookmarkStart w:id="0" w:name="_GoBack"/>
      <w:bookmarkEnd w:id="0"/>
      <w:r>
        <w:rPr>
          <w:rFonts w:hint="eastAsia"/>
          <w:lang w:val="en-US" w:eastAsia="zh-CN"/>
        </w:rPr>
        <w:t>附加题【预备阅读】：</w:t>
      </w:r>
    </w:p>
    <w:p>
      <w:pPr>
        <w:widowControl w:val="0"/>
        <w:numPr>
          <w:ilvl w:val="0"/>
          <w:numId w:val="8"/>
        </w:numPr>
        <w:tabs>
          <w:tab w:val="left" w:pos="420"/>
          <w:tab w:val="clear" w:pos="312"/>
        </w:tabs>
        <w:jc w:val="both"/>
        <w:rPr>
          <w:rFonts w:hint="eastAsia"/>
          <w:lang w:val="en-US" w:eastAsia="zh-CN"/>
        </w:rPr>
      </w:pPr>
      <w:r>
        <w:rPr>
          <w:rFonts w:hint="eastAsia"/>
          <w:lang w:val="en-US" w:eastAsia="zh-CN"/>
        </w:rPr>
        <w:t>《银行价值投资者的未来看点》回复505</w:t>
      </w:r>
    </w:p>
    <w:p>
      <w:pPr>
        <w:widowControl w:val="0"/>
        <w:numPr>
          <w:ilvl w:val="0"/>
          <w:numId w:val="8"/>
        </w:numPr>
        <w:tabs>
          <w:tab w:val="left" w:pos="420"/>
          <w:tab w:val="clear" w:pos="312"/>
        </w:tabs>
        <w:jc w:val="both"/>
        <w:rPr>
          <w:rFonts w:hint="eastAsia"/>
          <w:lang w:val="en-US" w:eastAsia="zh-CN"/>
        </w:rPr>
      </w:pPr>
      <w:r>
        <w:rPr>
          <w:rFonts w:hint="eastAsia"/>
          <w:lang w:val="en-US" w:eastAsia="zh-CN"/>
        </w:rPr>
        <w:t>《中资银行的今天是巴菲特投资富国银行时？》回复501</w:t>
      </w:r>
    </w:p>
    <w:p>
      <w:pPr>
        <w:widowControl w:val="0"/>
        <w:numPr>
          <w:ilvl w:val="0"/>
          <w:numId w:val="8"/>
        </w:numPr>
        <w:tabs>
          <w:tab w:val="left" w:pos="420"/>
          <w:tab w:val="clear" w:pos="312"/>
        </w:tabs>
        <w:jc w:val="both"/>
        <w:rPr>
          <w:rFonts w:hint="eastAsia"/>
          <w:lang w:val="en-US" w:eastAsia="zh-CN"/>
        </w:rPr>
      </w:pPr>
      <w:r>
        <w:rPr>
          <w:rFonts w:hint="eastAsia"/>
          <w:lang w:val="en-US" w:eastAsia="zh-CN"/>
        </w:rPr>
        <w:t>券商研报两篇，见辅助文件下载</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r>
        <w:rPr>
          <w:rFonts w:hint="eastAsia"/>
          <w:lang w:val="en-US" w:eastAsia="zh-CN"/>
        </w:rPr>
        <w:t>【附加题】：</w:t>
      </w:r>
    </w:p>
    <w:p>
      <w:pPr>
        <w:widowControl w:val="0"/>
        <w:numPr>
          <w:ilvl w:val="0"/>
          <w:numId w:val="9"/>
        </w:numPr>
        <w:tabs>
          <w:tab w:val="left" w:pos="420"/>
          <w:tab w:val="clear" w:pos="312"/>
        </w:tabs>
        <w:jc w:val="both"/>
        <w:rPr>
          <w:rFonts w:hint="eastAsia"/>
          <w:lang w:val="en-US" w:eastAsia="zh-CN"/>
        </w:rPr>
      </w:pPr>
      <w:r>
        <w:rPr>
          <w:rFonts w:hint="eastAsia"/>
          <w:lang w:val="en-US" w:eastAsia="zh-CN"/>
        </w:rPr>
        <w:t>我国的银行基准率与美国的联邦基金利率有何不同？</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10"/>
        </w:numPr>
        <w:tabs>
          <w:tab w:val="left" w:pos="420"/>
          <w:tab w:val="clear" w:pos="312"/>
        </w:tabs>
        <w:jc w:val="both"/>
        <w:rPr>
          <w:rFonts w:hint="eastAsia"/>
          <w:lang w:val="en-US" w:eastAsia="zh-CN"/>
        </w:rPr>
      </w:pPr>
      <w:r>
        <w:rPr>
          <w:rFonts w:hint="eastAsia"/>
          <w:lang w:val="en-US" w:eastAsia="zh-CN"/>
        </w:rPr>
        <w:t>我国和美国目前分别处于加息还是降息周期，为什么？</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10"/>
        </w:numPr>
        <w:tabs>
          <w:tab w:val="left" w:pos="420"/>
          <w:tab w:val="clear" w:pos="312"/>
        </w:tabs>
        <w:jc w:val="both"/>
        <w:rPr>
          <w:rFonts w:hint="eastAsia"/>
          <w:lang w:val="en-US" w:eastAsia="zh-CN"/>
        </w:rPr>
      </w:pPr>
      <w:r>
        <w:rPr>
          <w:rFonts w:hint="eastAsia"/>
          <w:lang w:val="en-US" w:eastAsia="zh-CN"/>
        </w:rPr>
        <w:t>找出工商银行、招商银行和民生银行2015-2017三年的净息差？他们三者之间趋势有何不同？</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10"/>
        </w:numPr>
        <w:tabs>
          <w:tab w:val="left" w:pos="420"/>
          <w:tab w:val="clear" w:pos="312"/>
        </w:tabs>
        <w:jc w:val="both"/>
        <w:rPr>
          <w:rFonts w:hint="eastAsia"/>
          <w:lang w:val="en-US" w:eastAsia="zh-CN"/>
        </w:rPr>
      </w:pPr>
      <w:r>
        <w:rPr>
          <w:rFonts w:hint="eastAsia"/>
          <w:lang w:val="en-US" w:eastAsia="zh-CN"/>
        </w:rPr>
        <w:t>你认为过去四年我国大环境下净息差为何下降？你认为未来的趋势会如何？是否会产生分化，为什么？</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10"/>
        </w:numPr>
        <w:tabs>
          <w:tab w:val="left" w:pos="420"/>
          <w:tab w:val="clear" w:pos="312"/>
        </w:tabs>
        <w:jc w:val="both"/>
        <w:rPr>
          <w:rFonts w:hint="eastAsia"/>
          <w:lang w:val="en-US" w:eastAsia="zh-CN"/>
        </w:rPr>
      </w:pPr>
      <w:r>
        <w:rPr>
          <w:rFonts w:hint="eastAsia"/>
          <w:lang w:val="en-US" w:eastAsia="zh-CN"/>
        </w:rPr>
        <w:t>你认为对投资者来说，工商银行在业务上相比民生银行有哪些竞争优势和劣势？招商银行对比民生银行呢？</w:t>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p>
      <w:pPr>
        <w:widowControl w:val="0"/>
        <w:numPr>
          <w:ilvl w:val="0"/>
          <w:numId w:val="10"/>
        </w:numPr>
        <w:tabs>
          <w:tab w:val="left" w:pos="420"/>
          <w:tab w:val="clear" w:pos="312"/>
        </w:tabs>
        <w:jc w:val="both"/>
        <w:rPr>
          <w:rFonts w:hint="eastAsia"/>
          <w:lang w:val="en-US" w:eastAsia="zh-CN"/>
        </w:rPr>
      </w:pPr>
      <w:r>
        <w:rPr>
          <w:rFonts w:hint="eastAsia"/>
          <w:lang w:val="en-US" w:eastAsia="zh-CN"/>
        </w:rPr>
        <w:t>结合三家银行当前的估值，谈谈你的选择和排序。</w:t>
      </w:r>
    </w:p>
    <w:p>
      <w:pPr>
        <w:widowControl w:val="0"/>
        <w:numPr>
          <w:ilvl w:val="0"/>
          <w:numId w:val="0"/>
        </w:numPr>
        <w:tabs>
          <w:tab w:val="left" w:pos="420"/>
        </w:tabs>
        <w:jc w:val="both"/>
        <w:rPr>
          <w:rFonts w:hint="eastAsia"/>
          <w:lang w:val="en-US" w:eastAsia="zh-CN"/>
        </w:rPr>
      </w:pPr>
      <w:r>
        <w:rPr>
          <w:rFonts w:hint="eastAsia"/>
          <w:lang w:val="en-US" w:eastAsia="zh-CN"/>
        </w:rPr>
        <w:tab/>
      </w:r>
    </w:p>
    <w:p>
      <w:pPr>
        <w:widowControl w:val="0"/>
        <w:numPr>
          <w:ilvl w:val="0"/>
          <w:numId w:val="0"/>
        </w:numPr>
        <w:tabs>
          <w:tab w:val="left" w:pos="420"/>
        </w:tabs>
        <w:jc w:val="both"/>
        <w:rPr>
          <w:rFonts w:hint="eastAsia"/>
          <w:lang w:val="en-US" w:eastAsia="zh-CN"/>
        </w:rPr>
      </w:pPr>
    </w:p>
    <w:p>
      <w:pPr>
        <w:widowControl w:val="0"/>
        <w:numPr>
          <w:ilvl w:val="0"/>
          <w:numId w:val="0"/>
        </w:numPr>
        <w:tabs>
          <w:tab w:val="left" w:pos="420"/>
        </w:tabs>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812A"/>
    <w:multiLevelType w:val="singleLevel"/>
    <w:tmpl w:val="5AD0812A"/>
    <w:lvl w:ilvl="0" w:tentative="0">
      <w:start w:val="1"/>
      <w:numFmt w:val="decimal"/>
      <w:lvlText w:val="%1."/>
      <w:lvlJc w:val="left"/>
      <w:pPr>
        <w:tabs>
          <w:tab w:val="left" w:pos="312"/>
        </w:tabs>
      </w:pPr>
    </w:lvl>
  </w:abstractNum>
  <w:abstractNum w:abstractNumId="1">
    <w:nsid w:val="5AD081F8"/>
    <w:multiLevelType w:val="singleLevel"/>
    <w:tmpl w:val="5AD081F8"/>
    <w:lvl w:ilvl="0" w:tentative="0">
      <w:start w:val="1"/>
      <w:numFmt w:val="decimal"/>
      <w:lvlText w:val="%1."/>
      <w:lvlJc w:val="left"/>
      <w:pPr>
        <w:tabs>
          <w:tab w:val="left" w:pos="312"/>
        </w:tabs>
      </w:pPr>
    </w:lvl>
  </w:abstractNum>
  <w:abstractNum w:abstractNumId="2">
    <w:nsid w:val="5AD08E28"/>
    <w:multiLevelType w:val="singleLevel"/>
    <w:tmpl w:val="5AD08E28"/>
    <w:lvl w:ilvl="0" w:tentative="0">
      <w:start w:val="1"/>
      <w:numFmt w:val="decimal"/>
      <w:lvlText w:val="%1."/>
      <w:lvlJc w:val="left"/>
      <w:pPr>
        <w:tabs>
          <w:tab w:val="left" w:pos="312"/>
        </w:tabs>
      </w:pPr>
    </w:lvl>
  </w:abstractNum>
  <w:abstractNum w:abstractNumId="3">
    <w:nsid w:val="5AD08FC4"/>
    <w:multiLevelType w:val="singleLevel"/>
    <w:tmpl w:val="5AD08FC4"/>
    <w:lvl w:ilvl="0" w:tentative="0">
      <w:start w:val="1"/>
      <w:numFmt w:val="lowerLetter"/>
      <w:lvlText w:val="%1)"/>
      <w:lvlJc w:val="left"/>
      <w:pPr>
        <w:tabs>
          <w:tab w:val="left" w:pos="420"/>
        </w:tabs>
        <w:ind w:left="425" w:leftChars="0" w:hanging="425" w:firstLineChars="0"/>
      </w:pPr>
      <w:rPr>
        <w:rFonts w:hint="default"/>
      </w:rPr>
    </w:lvl>
  </w:abstractNum>
  <w:abstractNum w:abstractNumId="4">
    <w:nsid w:val="5AD090E8"/>
    <w:multiLevelType w:val="singleLevel"/>
    <w:tmpl w:val="5AD090E8"/>
    <w:lvl w:ilvl="0" w:tentative="0">
      <w:start w:val="5"/>
      <w:numFmt w:val="decimal"/>
      <w:lvlText w:val="%1."/>
      <w:lvlJc w:val="left"/>
      <w:pPr>
        <w:tabs>
          <w:tab w:val="left" w:pos="312"/>
        </w:tabs>
      </w:pPr>
    </w:lvl>
  </w:abstractNum>
  <w:abstractNum w:abstractNumId="5">
    <w:nsid w:val="5AD091D5"/>
    <w:multiLevelType w:val="singleLevel"/>
    <w:tmpl w:val="5AD091D5"/>
    <w:lvl w:ilvl="0" w:tentative="0">
      <w:start w:val="1"/>
      <w:numFmt w:val="lowerLetter"/>
      <w:lvlText w:val="%1)"/>
      <w:lvlJc w:val="left"/>
      <w:pPr>
        <w:tabs>
          <w:tab w:val="left" w:pos="420"/>
        </w:tabs>
        <w:ind w:left="425" w:leftChars="0" w:hanging="425" w:firstLineChars="0"/>
      </w:pPr>
      <w:rPr>
        <w:rFonts w:hint="default"/>
      </w:rPr>
    </w:lvl>
  </w:abstractNum>
  <w:abstractNum w:abstractNumId="6">
    <w:nsid w:val="5AD09247"/>
    <w:multiLevelType w:val="singleLevel"/>
    <w:tmpl w:val="5AD09247"/>
    <w:lvl w:ilvl="0" w:tentative="0">
      <w:start w:val="8"/>
      <w:numFmt w:val="decimal"/>
      <w:lvlText w:val="%1."/>
      <w:lvlJc w:val="left"/>
    </w:lvl>
  </w:abstractNum>
  <w:abstractNum w:abstractNumId="7">
    <w:nsid w:val="5AD09323"/>
    <w:multiLevelType w:val="singleLevel"/>
    <w:tmpl w:val="5AD09323"/>
    <w:lvl w:ilvl="0" w:tentative="0">
      <w:start w:val="1"/>
      <w:numFmt w:val="decimal"/>
      <w:lvlText w:val="%1."/>
      <w:lvlJc w:val="left"/>
      <w:pPr>
        <w:tabs>
          <w:tab w:val="left" w:pos="312"/>
        </w:tabs>
      </w:pPr>
    </w:lvl>
  </w:abstractNum>
  <w:abstractNum w:abstractNumId="8">
    <w:nsid w:val="5AD093D2"/>
    <w:multiLevelType w:val="singleLevel"/>
    <w:tmpl w:val="5AD093D2"/>
    <w:lvl w:ilvl="0" w:tentative="0">
      <w:start w:val="2"/>
      <w:numFmt w:val="decimal"/>
      <w:lvlText w:val="%1."/>
      <w:lvlJc w:val="left"/>
      <w:pPr>
        <w:tabs>
          <w:tab w:val="left" w:pos="312"/>
        </w:tabs>
      </w:pPr>
    </w:lvl>
  </w:abstractNum>
  <w:abstractNum w:abstractNumId="9">
    <w:nsid w:val="5AD094C1"/>
    <w:multiLevelType w:val="singleLevel"/>
    <w:tmpl w:val="5AD094C1"/>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03FA9"/>
    <w:rsid w:val="01DF1C21"/>
    <w:rsid w:val="037A67EF"/>
    <w:rsid w:val="04745238"/>
    <w:rsid w:val="05C85C77"/>
    <w:rsid w:val="06B64F1C"/>
    <w:rsid w:val="07354F97"/>
    <w:rsid w:val="08AF6653"/>
    <w:rsid w:val="09896BF0"/>
    <w:rsid w:val="0A1D0B58"/>
    <w:rsid w:val="0A32445C"/>
    <w:rsid w:val="0A421687"/>
    <w:rsid w:val="0AF53B6A"/>
    <w:rsid w:val="0C237A4D"/>
    <w:rsid w:val="0CAE561F"/>
    <w:rsid w:val="0E2B63BC"/>
    <w:rsid w:val="0E6D70D2"/>
    <w:rsid w:val="0E811F3D"/>
    <w:rsid w:val="10397C77"/>
    <w:rsid w:val="10856B2A"/>
    <w:rsid w:val="10BD3B40"/>
    <w:rsid w:val="111A1A8F"/>
    <w:rsid w:val="12597C27"/>
    <w:rsid w:val="129F17A5"/>
    <w:rsid w:val="139150F7"/>
    <w:rsid w:val="13BF3BD8"/>
    <w:rsid w:val="143D56F7"/>
    <w:rsid w:val="14961DCD"/>
    <w:rsid w:val="161310B6"/>
    <w:rsid w:val="1A5A08F6"/>
    <w:rsid w:val="1C0A0D96"/>
    <w:rsid w:val="1C5C3742"/>
    <w:rsid w:val="1D5A543E"/>
    <w:rsid w:val="1E753292"/>
    <w:rsid w:val="1FF70642"/>
    <w:rsid w:val="214947BC"/>
    <w:rsid w:val="22962152"/>
    <w:rsid w:val="22F649C0"/>
    <w:rsid w:val="23921491"/>
    <w:rsid w:val="258F4639"/>
    <w:rsid w:val="266A24A2"/>
    <w:rsid w:val="267D3EB0"/>
    <w:rsid w:val="26CD4B63"/>
    <w:rsid w:val="272D3830"/>
    <w:rsid w:val="27412595"/>
    <w:rsid w:val="28D56708"/>
    <w:rsid w:val="2980071E"/>
    <w:rsid w:val="29FD78CE"/>
    <w:rsid w:val="2A1A30A8"/>
    <w:rsid w:val="2AAA6638"/>
    <w:rsid w:val="2BB63BBA"/>
    <w:rsid w:val="2BD36CB6"/>
    <w:rsid w:val="2E3E457F"/>
    <w:rsid w:val="2EC011B1"/>
    <w:rsid w:val="310A606E"/>
    <w:rsid w:val="316E05BA"/>
    <w:rsid w:val="32796300"/>
    <w:rsid w:val="345C0AF3"/>
    <w:rsid w:val="35111A67"/>
    <w:rsid w:val="35333331"/>
    <w:rsid w:val="353D0B72"/>
    <w:rsid w:val="35B44FE2"/>
    <w:rsid w:val="38DC4865"/>
    <w:rsid w:val="38EE7493"/>
    <w:rsid w:val="3A167729"/>
    <w:rsid w:val="3A6F3B9F"/>
    <w:rsid w:val="3CC11ACD"/>
    <w:rsid w:val="3CC837F6"/>
    <w:rsid w:val="3CFA0701"/>
    <w:rsid w:val="3D917831"/>
    <w:rsid w:val="3DE476DD"/>
    <w:rsid w:val="3EC45912"/>
    <w:rsid w:val="3F334201"/>
    <w:rsid w:val="40205D35"/>
    <w:rsid w:val="410D52A0"/>
    <w:rsid w:val="42134BAB"/>
    <w:rsid w:val="43475318"/>
    <w:rsid w:val="46347BAE"/>
    <w:rsid w:val="479C2A8D"/>
    <w:rsid w:val="47A51245"/>
    <w:rsid w:val="48614605"/>
    <w:rsid w:val="48B1140C"/>
    <w:rsid w:val="48E10B19"/>
    <w:rsid w:val="4A515C85"/>
    <w:rsid w:val="4DBE4358"/>
    <w:rsid w:val="4EA82F42"/>
    <w:rsid w:val="4F435273"/>
    <w:rsid w:val="500A18D2"/>
    <w:rsid w:val="513D529C"/>
    <w:rsid w:val="52B42229"/>
    <w:rsid w:val="53266E57"/>
    <w:rsid w:val="54FC669B"/>
    <w:rsid w:val="56255F74"/>
    <w:rsid w:val="562C70F8"/>
    <w:rsid w:val="5648439D"/>
    <w:rsid w:val="56621D24"/>
    <w:rsid w:val="56DF1E29"/>
    <w:rsid w:val="57337F0C"/>
    <w:rsid w:val="57E36739"/>
    <w:rsid w:val="58A52235"/>
    <w:rsid w:val="58FB3AA9"/>
    <w:rsid w:val="591A7508"/>
    <w:rsid w:val="5C603680"/>
    <w:rsid w:val="5C864634"/>
    <w:rsid w:val="5D2637F9"/>
    <w:rsid w:val="5D2E2D12"/>
    <w:rsid w:val="5DC123AB"/>
    <w:rsid w:val="5F567CB3"/>
    <w:rsid w:val="608925B4"/>
    <w:rsid w:val="611E70AF"/>
    <w:rsid w:val="61311627"/>
    <w:rsid w:val="62A71318"/>
    <w:rsid w:val="64A563DE"/>
    <w:rsid w:val="65F11CB2"/>
    <w:rsid w:val="66285FAD"/>
    <w:rsid w:val="67080126"/>
    <w:rsid w:val="67116B0B"/>
    <w:rsid w:val="67306C57"/>
    <w:rsid w:val="67895BE6"/>
    <w:rsid w:val="67D4437D"/>
    <w:rsid w:val="68C57B81"/>
    <w:rsid w:val="69E57981"/>
    <w:rsid w:val="6A001C4A"/>
    <w:rsid w:val="6ADA4FA1"/>
    <w:rsid w:val="6C6E7292"/>
    <w:rsid w:val="6D477E91"/>
    <w:rsid w:val="6EE11D05"/>
    <w:rsid w:val="6FDE4760"/>
    <w:rsid w:val="702B4C98"/>
    <w:rsid w:val="70BC5899"/>
    <w:rsid w:val="73EE4196"/>
    <w:rsid w:val="74104341"/>
    <w:rsid w:val="74821922"/>
    <w:rsid w:val="74D353C0"/>
    <w:rsid w:val="75D71D0F"/>
    <w:rsid w:val="777B3B4F"/>
    <w:rsid w:val="778A52B3"/>
    <w:rsid w:val="7960706D"/>
    <w:rsid w:val="7ACB696D"/>
    <w:rsid w:val="7B020CBE"/>
    <w:rsid w:val="7B167BF2"/>
    <w:rsid w:val="7C1C4499"/>
    <w:rsid w:val="7DD438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程序猿PMP</cp:lastModifiedBy>
  <dcterms:modified xsi:type="dcterms:W3CDTF">2018-04-15T15:14:28Z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