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【18春训营-价值投资新时代】任务三：银行-重资产国家产业</w:t>
      </w:r>
    </w:p>
    <w:p>
      <w:pPr>
        <w:rPr>
          <w:rFonts w:hint="eastAsia"/>
          <w:lang w:val="en-US" w:eastAsia="zh-CN"/>
        </w:rPr>
      </w:pPr>
    </w:p>
    <w:p>
      <w:pPr>
        <w:rPr>
          <w:rFonts w:hint="eastAsia"/>
          <w:lang w:val="en-US" w:eastAsia="zh-CN"/>
        </w:rPr>
      </w:pPr>
      <w:r>
        <w:rPr>
          <w:rFonts w:hint="eastAsia"/>
          <w:lang w:val="en-US" w:eastAsia="zh-CN"/>
        </w:rPr>
        <w:t>【春训营守则】：</w:t>
      </w:r>
    </w:p>
    <w:p>
      <w:pPr>
        <w:numPr>
          <w:ilvl w:val="0"/>
          <w:numId w:val="1"/>
        </w:numPr>
        <w:rPr>
          <w:rFonts w:hint="eastAsia"/>
          <w:lang w:val="en-US" w:eastAsia="zh-CN"/>
        </w:rPr>
      </w:pPr>
      <w:r>
        <w:rPr>
          <w:rFonts w:hint="eastAsia"/>
          <w:lang w:val="en-US" w:eastAsia="zh-CN"/>
        </w:rPr>
        <w:t>高质完成作业，按时（周日晚12点前）提交；</w:t>
      </w:r>
    </w:p>
    <w:p>
      <w:pPr>
        <w:numPr>
          <w:ilvl w:val="0"/>
          <w:numId w:val="1"/>
        </w:numPr>
        <w:rPr>
          <w:rFonts w:hint="eastAsia"/>
          <w:lang w:val="en-US" w:eastAsia="zh-CN"/>
        </w:rPr>
      </w:pPr>
      <w:r>
        <w:rPr>
          <w:rFonts w:hint="eastAsia"/>
          <w:lang w:val="en-US" w:eastAsia="zh-CN"/>
        </w:rPr>
        <w:t>对题目内容保密，严禁外传，一经发现，取消春训营资格；</w:t>
      </w:r>
    </w:p>
    <w:p>
      <w:pPr>
        <w:numPr>
          <w:ilvl w:val="0"/>
          <w:numId w:val="1"/>
        </w:numPr>
        <w:rPr>
          <w:rFonts w:hint="eastAsia"/>
          <w:lang w:val="en-US" w:eastAsia="zh-CN"/>
        </w:rPr>
      </w:pPr>
      <w:r>
        <w:rPr>
          <w:rFonts w:hint="eastAsia"/>
          <w:lang w:val="en-US" w:eastAsia="zh-CN"/>
        </w:rPr>
        <w:t>每人有三次交作业豁免的机会，三次机会用完后每次需付费100元查看答案。</w:t>
      </w:r>
    </w:p>
    <w:p>
      <w:pPr>
        <w:numPr>
          <w:ilvl w:val="0"/>
          <w:numId w:val="1"/>
        </w:numPr>
        <w:rPr>
          <w:rFonts w:hint="eastAsia"/>
          <w:lang w:val="en-US" w:eastAsia="zh-CN"/>
        </w:rPr>
      </w:pPr>
      <w:r>
        <w:rPr>
          <w:rFonts w:hint="eastAsia"/>
          <w:lang w:val="en-US" w:eastAsia="zh-CN"/>
        </w:rPr>
        <w:t>作业被评为“很水”需要在群内发50元（分十个）拼手气红包。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【截止时间】：4月15日（周日）晚12点前在九斗网站提交</w:t>
      </w:r>
    </w:p>
    <w:p>
      <w:pPr>
        <w:widowControl w:val="0"/>
        <w:numPr>
          <w:ilvl w:val="0"/>
          <w:numId w:val="0"/>
        </w:numPr>
        <w:jc w:val="both"/>
        <w:rPr>
          <w:rFonts w:hint="eastAsia"/>
          <w:lang w:val="en-US" w:eastAsia="zh-CN"/>
        </w:rPr>
      </w:pPr>
      <w:r>
        <w:rPr>
          <w:rFonts w:hint="eastAsia"/>
          <w:lang w:val="en-US" w:eastAsia="zh-CN"/>
        </w:rPr>
        <w:t>【耗时预估】：12-20小时</w:t>
      </w:r>
    </w:p>
    <w:p>
      <w:pPr>
        <w:widowControl w:val="0"/>
        <w:numPr>
          <w:ilvl w:val="0"/>
          <w:numId w:val="0"/>
        </w:numPr>
        <w:jc w:val="both"/>
        <w:rPr>
          <w:rFonts w:hint="eastAsia"/>
          <w:lang w:val="en-US" w:eastAsia="zh-CN"/>
        </w:rPr>
      </w:pPr>
      <w:r>
        <w:rPr>
          <w:rFonts w:hint="eastAsia"/>
          <w:lang w:val="en-US" w:eastAsia="zh-CN"/>
        </w:rPr>
        <w:t>【预备阅读】：</w:t>
      </w:r>
    </w:p>
    <w:p>
      <w:pPr>
        <w:widowControl w:val="0"/>
        <w:numPr>
          <w:ilvl w:val="0"/>
          <w:numId w:val="0"/>
        </w:numPr>
        <w:jc w:val="both"/>
        <w:rPr>
          <w:rFonts w:hint="eastAsia"/>
          <w:lang w:val="en-US" w:eastAsia="zh-CN"/>
        </w:rPr>
      </w:pPr>
      <w:r>
        <w:rPr>
          <w:rFonts w:hint="eastAsia"/>
          <w:lang w:val="en-US" w:eastAsia="zh-CN"/>
        </w:rPr>
        <w:t>分为通关题阅读和附加题阅读，请翻页查看。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通关题【预备阅读】：</w:t>
      </w:r>
    </w:p>
    <w:p>
      <w:pPr>
        <w:widowControl w:val="0"/>
        <w:numPr>
          <w:ilvl w:val="0"/>
          <w:numId w:val="2"/>
        </w:numPr>
        <w:jc w:val="both"/>
        <w:rPr>
          <w:rFonts w:hint="eastAsia"/>
          <w:lang w:val="en-US" w:eastAsia="zh-CN"/>
        </w:rPr>
      </w:pPr>
      <w:r>
        <w:rPr>
          <w:rFonts w:hint="eastAsia"/>
          <w:lang w:val="en-US" w:eastAsia="zh-CN"/>
        </w:rPr>
        <w:t>银行赚钱模式小解（基础篇、进阶篇、完结篇）</w:t>
      </w:r>
    </w:p>
    <w:p>
      <w:pPr>
        <w:widowControl w:val="0"/>
        <w:numPr>
          <w:ilvl w:val="0"/>
          <w:numId w:val="2"/>
        </w:numPr>
        <w:jc w:val="both"/>
        <w:rPr>
          <w:rFonts w:hint="eastAsia"/>
          <w:lang w:val="en-US" w:eastAsia="zh-CN"/>
        </w:rPr>
      </w:pPr>
      <w:r>
        <w:rPr>
          <w:rFonts w:hint="eastAsia"/>
          <w:lang w:val="en-US" w:eastAsia="zh-CN"/>
        </w:rPr>
        <w:t>《（论估值）银行股还能飞多高？》公众号回复303</w:t>
      </w:r>
    </w:p>
    <w:p>
      <w:pPr>
        <w:widowControl w:val="0"/>
        <w:numPr>
          <w:ilvl w:val="0"/>
          <w:numId w:val="0"/>
        </w:numPr>
        <w:jc w:val="both"/>
        <w:rPr>
          <w:rFonts w:hint="eastAsia"/>
          <w:lang w:val="en-US" w:eastAsia="zh-CN"/>
        </w:rPr>
      </w:pPr>
      <w:r>
        <w:rPr>
          <w:rFonts w:hint="eastAsia"/>
          <w:lang w:val="en-US" w:eastAsia="zh-CN"/>
        </w:rPr>
        <w:t>https://mp.weixin.qq.com/s?__biz=MzIxMzI0OTg2Mw==&amp;mid=502695608&amp;idx=1&amp;sn=4b8a4a441ef8eaac42a8bbdac1b015ba&amp;key=a8ebc24790f6fd0140ca99f351ecf1c36d7ac50c7250b21423d7c9b6c85ba6eecd4e222c330c0485580d18d605acf1f1d110f4e5981e4a893ca8c0a70e91198c50c509f88334c3ab68bf1fc6832a5de4&amp;ascene=1&amp;uin=OTE0NDI3MDQw&amp;devicetype=Windows-QQBrowser&amp;version=6103000b&amp;lang=zh_CN&amp;pass_ticket=D5QTb49OoyCBSGfH%2Bz5isIE%2F9cbCDXtQqVIvTNBGVXlesl4ku%2For1gS%2BtvFvwbzk</w:t>
      </w:r>
    </w:p>
    <w:p>
      <w:pPr>
        <w:widowControl w:val="0"/>
        <w:numPr>
          <w:ilvl w:val="0"/>
          <w:numId w:val="2"/>
        </w:numPr>
        <w:jc w:val="both"/>
        <w:rPr>
          <w:rFonts w:hint="eastAsia"/>
          <w:lang w:val="en-US" w:eastAsia="zh-CN"/>
        </w:rPr>
      </w:pPr>
      <w:r>
        <w:rPr>
          <w:rFonts w:hint="eastAsia"/>
          <w:lang w:val="en-US" w:eastAsia="zh-CN"/>
        </w:rPr>
        <w:t>《花旗银行危机政府救助》，见附件</w:t>
      </w:r>
    </w:p>
    <w:p>
      <w:pPr>
        <w:widowControl w:val="0"/>
        <w:numPr>
          <w:ilvl w:val="0"/>
          <w:numId w:val="2"/>
        </w:numPr>
        <w:jc w:val="both"/>
        <w:rPr>
          <w:rFonts w:hint="eastAsia"/>
          <w:lang w:val="en-US" w:eastAsia="zh-CN"/>
        </w:rPr>
      </w:pPr>
      <w:r>
        <w:rPr>
          <w:rFonts w:hint="eastAsia"/>
          <w:lang w:val="en-US" w:eastAsia="zh-CN"/>
        </w:rPr>
        <w:t>《外汇注资，不一样的银行改革》，见辅助文件下载</w:t>
      </w:r>
    </w:p>
    <w:p>
      <w:pPr>
        <w:widowControl w:val="0"/>
        <w:numPr>
          <w:ilvl w:val="0"/>
          <w:numId w:val="2"/>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"http://bank.hexun.com/2008/kf30zhjhzz/index.html" </w:instrText>
      </w:r>
      <w:r>
        <w:rPr>
          <w:rFonts w:hint="eastAsia"/>
          <w:lang w:val="en-US" w:eastAsia="zh-CN"/>
        </w:rPr>
        <w:fldChar w:fldCharType="separate"/>
      </w:r>
      <w:r>
        <w:rPr>
          <w:rStyle w:val="3"/>
          <w:rFonts w:hint="eastAsia"/>
          <w:lang w:val="en-US" w:eastAsia="zh-CN"/>
        </w:rPr>
        <w:t>http://bank.hexun.com/2008/kf30zhjhzz/index.html</w:t>
      </w:r>
      <w:r>
        <w:rPr>
          <w:rFonts w:hint="eastAsia"/>
          <w:lang w:val="en-US" w:eastAsia="zh-CN"/>
        </w:rPr>
        <w:fldChar w:fldCharType="end"/>
      </w:r>
    </w:p>
    <w:p>
      <w:pPr>
        <w:widowControl w:val="0"/>
        <w:numPr>
          <w:ilvl w:val="0"/>
          <w:numId w:val="2"/>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"http://bank.hexun.com/2008/kaifang1/" </w:instrText>
      </w:r>
      <w:r>
        <w:rPr>
          <w:rFonts w:hint="eastAsia"/>
          <w:lang w:val="en-US" w:eastAsia="zh-CN"/>
        </w:rPr>
        <w:fldChar w:fldCharType="separate"/>
      </w:r>
      <w:r>
        <w:rPr>
          <w:rStyle w:val="3"/>
          <w:rFonts w:hint="eastAsia"/>
          <w:lang w:val="en-US" w:eastAsia="zh-CN"/>
        </w:rPr>
        <w:t>http://bank.hexun.com/2008/kaifang1/</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【通关题】：</w:t>
      </w:r>
    </w:p>
    <w:p>
      <w:pPr>
        <w:widowControl w:val="0"/>
        <w:numPr>
          <w:ilvl w:val="0"/>
          <w:numId w:val="3"/>
        </w:numPr>
        <w:jc w:val="both"/>
        <w:rPr>
          <w:rFonts w:hint="eastAsia"/>
          <w:lang w:val="en-US" w:eastAsia="zh-CN"/>
        </w:rPr>
      </w:pPr>
      <w:r>
        <w:rPr>
          <w:rFonts w:hint="eastAsia"/>
          <w:lang w:val="en-US" w:eastAsia="zh-CN"/>
        </w:rPr>
        <w:t>请用自己的语言表述不良率和拨备率</w:t>
      </w:r>
    </w:p>
    <w:p>
      <w:pPr>
        <w:widowControl w:val="0"/>
        <w:numPr>
          <w:ilvl w:val="0"/>
          <w:numId w:val="0"/>
        </w:numPr>
        <w:jc w:val="both"/>
        <w:rPr>
          <w:rFonts w:hint="eastAsia"/>
          <w:lang w:val="en-US" w:eastAsia="zh-CN"/>
        </w:rPr>
      </w:pPr>
      <w:r>
        <w:rPr>
          <w:rFonts w:hint="eastAsia"/>
          <w:lang w:val="en-US" w:eastAsia="zh-CN"/>
        </w:rPr>
        <w:t>不良率：银行房贷后客户不能及时、足额、无法收回利息的情况属于不良贷款，不良贷款/总贷款的比例就是不良率。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拨备率：根据贷款余额为不良贷款提取准备金的比例，提取准备金记入当期损益。</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以中国工商银行为例，列举2010年至今的不良率和拨备率</w:t>
      </w:r>
    </w:p>
    <w:tbl>
      <w:tblPr>
        <w:tblStyle w:val="5"/>
        <w:tblpPr w:leftFromText="180" w:rightFromText="180" w:vertAnchor="text" w:horzAnchor="page" w:tblpX="1838" w:tblpY="251"/>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879"/>
        <w:gridCol w:w="1009"/>
        <w:gridCol w:w="1010"/>
        <w:gridCol w:w="1009"/>
        <w:gridCol w:w="1010"/>
        <w:gridCol w:w="1010"/>
        <w:gridCol w:w="1011"/>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3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科目/年度</w:t>
            </w:r>
          </w:p>
        </w:tc>
        <w:tc>
          <w:tcPr>
            <w:tcW w:w="87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2010</w:t>
            </w:r>
          </w:p>
        </w:tc>
        <w:tc>
          <w:tcPr>
            <w:tcW w:w="100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2011</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2012</w:t>
            </w:r>
          </w:p>
        </w:tc>
        <w:tc>
          <w:tcPr>
            <w:tcW w:w="100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2013</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2014</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2015</w:t>
            </w:r>
          </w:p>
        </w:tc>
        <w:tc>
          <w:tcPr>
            <w:tcW w:w="1011"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2016</w:t>
            </w:r>
          </w:p>
        </w:tc>
        <w:tc>
          <w:tcPr>
            <w:tcW w:w="1003"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不良率</w:t>
            </w:r>
          </w:p>
        </w:tc>
        <w:tc>
          <w:tcPr>
            <w:tcW w:w="87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1.08%</w:t>
            </w:r>
          </w:p>
        </w:tc>
        <w:tc>
          <w:tcPr>
            <w:tcW w:w="100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0.94%</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0.85%</w:t>
            </w:r>
          </w:p>
        </w:tc>
        <w:tc>
          <w:tcPr>
            <w:tcW w:w="100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0.94%</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1.13%</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1.50%</w:t>
            </w:r>
          </w:p>
        </w:tc>
        <w:tc>
          <w:tcPr>
            <w:tcW w:w="1011"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1.62%</w:t>
            </w:r>
          </w:p>
        </w:tc>
        <w:tc>
          <w:tcPr>
            <w:tcW w:w="1003"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13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拨备覆盖率</w:t>
            </w:r>
          </w:p>
        </w:tc>
        <w:tc>
          <w:tcPr>
            <w:tcW w:w="87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228.20%</w:t>
            </w:r>
          </w:p>
        </w:tc>
        <w:tc>
          <w:tcPr>
            <w:tcW w:w="100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266.92%</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295.55%</w:t>
            </w:r>
          </w:p>
        </w:tc>
        <w:tc>
          <w:tcPr>
            <w:tcW w:w="100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257.19%</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206.90%</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156.34%</w:t>
            </w:r>
          </w:p>
        </w:tc>
        <w:tc>
          <w:tcPr>
            <w:tcW w:w="1011"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136.69%</w:t>
            </w:r>
          </w:p>
        </w:tc>
        <w:tc>
          <w:tcPr>
            <w:tcW w:w="1003"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154.07%</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你认为上市的四大行和股份制银行是否有实质性的破产风险，为什么？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政策背景：2017银行破产条例规定：日前，银监会官网上发布对“十二届全国人大五次会议第2691号建议的答复”称，银监会正在起草《商业银行破产风险处置条例》，加快推出银行破产条例。这意味着银行也可以破产的时代将要到来。</w:t>
      </w:r>
      <w:r>
        <w:rPr>
          <w:rFonts w:hint="eastAsia"/>
          <w:lang w:val="en-US" w:eastAsia="zh-CN"/>
        </w:rPr>
        <w:br w:type="textWrapping"/>
      </w:r>
    </w:p>
    <w:p>
      <w:pPr>
        <w:widowControl w:val="0"/>
        <w:numPr>
          <w:ilvl w:val="0"/>
          <w:numId w:val="0"/>
        </w:numPr>
        <w:jc w:val="both"/>
        <w:rPr>
          <w:rFonts w:hint="eastAsia"/>
          <w:lang w:val="en-US" w:eastAsia="zh-CN"/>
        </w:rPr>
      </w:pPr>
      <w:r>
        <w:rPr>
          <w:rFonts w:hint="eastAsia"/>
          <w:lang w:val="en-US" w:eastAsia="zh-CN"/>
        </w:rPr>
        <w:t>上市的四大行大股东几乎都是财政部、中央汇金、中央证金等，实质上四大行还是属于国家兜底，只要中国没有改朝换代他们就不会破产。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股份制银行的大股东通常是央企，例如：招商局、首钢、保险等，有破产风险但是不会实质性破产。原因：类似美国2008金融危机，国家也没办法救所有银行，雷曼就破产了。而且法律上面已经其实做准备。历史上出现的银行倒闭有：海南发展银行（1998年），汕头市商业银行（2001年），但是央行作为最后贷款人，破产的银行会由央行指派接管。</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计算题I：</w:t>
      </w: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计算花旗银行从2007年美国次贷危机前最高点至2008年3月17日贝尔斯登被收购期间的跌幅</w:t>
      </w:r>
    </w:p>
    <w:p>
      <w:pPr>
        <w:widowControl w:val="0"/>
        <w:numPr>
          <w:ilvl w:val="0"/>
          <w:numId w:val="0"/>
        </w:numPr>
        <w:ind w:leftChars="0"/>
        <w:jc w:val="both"/>
        <w:rPr>
          <w:rFonts w:hint="eastAsia"/>
          <w:lang w:val="en-US" w:eastAsia="zh-CN"/>
        </w:rPr>
      </w:pPr>
      <w:r>
        <w:rPr>
          <w:rFonts w:hint="eastAsia"/>
          <w:lang w:val="en-US" w:eastAsia="zh-CN"/>
        </w:rPr>
        <w:t>花旗银行2007/05/18  股价55.55  ，2008/03/17 股价17.99 ，跌幅：-67.61%</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计算花旗银行从2008年3月17日至9月15日雷曼破产期间的跌幅</w:t>
      </w:r>
    </w:p>
    <w:p>
      <w:pPr>
        <w:widowControl w:val="0"/>
        <w:numPr>
          <w:ilvl w:val="0"/>
          <w:numId w:val="0"/>
        </w:numPr>
        <w:tabs>
          <w:tab w:val="left" w:pos="420"/>
        </w:tabs>
        <w:jc w:val="both"/>
        <w:rPr>
          <w:rFonts w:hint="eastAsia"/>
          <w:lang w:val="en-US" w:eastAsia="zh-CN"/>
        </w:rPr>
      </w:pPr>
      <w:r>
        <w:rPr>
          <w:rFonts w:hint="eastAsia"/>
          <w:lang w:val="en-US" w:eastAsia="zh-CN"/>
        </w:rPr>
        <w:t>花旗银行2008年3月17日 股价：17.99 ，2008年9月15日 股价：15.24 ，跌幅：-15.29%</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计算花旗银行从2008年9月15日至11月21日美联储宣布对花旗第二轮救助前的跌幅</w:t>
      </w:r>
    </w:p>
    <w:p>
      <w:pPr>
        <w:widowControl w:val="0"/>
        <w:numPr>
          <w:ilvl w:val="0"/>
          <w:numId w:val="0"/>
        </w:numPr>
        <w:ind w:leftChars="0" w:firstLine="420" w:firstLineChars="0"/>
        <w:jc w:val="both"/>
        <w:rPr>
          <w:rFonts w:hint="eastAsia"/>
          <w:lang w:val="en-US" w:eastAsia="zh-CN"/>
        </w:rPr>
      </w:pPr>
      <w:r>
        <w:rPr>
          <w:rFonts w:hint="eastAsia"/>
          <w:lang w:val="en-US" w:eastAsia="zh-CN"/>
        </w:rPr>
        <w:t>2008年9月15日 股价：15.24 ，11月21日 股价：3.77，跌幅：-75.26%</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计算花旗银行从2008年11月21日至最低点的跌幅</w:t>
      </w:r>
    </w:p>
    <w:p>
      <w:pPr>
        <w:widowControl w:val="0"/>
        <w:numPr>
          <w:ilvl w:val="0"/>
          <w:numId w:val="0"/>
        </w:numPr>
        <w:ind w:leftChars="0" w:firstLine="420" w:firstLineChars="0"/>
        <w:jc w:val="both"/>
        <w:rPr>
          <w:rFonts w:hint="eastAsia"/>
          <w:lang w:val="en-US" w:eastAsia="zh-CN"/>
        </w:rPr>
      </w:pPr>
      <w:r>
        <w:rPr>
          <w:rFonts w:hint="eastAsia"/>
          <w:lang w:val="en-US" w:eastAsia="zh-CN"/>
        </w:rPr>
        <w:t>11月21日 股价：3.77，2009/03/05 股价：0.97 ，跌幅：-74.27%</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计算花旗银行从2007年次贷危机前最高点至今的涨跌幅，年化收益率</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2006年12月28日，前复权价格：497.98元，</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2018年4月13日，前复权价格：71.01元，</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涨跌幅：-85.74%，</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年化收益率: -37.62%</w:t>
      </w:r>
    </w:p>
    <w:p>
      <w:pPr>
        <w:widowControl w:val="0"/>
        <w:numPr>
          <w:ilvl w:val="0"/>
          <w:numId w:val="0"/>
        </w:numPr>
        <w:tabs>
          <w:tab w:val="left" w:pos="420"/>
        </w:tabs>
        <w:jc w:val="both"/>
        <w:rPr>
          <w:rFonts w:hint="eastAsia"/>
          <w:lang w:val="en-US" w:eastAsia="zh-CN"/>
        </w:rPr>
      </w:pPr>
    </w:p>
    <w:p>
      <w:pPr>
        <w:widowControl w:val="0"/>
        <w:numPr>
          <w:ilvl w:val="0"/>
          <w:numId w:val="5"/>
        </w:numPr>
        <w:tabs>
          <w:tab w:val="left" w:pos="420"/>
          <w:tab w:val="clear" w:pos="312"/>
        </w:tabs>
        <w:jc w:val="both"/>
        <w:rPr>
          <w:rFonts w:hint="eastAsia"/>
          <w:lang w:val="en-US" w:eastAsia="zh-CN"/>
        </w:rPr>
      </w:pPr>
      <w:r>
        <w:rPr>
          <w:rFonts w:hint="eastAsia"/>
          <w:lang w:val="en-US" w:eastAsia="zh-CN"/>
        </w:rPr>
        <w:t>政府救助对二级市场投资者意味着什么？</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政府救助对于二级市场投资者来说就是确认金融危机的严重性非常大，到了政府非救不可的程度，对于市场造成更大的恐慌。所以才会有美国政府对于花旗银行的两次救助，而且救助后还是继续大幅下跌，直到恐慌情绪得到完全宣泄，才能起底回升。A股5178跌落下来的时候出现类似情况，政府救市之后还是大幅下跌，投资者的恐慌情绪宣泄完成到了2638.30才开始起底回升。</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5"/>
        </w:numPr>
        <w:tabs>
          <w:tab w:val="left" w:pos="420"/>
          <w:tab w:val="clear" w:pos="312"/>
        </w:tabs>
        <w:jc w:val="both"/>
        <w:rPr>
          <w:rFonts w:hint="eastAsia"/>
          <w:lang w:val="en-US" w:eastAsia="zh-CN"/>
        </w:rPr>
      </w:pPr>
      <w:r>
        <w:rPr>
          <w:rFonts w:hint="eastAsia"/>
          <w:lang w:val="en-US" w:eastAsia="zh-CN"/>
        </w:rPr>
        <w:t>为什么10年多前，财政部选择对四大行注资，然后上市，如果当时四大行是上市公司，股价表现会怎样？</w:t>
      </w:r>
    </w:p>
    <w:p>
      <w:pPr>
        <w:widowControl w:val="0"/>
        <w:numPr>
          <w:ilvl w:val="0"/>
          <w:numId w:val="0"/>
        </w:numPr>
        <w:tabs>
          <w:tab w:val="left" w:pos="420"/>
        </w:tabs>
        <w:jc w:val="both"/>
        <w:rPr>
          <w:rFonts w:hint="eastAsia"/>
          <w:lang w:val="en-US" w:eastAsia="zh-CN"/>
        </w:rPr>
      </w:pPr>
      <w:r>
        <w:rPr>
          <w:rFonts w:hint="eastAsia"/>
          <w:lang w:val="en-US" w:eastAsia="zh-CN"/>
        </w:rPr>
        <w:t>财政部选择对四大行注资然后上市，清理了资产负债表（注销、核销不良资产），增加流动资金同事引入战略投资者、改革先有治理结构，对于四大行是非常大的利好，股价应该暴涨。</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5"/>
        </w:numPr>
        <w:tabs>
          <w:tab w:val="left" w:pos="420"/>
          <w:tab w:val="clear" w:pos="312"/>
        </w:tabs>
        <w:jc w:val="both"/>
        <w:rPr>
          <w:rFonts w:hint="eastAsia"/>
          <w:lang w:val="en-US" w:eastAsia="zh-CN"/>
        </w:rPr>
      </w:pPr>
      <w:r>
        <w:rPr>
          <w:rFonts w:hint="eastAsia"/>
          <w:lang w:val="en-US" w:eastAsia="zh-CN"/>
        </w:rPr>
        <w:t>计算题II：</w:t>
      </w:r>
    </w:p>
    <w:p>
      <w:pPr>
        <w:widowControl w:val="0"/>
        <w:numPr>
          <w:ilvl w:val="0"/>
          <w:numId w:val="6"/>
        </w:numPr>
        <w:ind w:left="425" w:leftChars="0" w:hanging="425" w:firstLineChars="0"/>
        <w:jc w:val="both"/>
        <w:rPr>
          <w:rFonts w:hint="eastAsia"/>
          <w:lang w:val="en-US" w:eastAsia="zh-CN"/>
        </w:rPr>
      </w:pPr>
      <w:r>
        <w:rPr>
          <w:rFonts w:hint="eastAsia"/>
          <w:lang w:val="en-US" w:eastAsia="zh-CN"/>
        </w:rPr>
        <w:tab/>
      </w:r>
      <w:r>
        <w:rPr>
          <w:rFonts w:hint="eastAsia"/>
          <w:lang w:val="en-US" w:eastAsia="zh-CN"/>
        </w:rPr>
        <w:t>写出工商银行AH股在上市后历史最低市净率，历史最低市盈率和对应日期</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A股：</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最低市净率：0.83  ，2016/05/09</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最低市盈率：4.39  ，2014/03/11</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H股：</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最低市净率：0.61  ，2016/05/18</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最低市盈率：4.05  ，2016/02/25</w:t>
      </w:r>
    </w:p>
    <w:p>
      <w:pPr>
        <w:widowControl w:val="0"/>
        <w:numPr>
          <w:ilvl w:val="0"/>
          <w:numId w:val="0"/>
        </w:numPr>
        <w:tabs>
          <w:tab w:val="left" w:pos="420"/>
        </w:tabs>
        <w:jc w:val="both"/>
        <w:rPr>
          <w:rFonts w:hint="eastAsia"/>
          <w:lang w:val="en-US" w:eastAsia="zh-CN"/>
        </w:rPr>
      </w:pPr>
    </w:p>
    <w:p>
      <w:pPr>
        <w:widowControl w:val="0"/>
        <w:numPr>
          <w:ilvl w:val="0"/>
          <w:numId w:val="6"/>
        </w:numPr>
        <w:ind w:left="425" w:leftChars="0" w:hanging="425" w:firstLineChars="0"/>
        <w:jc w:val="both"/>
        <w:rPr>
          <w:rFonts w:hint="eastAsia"/>
          <w:lang w:val="en-US" w:eastAsia="zh-CN"/>
        </w:rPr>
      </w:pPr>
      <w:r>
        <w:rPr>
          <w:rFonts w:hint="eastAsia"/>
          <w:lang w:val="en-US" w:eastAsia="zh-CN"/>
        </w:rPr>
        <w:t>计算花旗银行2001-2007年每年的股息率（按当年末的收盘价计）和今天的股息率</w:t>
      </w:r>
    </w:p>
    <w:tbl>
      <w:tblPr>
        <w:tblStyle w:val="4"/>
        <w:tblpPr w:leftFromText="180" w:rightFromText="180" w:vertAnchor="text" w:horzAnchor="page" w:tblpX="1971" w:tblpY="261"/>
        <w:tblOverlap w:val="never"/>
        <w:tblW w:w="7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94"/>
        <w:gridCol w:w="1594"/>
        <w:gridCol w:w="2081"/>
        <w:gridCol w:w="2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年度</w:t>
            </w:r>
          </w:p>
        </w:tc>
        <w:tc>
          <w:tcPr>
            <w:tcW w:w="159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0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年末收盘价</w:t>
            </w:r>
          </w:p>
        </w:tc>
        <w:tc>
          <w:tcPr>
            <w:tcW w:w="261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50.48</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35.19</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48.54</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2004</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48.18</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48.53</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55.7</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7"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29.44</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7"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2017</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0.96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74.41</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1.29%</w:t>
            </w:r>
          </w:p>
        </w:tc>
      </w:tr>
    </w:tbl>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6"/>
        </w:numPr>
        <w:ind w:left="425" w:leftChars="0" w:hanging="425" w:firstLineChars="0"/>
        <w:jc w:val="both"/>
        <w:rPr>
          <w:rFonts w:hint="eastAsia"/>
          <w:lang w:val="en-US" w:eastAsia="zh-CN"/>
        </w:rPr>
      </w:pPr>
      <w:r>
        <w:rPr>
          <w:rFonts w:hint="eastAsia"/>
          <w:lang w:val="en-US" w:eastAsia="zh-CN"/>
        </w:rPr>
        <w:t>计算工商银行A股和H股2008、2014和2015年股价最低点时的股息率和今天的股息率</w:t>
      </w:r>
    </w:p>
    <w:p>
      <w:pPr>
        <w:widowControl w:val="0"/>
        <w:numPr>
          <w:ilvl w:val="0"/>
          <w:numId w:val="0"/>
        </w:numPr>
        <w:tabs>
          <w:tab w:val="left" w:pos="420"/>
        </w:tabs>
        <w:jc w:val="both"/>
        <w:rPr>
          <w:rFonts w:hint="eastAsia"/>
          <w:lang w:val="en-US" w:eastAsia="zh-CN"/>
        </w:rPr>
      </w:pPr>
      <w:r>
        <w:rPr>
          <w:rFonts w:hint="eastAsia"/>
          <w:lang w:val="en-US" w:eastAsia="zh-CN"/>
        </w:rPr>
        <w:tab/>
      </w:r>
    </w:p>
    <w:tbl>
      <w:tblPr>
        <w:tblStyle w:val="4"/>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51"/>
        <w:gridCol w:w="1650"/>
        <w:gridCol w:w="2155"/>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A股年度</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最低点价格</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0.133</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3.13</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0.2617</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7"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0.2554</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3.81</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6.70%</w:t>
            </w:r>
          </w:p>
        </w:tc>
      </w:tr>
    </w:tbl>
    <w:p>
      <w:pPr>
        <w:widowControl w:val="0"/>
        <w:numPr>
          <w:ilvl w:val="0"/>
          <w:numId w:val="0"/>
        </w:numPr>
        <w:tabs>
          <w:tab w:val="left" w:pos="420"/>
        </w:tabs>
        <w:jc w:val="both"/>
        <w:rPr>
          <w:rFonts w:hint="eastAsia"/>
          <w:lang w:val="en-US" w:eastAsia="zh-CN"/>
        </w:rPr>
      </w:pPr>
    </w:p>
    <w:tbl>
      <w:tblPr>
        <w:tblStyle w:val="4"/>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51"/>
        <w:gridCol w:w="1650"/>
        <w:gridCol w:w="2155"/>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H股年度</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最低点价格</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0.133</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2.61</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0.2617</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4.33</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4" w:hRule="atLeast"/>
        </w:trPr>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0.2554</w:t>
            </w:r>
          </w:p>
        </w:tc>
        <w:tc>
          <w:tcPr>
            <w:tcW w:w="2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5.94%</w:t>
            </w:r>
          </w:p>
        </w:tc>
      </w:tr>
    </w:tbl>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7"/>
        </w:numPr>
        <w:ind w:leftChars="0"/>
        <w:jc w:val="both"/>
        <w:rPr>
          <w:rFonts w:hint="eastAsia"/>
          <w:lang w:val="en-US" w:eastAsia="zh-CN"/>
        </w:rPr>
      </w:pPr>
      <w:r>
        <w:rPr>
          <w:rFonts w:hint="eastAsia"/>
          <w:lang w:val="en-US" w:eastAsia="zh-CN"/>
        </w:rPr>
        <w:t>根据上述计算制定你的银行股投资策略：请用上述指标定量说明</w:t>
      </w:r>
    </w:p>
    <w:p>
      <w:pPr>
        <w:widowControl w:val="0"/>
        <w:numPr>
          <w:ilvl w:val="0"/>
          <w:numId w:val="0"/>
        </w:numPr>
        <w:ind w:firstLine="420" w:firstLineChars="0"/>
        <w:jc w:val="both"/>
        <w:rPr>
          <w:rFonts w:hint="eastAsia"/>
          <w:lang w:val="en-US" w:eastAsia="zh-CN"/>
        </w:rPr>
      </w:pPr>
      <w:r>
        <w:rPr>
          <w:rFonts w:hint="eastAsia"/>
          <w:lang w:val="en-US" w:eastAsia="zh-CN"/>
        </w:rPr>
        <w:t>总体策略：银行股在年度价格相对低位的时候观察市盈率，市净率，股息率选择相对低位的时候买入。盈利目标比年度固定存款利率高即可。</w:t>
      </w:r>
    </w:p>
    <w:p>
      <w:pPr>
        <w:widowControl w:val="0"/>
        <w:numPr>
          <w:ilvl w:val="0"/>
          <w:numId w:val="0"/>
        </w:numPr>
        <w:ind w:firstLine="420" w:firstLineChars="0"/>
        <w:jc w:val="both"/>
        <w:rPr>
          <w:rFonts w:hint="eastAsia"/>
          <w:lang w:val="en-US" w:eastAsia="zh-CN"/>
        </w:rPr>
      </w:pPr>
      <w:r>
        <w:rPr>
          <w:rFonts w:hint="eastAsia"/>
          <w:lang w:val="en-US" w:eastAsia="zh-CN"/>
        </w:rPr>
        <w:t>金融危机前的花旗银行股息率：1%~3%之间（2007年价格下跌一半造成核算股息率偏高排除），工商银行的AH股的股息率：4%~8%之间（不过是按照年度最低价格计算），按照年度相对平均价格，银行股的股息率应该取中位值2~3%左右，略高于固定利率，如果买的年度中较低价格可以赚取更高收益。</w:t>
      </w:r>
    </w:p>
    <w:p>
      <w:pPr>
        <w:widowControl w:val="0"/>
        <w:numPr>
          <w:ilvl w:val="0"/>
          <w:numId w:val="0"/>
        </w:numPr>
        <w:jc w:val="both"/>
        <w:rPr>
          <w:rFonts w:hint="eastAsia"/>
          <w:lang w:val="en-US" w:eastAsia="zh-CN"/>
        </w:rPr>
      </w:pPr>
    </w:p>
    <w:p>
      <w:pPr>
        <w:widowControl w:val="0"/>
        <w:numPr>
          <w:ilvl w:val="0"/>
          <w:numId w:val="7"/>
        </w:numPr>
        <w:ind w:leftChars="0"/>
        <w:jc w:val="both"/>
        <w:rPr>
          <w:rFonts w:hint="eastAsia"/>
          <w:lang w:val="en-US" w:eastAsia="zh-CN"/>
        </w:rPr>
      </w:pPr>
      <w:r>
        <w:rPr>
          <w:rFonts w:hint="eastAsia"/>
          <w:lang w:val="en-US" w:eastAsia="zh-CN"/>
        </w:rPr>
        <w:t>银行股投资最大的风险是什么？</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银行股有“大而不倒”的前提假设，央行作为最后贷款人。经营风险相对其他股票属于最低的类型。投资目标主要追求稳定，投资利润来源主要是股息率而不是价格，所以最大风险就是股息率下降这将直接影响投资收益。</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附加题【预备阅读】：</w:t>
      </w:r>
    </w:p>
    <w:p>
      <w:pPr>
        <w:widowControl w:val="0"/>
        <w:numPr>
          <w:ilvl w:val="0"/>
          <w:numId w:val="8"/>
        </w:numPr>
        <w:tabs>
          <w:tab w:val="left" w:pos="420"/>
          <w:tab w:val="clear" w:pos="312"/>
        </w:tabs>
        <w:jc w:val="both"/>
        <w:rPr>
          <w:rFonts w:hint="eastAsia"/>
          <w:lang w:val="en-US" w:eastAsia="zh-CN"/>
        </w:rPr>
      </w:pPr>
      <w:r>
        <w:rPr>
          <w:rFonts w:hint="eastAsia"/>
          <w:lang w:val="en-US" w:eastAsia="zh-CN"/>
        </w:rPr>
        <w:t>《银行价值投资者的未来看点》回复505</w:t>
      </w:r>
    </w:p>
    <w:p>
      <w:pPr>
        <w:widowControl w:val="0"/>
        <w:numPr>
          <w:ilvl w:val="0"/>
          <w:numId w:val="8"/>
        </w:numPr>
        <w:tabs>
          <w:tab w:val="left" w:pos="420"/>
          <w:tab w:val="clear" w:pos="312"/>
        </w:tabs>
        <w:jc w:val="both"/>
        <w:rPr>
          <w:rFonts w:hint="eastAsia"/>
          <w:lang w:val="en-US" w:eastAsia="zh-CN"/>
        </w:rPr>
      </w:pPr>
      <w:r>
        <w:rPr>
          <w:rFonts w:hint="eastAsia"/>
          <w:lang w:val="en-US" w:eastAsia="zh-CN"/>
        </w:rPr>
        <w:t>《中资银行的今天是巴菲特投资富国银行时？》回复501</w:t>
      </w:r>
    </w:p>
    <w:p>
      <w:pPr>
        <w:widowControl w:val="0"/>
        <w:numPr>
          <w:ilvl w:val="0"/>
          <w:numId w:val="8"/>
        </w:numPr>
        <w:tabs>
          <w:tab w:val="left" w:pos="420"/>
          <w:tab w:val="clear" w:pos="312"/>
        </w:tabs>
        <w:jc w:val="both"/>
        <w:rPr>
          <w:rFonts w:hint="eastAsia"/>
          <w:lang w:val="en-US" w:eastAsia="zh-CN"/>
        </w:rPr>
      </w:pPr>
      <w:r>
        <w:rPr>
          <w:rFonts w:hint="eastAsia"/>
          <w:lang w:val="en-US" w:eastAsia="zh-CN"/>
        </w:rPr>
        <w:t>券商研报两篇，见辅助文件下载</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【附加题】：</w:t>
      </w:r>
    </w:p>
    <w:p>
      <w:pPr>
        <w:widowControl w:val="0"/>
        <w:numPr>
          <w:ilvl w:val="0"/>
          <w:numId w:val="9"/>
        </w:numPr>
        <w:tabs>
          <w:tab w:val="left" w:pos="420"/>
          <w:tab w:val="clear" w:pos="312"/>
        </w:tabs>
        <w:jc w:val="both"/>
        <w:rPr>
          <w:rFonts w:hint="eastAsia"/>
          <w:lang w:val="en-US" w:eastAsia="zh-CN"/>
        </w:rPr>
      </w:pPr>
      <w:r>
        <w:rPr>
          <w:rFonts w:hint="eastAsia"/>
          <w:lang w:val="en-US" w:eastAsia="zh-CN"/>
        </w:rPr>
        <w:t>我国的银行基准率与美国的联邦基金利率有何不同？</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ind w:firstLine="210" w:firstLineChars="100"/>
        <w:jc w:val="both"/>
        <w:rPr>
          <w:rFonts w:hint="eastAsia"/>
          <w:lang w:val="en-US" w:eastAsia="zh-CN"/>
        </w:rPr>
      </w:pPr>
      <w:r>
        <w:rPr>
          <w:rFonts w:hint="eastAsia"/>
          <w:lang w:val="en-US" w:eastAsia="zh-CN"/>
        </w:rPr>
        <w:tab/>
        <w:t>中国的银行基准率是指“金融机构人民币存贷款基准利率”，这个利率是全国的金融机构都要遵守，换句话说是全国一致的，你在任何一家银行的同期存贷款利率都是一样的。</w:t>
      </w:r>
    </w:p>
    <w:p>
      <w:pPr>
        <w:widowControl w:val="0"/>
        <w:numPr>
          <w:ilvl w:val="0"/>
          <w:numId w:val="0"/>
        </w:numPr>
        <w:tabs>
          <w:tab w:val="left" w:pos="420"/>
        </w:tabs>
        <w:jc w:val="both"/>
        <w:rPr>
          <w:rFonts w:hint="eastAsia"/>
          <w:lang w:val="en-US" w:eastAsia="zh-CN"/>
        </w:rPr>
      </w:pPr>
      <w:r>
        <w:rPr>
          <w:rFonts w:hint="eastAsia"/>
          <w:lang w:val="en-US" w:eastAsia="zh-CN"/>
        </w:rPr>
        <w:tab/>
        <w:t>美联储定的利率是指联邦基金利率，是货币政策主要运用的手段之一。简单地说，美国联邦基金利率即商业银行间的隔夜拆借利率，它直接影响银行向个人或企业的放贷利率，从而影响消费与投资以及整体经济形势。美国对住房价格的调控主要是依靠美国联邦储备委员会调节联邦基金利率来实现的。每个银行的存款利率和贷款利率可以自定，但由于联邦基金利率对其筹集资金的成本有直接的影响，所以呢，存贷款利率是受到联邦基金利率的很大制约。</w:t>
      </w:r>
    </w:p>
    <w:p>
      <w:pPr>
        <w:widowControl w:val="0"/>
        <w:numPr>
          <w:ilvl w:val="0"/>
          <w:numId w:val="0"/>
        </w:numPr>
        <w:tabs>
          <w:tab w:val="left" w:pos="420"/>
        </w:tabs>
        <w:jc w:val="both"/>
        <w:rPr>
          <w:rFonts w:hint="eastAsia"/>
          <w:lang w:val="en-US" w:eastAsia="zh-CN"/>
        </w:rPr>
      </w:pPr>
      <w:r>
        <w:rPr>
          <w:rFonts w:hint="eastAsia"/>
          <w:lang w:val="en-US" w:eastAsia="zh-CN"/>
        </w:rPr>
        <w:t>至于两者的作用，供求和利率向来是相互影响。</w:t>
      </w: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我国和美国目前分别处于加息还是降息周期，为什么？</w:t>
      </w:r>
    </w:p>
    <w:p>
      <w:pPr>
        <w:widowControl w:val="0"/>
        <w:numPr>
          <w:ilvl w:val="0"/>
          <w:numId w:val="0"/>
        </w:numPr>
        <w:tabs>
          <w:tab w:val="left" w:pos="420"/>
        </w:tabs>
        <w:jc w:val="both"/>
        <w:rPr>
          <w:rFonts w:hint="eastAsia"/>
          <w:b w:val="0"/>
          <w:bCs w:val="0"/>
          <w:i w:val="0"/>
          <w:iCs w:val="0"/>
          <w:u w:val="single"/>
          <w:lang w:val="en-US" w:eastAsia="zh-CN"/>
        </w:rPr>
      </w:pPr>
      <w:r>
        <w:rPr>
          <w:rFonts w:hint="eastAsia"/>
          <w:b w:val="0"/>
          <w:bCs w:val="0"/>
          <w:i w:val="0"/>
          <w:iCs w:val="0"/>
          <w:lang w:val="en-US" w:eastAsia="zh-CN"/>
        </w:rPr>
        <w:tab/>
      </w:r>
      <w:r>
        <w:rPr>
          <w:rFonts w:hint="eastAsia"/>
          <w:b w:val="0"/>
          <w:bCs w:val="0"/>
          <w:i w:val="0"/>
          <w:iCs w:val="0"/>
          <w:u w:val="single"/>
          <w:lang w:val="en-US" w:eastAsia="zh-CN"/>
        </w:rPr>
        <w:t>美国处于加息周期，原因：缩表。</w:t>
      </w:r>
    </w:p>
    <w:p>
      <w:pPr>
        <w:widowControl w:val="0"/>
        <w:numPr>
          <w:ilvl w:val="0"/>
          <w:numId w:val="0"/>
        </w:numPr>
        <w:tabs>
          <w:tab w:val="left" w:pos="420"/>
        </w:tabs>
        <w:jc w:val="both"/>
        <w:rPr>
          <w:rFonts w:hint="eastAsia"/>
          <w:b w:val="0"/>
          <w:bCs w:val="0"/>
          <w:i w:val="0"/>
          <w:iCs w:val="0"/>
          <w:lang w:val="en-US" w:eastAsia="zh-CN"/>
        </w:rPr>
      </w:pPr>
    </w:p>
    <w:p>
      <w:pPr>
        <w:widowControl w:val="0"/>
        <w:numPr>
          <w:ilvl w:val="0"/>
          <w:numId w:val="0"/>
        </w:numPr>
        <w:tabs>
          <w:tab w:val="left" w:pos="420"/>
        </w:tabs>
        <w:jc w:val="both"/>
        <w:rPr>
          <w:rFonts w:hint="eastAsia"/>
          <w:b w:val="0"/>
          <w:bCs w:val="0"/>
          <w:i w:val="0"/>
          <w:iCs w:val="0"/>
          <w:lang w:val="en-US" w:eastAsia="zh-CN"/>
        </w:rPr>
      </w:pPr>
      <w:r>
        <w:rPr>
          <w:rFonts w:hint="eastAsia"/>
          <w:b w:val="0"/>
          <w:bCs w:val="0"/>
          <w:i w:val="0"/>
          <w:iCs w:val="0"/>
          <w:lang w:val="en-US" w:eastAsia="zh-CN"/>
        </w:rPr>
        <w:t>缩表：缩表可以说是另外一种形式的，具体而微小的加息。与通过加息来提高资金成本、抑制贷款活动相比，“缩表”等于直接从市场抽离基础货币，对流动性的影响较大。</w:t>
      </w:r>
    </w:p>
    <w:p>
      <w:pPr>
        <w:widowControl w:val="0"/>
        <w:numPr>
          <w:ilvl w:val="0"/>
          <w:numId w:val="0"/>
        </w:numPr>
        <w:tabs>
          <w:tab w:val="left" w:pos="420"/>
        </w:tabs>
        <w:jc w:val="both"/>
        <w:rPr>
          <w:rFonts w:hint="eastAsia"/>
          <w:b w:val="0"/>
          <w:bCs w:val="0"/>
          <w:i w:val="0"/>
          <w:iCs w:val="0"/>
          <w:lang w:val="en-US" w:eastAsia="zh-CN"/>
        </w:rPr>
      </w:pPr>
    </w:p>
    <w:p>
      <w:pPr>
        <w:widowControl w:val="0"/>
        <w:numPr>
          <w:ilvl w:val="0"/>
          <w:numId w:val="0"/>
        </w:numPr>
        <w:tabs>
          <w:tab w:val="left" w:pos="420"/>
        </w:tabs>
        <w:jc w:val="both"/>
        <w:rPr>
          <w:rFonts w:hint="eastAsia"/>
          <w:b w:val="0"/>
          <w:bCs w:val="0"/>
          <w:i w:val="0"/>
          <w:iCs w:val="0"/>
          <w:lang w:val="en-US" w:eastAsia="zh-CN"/>
        </w:rPr>
      </w:pPr>
      <w:r>
        <w:rPr>
          <w:rFonts w:hint="eastAsia"/>
          <w:b w:val="0"/>
          <w:bCs w:val="0"/>
          <w:i w:val="0"/>
          <w:iCs w:val="0"/>
          <w:lang w:val="en-US" w:eastAsia="zh-CN"/>
        </w:rPr>
        <w:t>新闻：2017年9月21日凌晨，美联储作出重大决定：从10月13日开始，将开启缩表（缩减资产负债表规模）。缩表意味着美联储将从市场抽出流动性，其中2017年计划抽走300亿美元，而2018年全年为4200亿美元！</w:t>
      </w:r>
    </w:p>
    <w:p>
      <w:pPr>
        <w:widowControl w:val="0"/>
        <w:numPr>
          <w:ilvl w:val="0"/>
          <w:numId w:val="0"/>
        </w:numPr>
        <w:tabs>
          <w:tab w:val="left" w:pos="420"/>
        </w:tabs>
        <w:jc w:val="both"/>
        <w:rPr>
          <w:rFonts w:hint="eastAsia"/>
          <w:b w:val="0"/>
          <w:bCs w:val="0"/>
          <w:i w:val="0"/>
          <w:iCs w:val="0"/>
          <w:lang w:val="en-US" w:eastAsia="zh-CN"/>
        </w:rPr>
      </w:pPr>
    </w:p>
    <w:p>
      <w:pPr>
        <w:widowControl w:val="0"/>
        <w:numPr>
          <w:ilvl w:val="0"/>
          <w:numId w:val="0"/>
        </w:numPr>
        <w:tabs>
          <w:tab w:val="left" w:pos="420"/>
        </w:tabs>
        <w:jc w:val="both"/>
        <w:rPr>
          <w:rFonts w:hint="eastAsia"/>
          <w:b w:val="0"/>
          <w:bCs w:val="0"/>
          <w:i w:val="0"/>
          <w:iCs w:val="0"/>
          <w:lang w:val="en-US" w:eastAsia="zh-CN"/>
        </w:rPr>
      </w:pPr>
      <w:r>
        <w:rPr>
          <w:rFonts w:hint="eastAsia"/>
          <w:b w:val="0"/>
          <w:bCs w:val="0"/>
          <w:i w:val="0"/>
          <w:iCs w:val="0"/>
          <w:lang w:val="en-US" w:eastAsia="zh-CN"/>
        </w:rPr>
        <w:t>新闻：2018-04-14，在2018年内加息三次的预期下，美联储在三月已经用掉了一次的份额，但如今，Rosengren又将预期加息次数“喜+1”。他认为，劳动力市场未来可能会进一步紧缩，通胀会稍有爬升，美联储或需要进一步收紧政策。波士顿联储主席Eric Rosengren(2019年有投票权)在对波士顿商会的演讲中表示，美联储或需要进一步收紧政策。面对美国经济的强劲增长，美联储可能需要至少再加息三次。</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r>
        <w:rPr>
          <w:rFonts w:hint="eastAsia"/>
          <w:lang w:val="en-US" w:eastAsia="zh-CN"/>
        </w:rPr>
        <w:tab/>
        <w:t>中国处于加息周期，原因：去杠杆</w:t>
      </w:r>
    </w:p>
    <w:p>
      <w:pPr>
        <w:widowControl w:val="0"/>
        <w:numPr>
          <w:ilvl w:val="0"/>
          <w:numId w:val="0"/>
        </w:numPr>
        <w:tabs>
          <w:tab w:val="left" w:pos="420"/>
        </w:tabs>
        <w:jc w:val="both"/>
        <w:rPr>
          <w:rFonts w:hint="eastAsia"/>
          <w:lang w:val="en-US" w:eastAsia="zh-CN"/>
        </w:rPr>
      </w:pPr>
      <w:r>
        <w:rPr>
          <w:rFonts w:hint="eastAsia"/>
          <w:lang w:val="en-US" w:eastAsia="zh-CN"/>
        </w:rPr>
        <w:tab/>
        <w:t>需要应对美国加息褥羊毛，降低金融风险。还有就是降低房地产过热的程度，定向提高房地产贷款利率，让热钱回到银行。</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10"/>
        </w:numPr>
        <w:tabs>
          <w:tab w:val="left" w:pos="420"/>
          <w:tab w:val="clear" w:pos="312"/>
        </w:tabs>
        <w:jc w:val="both"/>
        <w:rPr>
          <w:rFonts w:hint="eastAsia"/>
          <w:lang w:val="en-US" w:eastAsia="zh-CN"/>
        </w:rPr>
      </w:pPr>
      <w:r>
        <w:rPr>
          <w:rFonts w:hint="eastAsia"/>
          <w:lang w:val="en-US" w:eastAsia="zh-CN"/>
        </w:rPr>
        <w:t>找出工商银行、招商银行和民生银行2015-2017三年的净息差？他们三者之间趋势有何不同？</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BEBEBE" w:themeFill="background1" w:themeFillShade="BF"/>
          </w:tcPr>
          <w:p>
            <w:pPr>
              <w:widowControl w:val="0"/>
              <w:numPr>
                <w:ilvl w:val="0"/>
                <w:numId w:val="0"/>
              </w:numPr>
              <w:tabs>
                <w:tab w:val="left" w:pos="420"/>
              </w:tabs>
              <w:jc w:val="both"/>
              <w:rPr>
                <w:rFonts w:hint="eastAsia"/>
                <w:b/>
                <w:bCs/>
                <w:vertAlign w:val="baseline"/>
                <w:lang w:val="en-US" w:eastAsia="zh-CN"/>
              </w:rPr>
            </w:pPr>
            <w:r>
              <w:rPr>
                <w:rFonts w:hint="eastAsia"/>
                <w:b/>
                <w:bCs/>
                <w:vertAlign w:val="baseline"/>
                <w:lang w:val="en-US" w:eastAsia="zh-CN"/>
              </w:rPr>
              <w:t>银行</w:t>
            </w:r>
          </w:p>
        </w:tc>
        <w:tc>
          <w:tcPr>
            <w:tcW w:w="2130" w:type="dxa"/>
            <w:shd w:val="clear" w:color="auto" w:fill="BEBEBE" w:themeFill="background1" w:themeFillShade="BF"/>
          </w:tcPr>
          <w:p>
            <w:pPr>
              <w:widowControl w:val="0"/>
              <w:numPr>
                <w:ilvl w:val="0"/>
                <w:numId w:val="0"/>
              </w:numPr>
              <w:tabs>
                <w:tab w:val="left" w:pos="420"/>
              </w:tabs>
              <w:jc w:val="both"/>
              <w:rPr>
                <w:rFonts w:hint="eastAsia"/>
                <w:b/>
                <w:bCs/>
                <w:vertAlign w:val="baseline"/>
                <w:lang w:val="en-US" w:eastAsia="zh-CN"/>
              </w:rPr>
            </w:pPr>
            <w:r>
              <w:rPr>
                <w:rFonts w:hint="eastAsia"/>
                <w:b/>
                <w:bCs/>
                <w:vertAlign w:val="baseline"/>
                <w:lang w:val="en-US" w:eastAsia="zh-CN"/>
              </w:rPr>
              <w:t>2015净息差</w:t>
            </w:r>
          </w:p>
        </w:tc>
        <w:tc>
          <w:tcPr>
            <w:tcW w:w="2131" w:type="dxa"/>
            <w:shd w:val="clear" w:color="auto" w:fill="BEBEBE" w:themeFill="background1" w:themeFillShade="BF"/>
          </w:tcPr>
          <w:p>
            <w:pPr>
              <w:widowControl w:val="0"/>
              <w:numPr>
                <w:ilvl w:val="0"/>
                <w:numId w:val="0"/>
              </w:numPr>
              <w:tabs>
                <w:tab w:val="left" w:pos="420"/>
              </w:tabs>
              <w:jc w:val="both"/>
              <w:rPr>
                <w:rFonts w:hint="eastAsia"/>
                <w:b/>
                <w:bCs/>
                <w:vertAlign w:val="baseline"/>
                <w:lang w:val="en-US" w:eastAsia="zh-CN"/>
              </w:rPr>
            </w:pPr>
            <w:r>
              <w:rPr>
                <w:rFonts w:hint="eastAsia"/>
                <w:b/>
                <w:bCs/>
                <w:vertAlign w:val="baseline"/>
                <w:lang w:val="en-US" w:eastAsia="zh-CN"/>
              </w:rPr>
              <w:t>2016净息差</w:t>
            </w:r>
          </w:p>
        </w:tc>
        <w:tc>
          <w:tcPr>
            <w:tcW w:w="2131" w:type="dxa"/>
            <w:shd w:val="clear" w:color="auto" w:fill="BEBEBE" w:themeFill="background1" w:themeFillShade="BF"/>
          </w:tcPr>
          <w:p>
            <w:pPr>
              <w:widowControl w:val="0"/>
              <w:numPr>
                <w:ilvl w:val="0"/>
                <w:numId w:val="0"/>
              </w:numPr>
              <w:tabs>
                <w:tab w:val="left" w:pos="420"/>
              </w:tabs>
              <w:jc w:val="both"/>
              <w:rPr>
                <w:rFonts w:hint="eastAsia"/>
                <w:b/>
                <w:bCs/>
                <w:vertAlign w:val="baseline"/>
                <w:lang w:val="en-US" w:eastAsia="zh-CN"/>
              </w:rPr>
            </w:pPr>
            <w:r>
              <w:rPr>
                <w:rFonts w:hint="eastAsia"/>
                <w:b/>
                <w:bCs/>
                <w:vertAlign w:val="baseline"/>
                <w:lang w:val="en-US" w:eastAsia="zh-CN"/>
              </w:rPr>
              <w:t>2017净息差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工商银行</w:t>
            </w:r>
          </w:p>
        </w:tc>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2.47%</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2.16%</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招商银行</w:t>
            </w:r>
          </w:p>
        </w:tc>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2.75%</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2.50%</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民生银行</w:t>
            </w:r>
          </w:p>
        </w:tc>
        <w:tc>
          <w:tcPr>
            <w:tcW w:w="2130"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2.26%</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1.86%</w:t>
            </w:r>
          </w:p>
        </w:tc>
        <w:tc>
          <w:tcPr>
            <w:tcW w:w="2131" w:type="dxa"/>
          </w:tcPr>
          <w:p>
            <w:pPr>
              <w:widowControl w:val="0"/>
              <w:numPr>
                <w:ilvl w:val="0"/>
                <w:numId w:val="0"/>
              </w:numPr>
              <w:tabs>
                <w:tab w:val="left" w:pos="420"/>
              </w:tabs>
              <w:jc w:val="both"/>
              <w:rPr>
                <w:rFonts w:hint="eastAsia"/>
                <w:vertAlign w:val="baseline"/>
                <w:lang w:val="en-US" w:eastAsia="zh-CN"/>
              </w:rPr>
            </w:pPr>
            <w:r>
              <w:rPr>
                <w:rFonts w:hint="eastAsia"/>
                <w:vertAlign w:val="baseline"/>
                <w:lang w:val="en-US" w:eastAsia="zh-CN"/>
              </w:rPr>
              <w:t>1.50%</w:t>
            </w:r>
          </w:p>
        </w:tc>
      </w:tr>
    </w:tbl>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三家银行从2015~2017净息差呈现下降趋势。民生银行下降幅度最大，招商银行居中，工商银行下降幅度最小，说明工商银行生息资产获取利息收入的能力最强。</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 xml:space="preserve">定义：是指商业银行净利息收入与平均生息资产的比例，用以衡量商业银行生息资产获取利息收入的能力。净息差是评价商业银行生息资产收益能力和风险定价能力的关键指标，是正向指标。 </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 xml:space="preserve">公式：净息差=生息资产净收益/生息资产平均余额*100%*折年系数 </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解析：净息差越高，反映商业银行运用生息资产的效率越高。</w:t>
      </w:r>
    </w:p>
    <w:p>
      <w:pPr>
        <w:widowControl w:val="0"/>
        <w:numPr>
          <w:ilvl w:val="0"/>
          <w:numId w:val="0"/>
        </w:numPr>
        <w:tabs>
          <w:tab w:val="left" w:pos="420"/>
        </w:tabs>
        <w:jc w:val="both"/>
        <w:rPr>
          <w:rFonts w:hint="eastAsia"/>
          <w:lang w:val="en-US" w:eastAsia="zh-CN"/>
        </w:rPr>
      </w:pPr>
      <w:r>
        <w:rPr>
          <w:rFonts w:hint="eastAsia"/>
          <w:lang w:val="en-US" w:eastAsia="zh-CN"/>
        </w:rPr>
        <w:t>净息差的高低取决于两方面因素：</w:t>
      </w:r>
    </w:p>
    <w:p>
      <w:pPr>
        <w:widowControl w:val="0"/>
        <w:numPr>
          <w:ilvl w:val="0"/>
          <w:numId w:val="0"/>
        </w:numPr>
        <w:tabs>
          <w:tab w:val="left" w:pos="420"/>
        </w:tabs>
        <w:jc w:val="both"/>
        <w:rPr>
          <w:rFonts w:hint="eastAsia"/>
          <w:lang w:val="en-US" w:eastAsia="zh-CN"/>
        </w:rPr>
      </w:pPr>
      <w:r>
        <w:rPr>
          <w:rFonts w:hint="eastAsia"/>
          <w:lang w:val="en-US" w:eastAsia="zh-CN"/>
        </w:rPr>
        <w:t>一是生息资产的收益能力高低，</w:t>
      </w:r>
    </w:p>
    <w:p>
      <w:pPr>
        <w:widowControl w:val="0"/>
        <w:numPr>
          <w:ilvl w:val="0"/>
          <w:numId w:val="0"/>
        </w:numPr>
        <w:tabs>
          <w:tab w:val="left" w:pos="420"/>
        </w:tabs>
        <w:jc w:val="both"/>
        <w:rPr>
          <w:rFonts w:hint="eastAsia"/>
          <w:lang w:val="en-US" w:eastAsia="zh-CN"/>
        </w:rPr>
      </w:pPr>
      <w:r>
        <w:rPr>
          <w:rFonts w:hint="eastAsia"/>
          <w:lang w:val="en-US" w:eastAsia="zh-CN"/>
        </w:rPr>
        <w:t>二是与生息资产对应的资金成本高低。</w:t>
      </w:r>
    </w:p>
    <w:p>
      <w:pPr>
        <w:widowControl w:val="0"/>
        <w:numPr>
          <w:ilvl w:val="0"/>
          <w:numId w:val="0"/>
        </w:numPr>
        <w:tabs>
          <w:tab w:val="left" w:pos="420"/>
        </w:tabs>
        <w:jc w:val="both"/>
        <w:rPr>
          <w:rFonts w:hint="eastAsia"/>
          <w:lang w:val="en-US" w:eastAsia="zh-CN"/>
        </w:rPr>
      </w:pPr>
      <w:r>
        <w:rPr>
          <w:rFonts w:hint="eastAsia"/>
          <w:lang w:val="en-US" w:eastAsia="zh-CN"/>
        </w:rPr>
        <w:t>净息差水平高，表明商业银行生息资产收益水平较高，或者付息负债融资成本较低。</w:t>
      </w: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你认为过去四年我国大环境下净息差为何下降？你认为未来的趋势会如何？是否会产生分化，为什么？</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净息差下降原因：严监管之下，当银行的规模增速被各种监管措施制约造成净息差下降。净息差成为影响银行净利润的重要因素。对比不同银行的净息差可以看到，2017年大型银行、农商行的净息差处于扩张态势，股份制银行、城商行的表现相对逊色。</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关于息差趋势，两个方面的影响不得不考虑：</w:t>
      </w:r>
    </w:p>
    <w:p>
      <w:pPr>
        <w:widowControl w:val="0"/>
        <w:numPr>
          <w:ilvl w:val="0"/>
          <w:numId w:val="0"/>
        </w:numPr>
        <w:tabs>
          <w:tab w:val="left" w:pos="420"/>
        </w:tabs>
        <w:jc w:val="both"/>
        <w:rPr>
          <w:rFonts w:hint="eastAsia"/>
          <w:lang w:val="en-US" w:eastAsia="zh-CN"/>
        </w:rPr>
      </w:pPr>
      <w:r>
        <w:rPr>
          <w:rFonts w:hint="eastAsia"/>
          <w:lang w:val="en-US" w:eastAsia="zh-CN"/>
        </w:rPr>
        <w:t>第一，当前经济虽然有所回暖，但还没有完全恢复增长。这种情况下加上银行业竞争加剧，2017年可能会面临和去年一样优质资产获取困难问题，这样提高资产收益水平的难度就比较大；</w:t>
      </w:r>
    </w:p>
    <w:p>
      <w:pPr>
        <w:widowControl w:val="0"/>
        <w:numPr>
          <w:ilvl w:val="0"/>
          <w:numId w:val="0"/>
        </w:numPr>
        <w:tabs>
          <w:tab w:val="left" w:pos="420"/>
        </w:tabs>
        <w:jc w:val="both"/>
        <w:rPr>
          <w:rFonts w:hint="eastAsia"/>
          <w:lang w:val="en-US" w:eastAsia="zh-CN"/>
        </w:rPr>
      </w:pPr>
      <w:r>
        <w:rPr>
          <w:rFonts w:hint="eastAsia"/>
          <w:lang w:val="en-US" w:eastAsia="zh-CN"/>
        </w:rPr>
        <w:t xml:space="preserve">第二，市场情况。当前金融去杠杆正在进行中，从目前成效来看可能还仅仅是一个开端，并没有去杠杆到位，息差可能等到金融去杠杆比较明确的情况下会有下行。市场利率如果居高难下，对银行业越来越多的负债、存款占比，资金成本的压力会比较大。 </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四大行和农商行会产生分化，主要与负债的结构及稳定性的相关度较大。农商行的个人客户占比较大，大部分客户群体对利率变动敏感度低，负债端成本相对较低。</w:t>
      </w:r>
    </w:p>
    <w:p>
      <w:pPr>
        <w:widowControl w:val="0"/>
        <w:numPr>
          <w:ilvl w:val="0"/>
          <w:numId w:val="0"/>
        </w:numPr>
        <w:tabs>
          <w:tab w:val="left" w:pos="420"/>
        </w:tabs>
        <w:jc w:val="both"/>
        <w:rPr>
          <w:rFonts w:hint="eastAsia"/>
          <w:lang w:val="en-US" w:eastAsia="zh-CN"/>
        </w:rPr>
      </w:pPr>
      <w:r>
        <w:rPr>
          <w:rFonts w:hint="eastAsia"/>
          <w:lang w:val="en-US" w:eastAsia="zh-CN"/>
        </w:rPr>
        <w:t>从资产端投放角度看，贷款收益上升的幅度和速度明显低于负债成本的上升。因此，以同业负债支持资产业务发展的股份制银行净息差下降就更为明显。</w:t>
      </w: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你认为对投资者来说，工商银行在业务上相比民生银行有哪些竞争优势和劣势？招商银行对比民生银行呢？</w:t>
      </w:r>
    </w:p>
    <w:p>
      <w:pPr>
        <w:widowControl w:val="0"/>
        <w:numPr>
          <w:ilvl w:val="0"/>
          <w:numId w:val="0"/>
        </w:numPr>
        <w:tabs>
          <w:tab w:val="left" w:pos="420"/>
        </w:tabs>
        <w:jc w:val="both"/>
        <w:rPr>
          <w:rFonts w:hint="eastAsia"/>
          <w:lang w:val="en-US" w:eastAsia="zh-CN"/>
        </w:rPr>
      </w:pPr>
      <w:r>
        <w:rPr>
          <w:rFonts w:hint="eastAsia"/>
          <w:lang w:val="en-US" w:eastAsia="zh-CN"/>
        </w:rPr>
        <w:t>工商银行对比民生银行：优势规模大、网点多 ，劣势创新业务、中小客户业务方面较差。</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招商银行对比民生银行：优势创新业务更多，劣势市盈率、市净率较高。</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结合三家银行当前的估值，谈谈你的选择和排序。</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招行银行 &gt; 民生银行 &gt; 工商银行</w:t>
      </w:r>
    </w:p>
    <w:tbl>
      <w:tblPr>
        <w:tblStyle w:val="5"/>
        <w:tblpPr w:leftFromText="180" w:rightFromText="180" w:vertAnchor="text" w:horzAnchor="page" w:tblpX="2132" w:tblpY="333"/>
        <w:tblOverlap w:val="never"/>
        <w:tblW w:w="7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5"/>
        <w:gridCol w:w="1834"/>
        <w:gridCol w:w="1836"/>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5" w:hRule="atLeast"/>
        </w:trPr>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ab/>
            </w:r>
            <w:bookmarkStart w:id="0" w:name="_GoBack"/>
            <w:bookmarkEnd w:id="0"/>
            <w:r>
              <w:rPr>
                <w:rFonts w:hint="eastAsia"/>
                <w:vertAlign w:val="baseline"/>
                <w:lang w:val="en-US" w:eastAsia="zh-CN"/>
              </w:rPr>
              <w:t>银行</w:t>
            </w:r>
          </w:p>
        </w:tc>
        <w:tc>
          <w:tcPr>
            <w:tcW w:w="1834"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市净率</w:t>
            </w:r>
          </w:p>
        </w:tc>
        <w:tc>
          <w:tcPr>
            <w:tcW w:w="1836"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净利润增长率</w:t>
            </w:r>
          </w:p>
        </w:tc>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市盈率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5" w:hRule="atLeast"/>
        </w:trPr>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招商银行</w:t>
            </w:r>
          </w:p>
        </w:tc>
        <w:tc>
          <w:tcPr>
            <w:tcW w:w="1834"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1.59</w:t>
            </w:r>
          </w:p>
        </w:tc>
        <w:tc>
          <w:tcPr>
            <w:tcW w:w="1836"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13%</w:t>
            </w:r>
          </w:p>
        </w:tc>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5" w:hRule="atLeast"/>
        </w:trPr>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工商银行</w:t>
            </w:r>
          </w:p>
        </w:tc>
        <w:tc>
          <w:tcPr>
            <w:tcW w:w="1834"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1.02</w:t>
            </w:r>
          </w:p>
        </w:tc>
        <w:tc>
          <w:tcPr>
            <w:tcW w:w="1836"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2.80%</w:t>
            </w:r>
          </w:p>
        </w:tc>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民生银行</w:t>
            </w:r>
          </w:p>
        </w:tc>
        <w:tc>
          <w:tcPr>
            <w:tcW w:w="1834"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0.776</w:t>
            </w:r>
          </w:p>
        </w:tc>
        <w:tc>
          <w:tcPr>
            <w:tcW w:w="1836"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4.12%</w:t>
            </w:r>
          </w:p>
        </w:tc>
        <w:tc>
          <w:tcPr>
            <w:tcW w:w="1835" w:type="dxa"/>
          </w:tcPr>
          <w:p>
            <w:pPr>
              <w:widowControl w:val="0"/>
              <w:numPr>
                <w:ilvl w:val="0"/>
                <w:numId w:val="0"/>
              </w:numPr>
              <w:tabs>
                <w:tab w:val="left" w:pos="420"/>
              </w:tabs>
              <w:jc w:val="both"/>
              <w:rPr>
                <w:rFonts w:hint="eastAsia"/>
                <w:vertAlign w:val="baseline"/>
                <w:lang w:val="en-US" w:eastAsia="zh-CN"/>
              </w:rPr>
            </w:pPr>
            <w:r>
              <w:rPr>
                <w:rFonts w:hint="eastAsia"/>
                <w:lang w:val="en-US" w:eastAsia="zh-CN"/>
              </w:rPr>
              <w:t>5.75</w:t>
            </w:r>
          </w:p>
        </w:tc>
      </w:tr>
    </w:tbl>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ab/>
        <w:t>招商净利润增长率 &gt; 市盈率更加接近；</w:t>
      </w:r>
    </w:p>
    <w:p>
      <w:pPr>
        <w:widowControl w:val="0"/>
        <w:numPr>
          <w:ilvl w:val="0"/>
          <w:numId w:val="0"/>
        </w:numPr>
        <w:tabs>
          <w:tab w:val="left" w:pos="420"/>
        </w:tabs>
        <w:jc w:val="both"/>
        <w:rPr>
          <w:rFonts w:hint="eastAsia"/>
          <w:lang w:val="en-US" w:eastAsia="zh-CN"/>
        </w:rPr>
      </w:pPr>
      <w:r>
        <w:rPr>
          <w:rFonts w:hint="eastAsia"/>
          <w:lang w:val="en-US" w:eastAsia="zh-CN"/>
        </w:rPr>
        <w:tab/>
        <w:t>民生银行净利润增长率 约等于 市盈率更加接近,而且已经破净。</w:t>
      </w:r>
    </w:p>
    <w:p>
      <w:pPr>
        <w:widowControl w:val="0"/>
        <w:numPr>
          <w:ilvl w:val="0"/>
          <w:numId w:val="0"/>
        </w:numPr>
        <w:tabs>
          <w:tab w:val="left" w:pos="420"/>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12A"/>
    <w:multiLevelType w:val="singleLevel"/>
    <w:tmpl w:val="5AD0812A"/>
    <w:lvl w:ilvl="0" w:tentative="0">
      <w:start w:val="1"/>
      <w:numFmt w:val="decimal"/>
      <w:lvlText w:val="%1."/>
      <w:lvlJc w:val="left"/>
      <w:pPr>
        <w:tabs>
          <w:tab w:val="left" w:pos="312"/>
        </w:tabs>
      </w:pPr>
    </w:lvl>
  </w:abstractNum>
  <w:abstractNum w:abstractNumId="1">
    <w:nsid w:val="5AD081F8"/>
    <w:multiLevelType w:val="singleLevel"/>
    <w:tmpl w:val="5AD081F8"/>
    <w:lvl w:ilvl="0" w:tentative="0">
      <w:start w:val="1"/>
      <w:numFmt w:val="decimal"/>
      <w:lvlText w:val="%1."/>
      <w:lvlJc w:val="left"/>
      <w:pPr>
        <w:tabs>
          <w:tab w:val="left" w:pos="312"/>
        </w:tabs>
      </w:pPr>
    </w:lvl>
  </w:abstractNum>
  <w:abstractNum w:abstractNumId="2">
    <w:nsid w:val="5AD08E28"/>
    <w:multiLevelType w:val="singleLevel"/>
    <w:tmpl w:val="5AD08E28"/>
    <w:lvl w:ilvl="0" w:tentative="0">
      <w:start w:val="1"/>
      <w:numFmt w:val="decimal"/>
      <w:lvlText w:val="%1."/>
      <w:lvlJc w:val="left"/>
      <w:pPr>
        <w:tabs>
          <w:tab w:val="left" w:pos="312"/>
        </w:tabs>
      </w:pPr>
    </w:lvl>
  </w:abstractNum>
  <w:abstractNum w:abstractNumId="3">
    <w:nsid w:val="5AD08FC4"/>
    <w:multiLevelType w:val="singleLevel"/>
    <w:tmpl w:val="5AD08FC4"/>
    <w:lvl w:ilvl="0" w:tentative="0">
      <w:start w:val="1"/>
      <w:numFmt w:val="lowerLetter"/>
      <w:lvlText w:val="%1)"/>
      <w:lvlJc w:val="left"/>
      <w:pPr>
        <w:tabs>
          <w:tab w:val="left" w:pos="420"/>
        </w:tabs>
        <w:ind w:left="425" w:leftChars="0" w:hanging="425" w:firstLineChars="0"/>
      </w:pPr>
      <w:rPr>
        <w:rFonts w:hint="default"/>
      </w:rPr>
    </w:lvl>
  </w:abstractNum>
  <w:abstractNum w:abstractNumId="4">
    <w:nsid w:val="5AD090E8"/>
    <w:multiLevelType w:val="singleLevel"/>
    <w:tmpl w:val="5AD090E8"/>
    <w:lvl w:ilvl="0" w:tentative="0">
      <w:start w:val="5"/>
      <w:numFmt w:val="decimal"/>
      <w:lvlText w:val="%1."/>
      <w:lvlJc w:val="left"/>
      <w:pPr>
        <w:tabs>
          <w:tab w:val="left" w:pos="312"/>
        </w:tabs>
      </w:pPr>
    </w:lvl>
  </w:abstractNum>
  <w:abstractNum w:abstractNumId="5">
    <w:nsid w:val="5AD091D5"/>
    <w:multiLevelType w:val="singleLevel"/>
    <w:tmpl w:val="5AD091D5"/>
    <w:lvl w:ilvl="0" w:tentative="0">
      <w:start w:val="1"/>
      <w:numFmt w:val="lowerLetter"/>
      <w:lvlText w:val="%1)"/>
      <w:lvlJc w:val="left"/>
      <w:pPr>
        <w:tabs>
          <w:tab w:val="left" w:pos="420"/>
        </w:tabs>
        <w:ind w:left="425" w:leftChars="0" w:hanging="425" w:firstLineChars="0"/>
      </w:pPr>
      <w:rPr>
        <w:rFonts w:hint="default"/>
      </w:rPr>
    </w:lvl>
  </w:abstractNum>
  <w:abstractNum w:abstractNumId="6">
    <w:nsid w:val="5AD09247"/>
    <w:multiLevelType w:val="singleLevel"/>
    <w:tmpl w:val="5AD09247"/>
    <w:lvl w:ilvl="0" w:tentative="0">
      <w:start w:val="8"/>
      <w:numFmt w:val="decimal"/>
      <w:lvlText w:val="%1."/>
      <w:lvlJc w:val="left"/>
    </w:lvl>
  </w:abstractNum>
  <w:abstractNum w:abstractNumId="7">
    <w:nsid w:val="5AD09323"/>
    <w:multiLevelType w:val="singleLevel"/>
    <w:tmpl w:val="5AD09323"/>
    <w:lvl w:ilvl="0" w:tentative="0">
      <w:start w:val="1"/>
      <w:numFmt w:val="decimal"/>
      <w:lvlText w:val="%1."/>
      <w:lvlJc w:val="left"/>
      <w:pPr>
        <w:tabs>
          <w:tab w:val="left" w:pos="312"/>
        </w:tabs>
      </w:pPr>
    </w:lvl>
  </w:abstractNum>
  <w:abstractNum w:abstractNumId="8">
    <w:nsid w:val="5AD093D2"/>
    <w:multiLevelType w:val="singleLevel"/>
    <w:tmpl w:val="5AD093D2"/>
    <w:lvl w:ilvl="0" w:tentative="0">
      <w:start w:val="2"/>
      <w:numFmt w:val="decimal"/>
      <w:lvlText w:val="%1."/>
      <w:lvlJc w:val="left"/>
      <w:pPr>
        <w:tabs>
          <w:tab w:val="left" w:pos="312"/>
        </w:tabs>
      </w:pPr>
    </w:lvl>
  </w:abstractNum>
  <w:abstractNum w:abstractNumId="9">
    <w:nsid w:val="5AD094C1"/>
    <w:multiLevelType w:val="singleLevel"/>
    <w:tmpl w:val="5AD094C1"/>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03FA9"/>
    <w:rsid w:val="01DF1C21"/>
    <w:rsid w:val="037A67EF"/>
    <w:rsid w:val="040C09CA"/>
    <w:rsid w:val="04745238"/>
    <w:rsid w:val="05C85C77"/>
    <w:rsid w:val="06834F9B"/>
    <w:rsid w:val="06B64F1C"/>
    <w:rsid w:val="07354F97"/>
    <w:rsid w:val="08AF6653"/>
    <w:rsid w:val="09896BF0"/>
    <w:rsid w:val="098C699C"/>
    <w:rsid w:val="0A1D0B58"/>
    <w:rsid w:val="0A32445C"/>
    <w:rsid w:val="0A421687"/>
    <w:rsid w:val="0AF53B6A"/>
    <w:rsid w:val="0BE93AC2"/>
    <w:rsid w:val="0C237A4D"/>
    <w:rsid w:val="0CAE561F"/>
    <w:rsid w:val="0D1365E9"/>
    <w:rsid w:val="0E0404A3"/>
    <w:rsid w:val="0E2B63BC"/>
    <w:rsid w:val="0E6D70D2"/>
    <w:rsid w:val="0E811F3D"/>
    <w:rsid w:val="0EA32174"/>
    <w:rsid w:val="0FD27C9B"/>
    <w:rsid w:val="0FF177CA"/>
    <w:rsid w:val="10397C77"/>
    <w:rsid w:val="10856B2A"/>
    <w:rsid w:val="10BD3B40"/>
    <w:rsid w:val="111A1A8F"/>
    <w:rsid w:val="12597C27"/>
    <w:rsid w:val="129F17A5"/>
    <w:rsid w:val="139150F7"/>
    <w:rsid w:val="13BF3BD8"/>
    <w:rsid w:val="143D56F7"/>
    <w:rsid w:val="14961DCD"/>
    <w:rsid w:val="15565C7F"/>
    <w:rsid w:val="161310B6"/>
    <w:rsid w:val="1A5A08F6"/>
    <w:rsid w:val="1B445375"/>
    <w:rsid w:val="1C0A0D96"/>
    <w:rsid w:val="1C53057B"/>
    <w:rsid w:val="1C5C3742"/>
    <w:rsid w:val="1D5A543E"/>
    <w:rsid w:val="1D653795"/>
    <w:rsid w:val="1E753292"/>
    <w:rsid w:val="1FF70642"/>
    <w:rsid w:val="20DB183E"/>
    <w:rsid w:val="214947BC"/>
    <w:rsid w:val="21A30125"/>
    <w:rsid w:val="22962152"/>
    <w:rsid w:val="22AA7648"/>
    <w:rsid w:val="22F649C0"/>
    <w:rsid w:val="231A2E69"/>
    <w:rsid w:val="23921491"/>
    <w:rsid w:val="25411591"/>
    <w:rsid w:val="258F4639"/>
    <w:rsid w:val="262620DC"/>
    <w:rsid w:val="26521FE0"/>
    <w:rsid w:val="266A24A2"/>
    <w:rsid w:val="267D3EB0"/>
    <w:rsid w:val="26CD4B63"/>
    <w:rsid w:val="272D3830"/>
    <w:rsid w:val="27412595"/>
    <w:rsid w:val="28D56708"/>
    <w:rsid w:val="2980071E"/>
    <w:rsid w:val="29FD78CE"/>
    <w:rsid w:val="2A1A30A8"/>
    <w:rsid w:val="2AAA6638"/>
    <w:rsid w:val="2BB63BBA"/>
    <w:rsid w:val="2BD36CB6"/>
    <w:rsid w:val="2E310006"/>
    <w:rsid w:val="2E3E457F"/>
    <w:rsid w:val="2EC011B1"/>
    <w:rsid w:val="301416DA"/>
    <w:rsid w:val="308B7906"/>
    <w:rsid w:val="310A606E"/>
    <w:rsid w:val="316E05BA"/>
    <w:rsid w:val="32796300"/>
    <w:rsid w:val="33271FFF"/>
    <w:rsid w:val="345C0AF3"/>
    <w:rsid w:val="34AA5210"/>
    <w:rsid w:val="35111A67"/>
    <w:rsid w:val="35333331"/>
    <w:rsid w:val="353D0B72"/>
    <w:rsid w:val="35B44FE2"/>
    <w:rsid w:val="38DC4865"/>
    <w:rsid w:val="38EE7493"/>
    <w:rsid w:val="39E30C76"/>
    <w:rsid w:val="3A167729"/>
    <w:rsid w:val="3A6F3B9F"/>
    <w:rsid w:val="3C214F1F"/>
    <w:rsid w:val="3CC11ACD"/>
    <w:rsid w:val="3CC837F6"/>
    <w:rsid w:val="3CFA0701"/>
    <w:rsid w:val="3D917831"/>
    <w:rsid w:val="3DA61D1F"/>
    <w:rsid w:val="3DE476DD"/>
    <w:rsid w:val="3DEA4EBF"/>
    <w:rsid w:val="3EC45912"/>
    <w:rsid w:val="3F1E5D9E"/>
    <w:rsid w:val="3F334201"/>
    <w:rsid w:val="3F591517"/>
    <w:rsid w:val="40205D35"/>
    <w:rsid w:val="40454B36"/>
    <w:rsid w:val="410706FE"/>
    <w:rsid w:val="410D52A0"/>
    <w:rsid w:val="41F97D01"/>
    <w:rsid w:val="42134BAB"/>
    <w:rsid w:val="43475318"/>
    <w:rsid w:val="458E2AA2"/>
    <w:rsid w:val="46347BAE"/>
    <w:rsid w:val="46510F16"/>
    <w:rsid w:val="46D2462E"/>
    <w:rsid w:val="479C2A8D"/>
    <w:rsid w:val="47A51245"/>
    <w:rsid w:val="48614605"/>
    <w:rsid w:val="48B1140C"/>
    <w:rsid w:val="48E10B19"/>
    <w:rsid w:val="4A515C85"/>
    <w:rsid w:val="4C8A56C0"/>
    <w:rsid w:val="4D9A2C1C"/>
    <w:rsid w:val="4DBE4358"/>
    <w:rsid w:val="4E4A3B30"/>
    <w:rsid w:val="4EA82F42"/>
    <w:rsid w:val="4F435273"/>
    <w:rsid w:val="500A18D2"/>
    <w:rsid w:val="510D6E70"/>
    <w:rsid w:val="5138675B"/>
    <w:rsid w:val="513D529C"/>
    <w:rsid w:val="52B42229"/>
    <w:rsid w:val="53266E57"/>
    <w:rsid w:val="54FC669B"/>
    <w:rsid w:val="56255F74"/>
    <w:rsid w:val="562C70F8"/>
    <w:rsid w:val="5648439D"/>
    <w:rsid w:val="56621D24"/>
    <w:rsid w:val="568373EF"/>
    <w:rsid w:val="56DF1E29"/>
    <w:rsid w:val="57337F0C"/>
    <w:rsid w:val="57E36739"/>
    <w:rsid w:val="58A52235"/>
    <w:rsid w:val="58FB3AA9"/>
    <w:rsid w:val="591A7508"/>
    <w:rsid w:val="5B9B29F2"/>
    <w:rsid w:val="5C603680"/>
    <w:rsid w:val="5C864634"/>
    <w:rsid w:val="5D2637F9"/>
    <w:rsid w:val="5D2E2D12"/>
    <w:rsid w:val="5DC123AB"/>
    <w:rsid w:val="5F567CB3"/>
    <w:rsid w:val="5F9A6010"/>
    <w:rsid w:val="608925B4"/>
    <w:rsid w:val="611E70AF"/>
    <w:rsid w:val="61311627"/>
    <w:rsid w:val="62A71318"/>
    <w:rsid w:val="646B69E2"/>
    <w:rsid w:val="64A563DE"/>
    <w:rsid w:val="65A42D64"/>
    <w:rsid w:val="65D7393C"/>
    <w:rsid w:val="65F11CB2"/>
    <w:rsid w:val="66285FAD"/>
    <w:rsid w:val="67080126"/>
    <w:rsid w:val="67116B0B"/>
    <w:rsid w:val="67306C57"/>
    <w:rsid w:val="67895BE6"/>
    <w:rsid w:val="67D4437D"/>
    <w:rsid w:val="684C7C4A"/>
    <w:rsid w:val="68C57B81"/>
    <w:rsid w:val="699710BD"/>
    <w:rsid w:val="69E57981"/>
    <w:rsid w:val="6A001C4A"/>
    <w:rsid w:val="6ADA4FA1"/>
    <w:rsid w:val="6B381532"/>
    <w:rsid w:val="6C6B2BDB"/>
    <w:rsid w:val="6C6E7292"/>
    <w:rsid w:val="6C7F20E1"/>
    <w:rsid w:val="6C915AC5"/>
    <w:rsid w:val="6D477E91"/>
    <w:rsid w:val="6EE11D05"/>
    <w:rsid w:val="6FDE4760"/>
    <w:rsid w:val="70287F0C"/>
    <w:rsid w:val="702B4C98"/>
    <w:rsid w:val="70BC5899"/>
    <w:rsid w:val="73EE4196"/>
    <w:rsid w:val="74104341"/>
    <w:rsid w:val="74821922"/>
    <w:rsid w:val="74D353C0"/>
    <w:rsid w:val="75D71D0F"/>
    <w:rsid w:val="760A37A0"/>
    <w:rsid w:val="76C77BE5"/>
    <w:rsid w:val="777B3B4F"/>
    <w:rsid w:val="777E679C"/>
    <w:rsid w:val="778A52B3"/>
    <w:rsid w:val="7960706D"/>
    <w:rsid w:val="79F31102"/>
    <w:rsid w:val="7A3F3458"/>
    <w:rsid w:val="7A423150"/>
    <w:rsid w:val="7ACB696D"/>
    <w:rsid w:val="7B020CBE"/>
    <w:rsid w:val="7B167BF2"/>
    <w:rsid w:val="7BC654A4"/>
    <w:rsid w:val="7C1C4499"/>
    <w:rsid w:val="7C2E5D92"/>
    <w:rsid w:val="7CFD7F0C"/>
    <w:rsid w:val="7DD43887"/>
    <w:rsid w:val="7F300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林津-中金在线</cp:lastModifiedBy>
  <dcterms:modified xsi:type="dcterms:W3CDTF">2018-04-16T08:00:51Z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