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9E5CF" w14:textId="77777777" w:rsidR="00A0261E" w:rsidRPr="00E01B90" w:rsidRDefault="007A6A50">
      <w:pPr>
        <w:rPr>
          <w:b/>
        </w:rPr>
      </w:pPr>
      <w:r w:rsidRPr="00F30F33">
        <w:rPr>
          <w:b/>
        </w:rPr>
        <w:t>1</w:t>
      </w:r>
      <w:r w:rsidRPr="00F30F33">
        <w:rPr>
          <w:b/>
        </w:rPr>
        <w:t>、</w:t>
      </w:r>
      <w:r w:rsidRPr="00F30F33">
        <w:rPr>
          <w:rFonts w:hint="eastAsia"/>
          <w:b/>
        </w:rPr>
        <w:t>游戏行业从</w:t>
      </w:r>
      <w:r w:rsidRPr="00F30F33">
        <w:rPr>
          <w:rFonts w:hint="eastAsia"/>
          <w:b/>
        </w:rPr>
        <w:t>80</w:t>
      </w:r>
      <w:r w:rsidRPr="00F30F33">
        <w:rPr>
          <w:rFonts w:hint="eastAsia"/>
          <w:b/>
        </w:rPr>
        <w:t>年代至今经历了哪些终端</w:t>
      </w:r>
      <w:r w:rsidRPr="00F30F33">
        <w:rPr>
          <w:rFonts w:hint="eastAsia"/>
          <w:b/>
        </w:rPr>
        <w:t>/</w:t>
      </w:r>
      <w:r w:rsidRPr="00F30F33">
        <w:rPr>
          <w:rFonts w:hint="eastAsia"/>
          <w:b/>
        </w:rPr>
        <w:t>载体变化？</w:t>
      </w:r>
    </w:p>
    <w:p w14:paraId="4341EF98" w14:textId="77777777" w:rsidR="00732AD6" w:rsidRPr="00A641D6" w:rsidRDefault="00E01B90">
      <w:r>
        <w:rPr>
          <w:rFonts w:hint="eastAsia"/>
        </w:rPr>
        <w:t xml:space="preserve">    </w:t>
      </w:r>
      <w:r w:rsidR="00732AD6">
        <w:rPr>
          <w:rFonts w:hint="eastAsia"/>
        </w:rPr>
        <w:t>游戏载体</w:t>
      </w:r>
      <w:r>
        <w:rPr>
          <w:rFonts w:hint="eastAsia"/>
        </w:rPr>
        <w:t>经历了</w:t>
      </w:r>
      <w:r w:rsidR="00732AD6">
        <w:rPr>
          <w:rFonts w:hint="eastAsia"/>
        </w:rPr>
        <w:t>80</w:t>
      </w:r>
      <w:r w:rsidR="00732AD6">
        <w:rPr>
          <w:rFonts w:hint="eastAsia"/>
        </w:rPr>
        <w:t>年代的主机</w:t>
      </w:r>
      <w:r>
        <w:rPr>
          <w:rFonts w:hint="eastAsia"/>
        </w:rPr>
        <w:t>时代</w:t>
      </w:r>
      <w:r w:rsidR="00732AD6">
        <w:rPr>
          <w:rFonts w:hint="eastAsia"/>
        </w:rPr>
        <w:t>，</w:t>
      </w:r>
      <w:r>
        <w:rPr>
          <w:rFonts w:hint="eastAsia"/>
        </w:rPr>
        <w:t>90</w:t>
      </w:r>
      <w:r>
        <w:rPr>
          <w:rFonts w:hint="eastAsia"/>
        </w:rPr>
        <w:t>年代的</w:t>
      </w:r>
      <w:r w:rsidR="00732AD6">
        <w:rPr>
          <w:rFonts w:hint="eastAsia"/>
        </w:rPr>
        <w:t>街机</w:t>
      </w:r>
      <w:r>
        <w:rPr>
          <w:rFonts w:hint="eastAsia"/>
        </w:rPr>
        <w:t>时代后，</w:t>
      </w:r>
      <w:r>
        <w:rPr>
          <w:rFonts w:hint="eastAsia"/>
        </w:rPr>
        <w:t>90</w:t>
      </w:r>
      <w:r>
        <w:rPr>
          <w:rFonts w:hint="eastAsia"/>
        </w:rPr>
        <w:t>年代末伴随着个人电脑的快速普及又将游戏带入了</w:t>
      </w:r>
      <w:r>
        <w:rPr>
          <w:rFonts w:hint="eastAsia"/>
        </w:rPr>
        <w:t>PC</w:t>
      </w:r>
      <w:r>
        <w:rPr>
          <w:rFonts w:hint="eastAsia"/>
        </w:rPr>
        <w:t>时代，至今，由于无线网络技术、通讯网络技术等的发展，促进了智能手机的快速渗透，从而带动了移动终端游戏的蓬勃发展。</w:t>
      </w:r>
    </w:p>
    <w:p w14:paraId="5391794D" w14:textId="77777777" w:rsidR="00ED56F6" w:rsidRDefault="00ED56F6"/>
    <w:p w14:paraId="0EE76C12" w14:textId="77777777" w:rsidR="007A6A50" w:rsidRPr="00F30F33" w:rsidRDefault="007A6A50">
      <w:pPr>
        <w:rPr>
          <w:b/>
        </w:rPr>
      </w:pPr>
      <w:r w:rsidRPr="00F30F33">
        <w:rPr>
          <w:rFonts w:hint="eastAsia"/>
          <w:b/>
        </w:rPr>
        <w:t>2</w:t>
      </w:r>
      <w:r w:rsidRPr="00F30F33">
        <w:rPr>
          <w:rFonts w:hint="eastAsia"/>
          <w:b/>
        </w:rPr>
        <w:t>、你认为游戏行业越做越大的主要原因？</w:t>
      </w:r>
    </w:p>
    <w:p w14:paraId="5F29B3FF" w14:textId="77777777" w:rsidR="00ED56F6" w:rsidRDefault="0081471A">
      <w:r>
        <w:rPr>
          <w:rFonts w:hint="eastAsia"/>
        </w:rPr>
        <w:t xml:space="preserve">    </w:t>
      </w:r>
      <w:r w:rsidR="009B17E9">
        <w:rPr>
          <w:rFonts w:hint="eastAsia"/>
        </w:rPr>
        <w:t>游戏行业能够持续</w:t>
      </w:r>
      <w:r w:rsidR="00ED56F6">
        <w:rPr>
          <w:rFonts w:hint="eastAsia"/>
        </w:rPr>
        <w:t>发展主要由于，具体表现在；</w:t>
      </w:r>
    </w:p>
    <w:p w14:paraId="5DEB2616" w14:textId="77777777" w:rsidR="00971B6F" w:rsidRPr="00E81F09" w:rsidRDefault="00ED56F6" w:rsidP="00AD6B90">
      <w:r>
        <w:rPr>
          <w:rFonts w:hint="eastAsia"/>
        </w:rPr>
        <w:t xml:space="preserve"> </w:t>
      </w:r>
      <w:r w:rsidR="0081471A">
        <w:rPr>
          <w:rFonts w:hint="eastAsia"/>
        </w:rPr>
        <w:t xml:space="preserve">  </w:t>
      </w:r>
      <w:r w:rsidR="00971B6F">
        <w:rPr>
          <w:rFonts w:hint="eastAsia"/>
        </w:rPr>
        <w:t xml:space="preserve"> 1</w:t>
      </w:r>
      <w:r w:rsidR="00971B6F">
        <w:rPr>
          <w:rFonts w:hint="eastAsia"/>
        </w:rPr>
        <w:t>）政策扶持。</w:t>
      </w:r>
      <w:r w:rsidR="00D85C68">
        <w:rPr>
          <w:rFonts w:hint="eastAsia"/>
        </w:rPr>
        <w:t>游戏行业</w:t>
      </w:r>
      <w:r w:rsidR="004C077D">
        <w:rPr>
          <w:rFonts w:hint="eastAsia"/>
        </w:rPr>
        <w:t>的发展离不开政府政策的扶持，从</w:t>
      </w:r>
      <w:r w:rsidR="004C077D">
        <w:rPr>
          <w:rFonts w:hint="eastAsia"/>
        </w:rPr>
        <w:t>2000</w:t>
      </w:r>
      <w:r w:rsidR="004C077D">
        <w:rPr>
          <w:rFonts w:hint="eastAsia"/>
        </w:rPr>
        <w:t>年到</w:t>
      </w:r>
      <w:r w:rsidR="009F4591">
        <w:rPr>
          <w:rFonts w:hint="eastAsia"/>
        </w:rPr>
        <w:t>2016</w:t>
      </w:r>
      <w:r w:rsidR="004C077D">
        <w:rPr>
          <w:rFonts w:hint="eastAsia"/>
        </w:rPr>
        <w:t>年，政府出台了多个</w:t>
      </w:r>
      <w:r w:rsidR="005146D7">
        <w:rPr>
          <w:rFonts w:hint="eastAsia"/>
        </w:rPr>
        <w:t>政策</w:t>
      </w:r>
      <w:r w:rsidR="00762DA0">
        <w:rPr>
          <w:rFonts w:hint="eastAsia"/>
        </w:rPr>
        <w:t>，为游戏产业的健康发展提供了有利的政策环境</w:t>
      </w:r>
      <w:r w:rsidR="00E81F09">
        <w:rPr>
          <w:rFonts w:hint="eastAsia"/>
        </w:rPr>
        <w:t>，有利于游戏公司研发新游戏。</w:t>
      </w:r>
    </w:p>
    <w:p w14:paraId="2120FBC7" w14:textId="77777777" w:rsidR="00971B6F" w:rsidRDefault="003E64D6" w:rsidP="00AD6B90">
      <w:r>
        <w:rPr>
          <w:rFonts w:hint="eastAsia"/>
        </w:rPr>
        <w:t xml:space="preserve">    2</w:t>
      </w:r>
      <w:r w:rsidR="009F4591">
        <w:rPr>
          <w:rFonts w:hint="eastAsia"/>
        </w:rPr>
        <w:t>）技术</w:t>
      </w:r>
      <w:r>
        <w:rPr>
          <w:rFonts w:hint="eastAsia"/>
        </w:rPr>
        <w:t>革新。</w:t>
      </w:r>
      <w:r w:rsidR="00F24494">
        <w:rPr>
          <w:rFonts w:hint="eastAsia"/>
        </w:rPr>
        <w:t>游戏载体硬件技术、网络通信技术、支付方式等科技的发展，游戏的画面变得越来越真实、游戏细节也越做精细、游戏的运行也变得更加流畅等游戏的画面感、体验感得到成倍的增加</w:t>
      </w:r>
      <w:r w:rsidR="00186D36">
        <w:rPr>
          <w:rFonts w:hint="eastAsia"/>
        </w:rPr>
        <w:t>，由此吸引</w:t>
      </w:r>
      <w:r w:rsidR="00E81F09">
        <w:rPr>
          <w:rFonts w:hint="eastAsia"/>
        </w:rPr>
        <w:t>越来越多的玩家。</w:t>
      </w:r>
    </w:p>
    <w:p w14:paraId="0967B659" w14:textId="77777777" w:rsidR="00FB7A93" w:rsidRDefault="001B7503" w:rsidP="00AD6B90">
      <w:r>
        <w:rPr>
          <w:rFonts w:hint="eastAsia"/>
        </w:rPr>
        <w:t xml:space="preserve">    3</w:t>
      </w:r>
      <w:r>
        <w:rPr>
          <w:rFonts w:hint="eastAsia"/>
        </w:rPr>
        <w:t>）庞大的用户</w:t>
      </w:r>
      <w:r w:rsidR="00186D36">
        <w:rPr>
          <w:rFonts w:hint="eastAsia"/>
        </w:rPr>
        <w:t>规模</w:t>
      </w:r>
      <w:r>
        <w:rPr>
          <w:rFonts w:hint="eastAsia"/>
        </w:rPr>
        <w:t>。</w:t>
      </w:r>
      <w:r w:rsidR="00186D36">
        <w:rPr>
          <w:rFonts w:hint="eastAsia"/>
        </w:rPr>
        <w:t>根据</w:t>
      </w:r>
      <w:r w:rsidR="00186D36">
        <w:t>GPC&amp;CNG&amp;IDC</w:t>
      </w:r>
      <w:r w:rsidR="00186D36">
        <w:rPr>
          <w:rFonts w:hint="eastAsia"/>
        </w:rPr>
        <w:t>的数据，</w:t>
      </w:r>
      <w:r w:rsidR="00186D36">
        <w:rPr>
          <w:rFonts w:hint="eastAsia"/>
        </w:rPr>
        <w:t>2017</w:t>
      </w:r>
      <w:r w:rsidR="00186D36">
        <w:rPr>
          <w:rFonts w:hint="eastAsia"/>
        </w:rPr>
        <w:t>年中国游戏用户规模已达</w:t>
      </w:r>
      <w:r w:rsidR="00186D36">
        <w:rPr>
          <w:rFonts w:hint="eastAsia"/>
        </w:rPr>
        <w:t>5.83</w:t>
      </w:r>
      <w:r w:rsidR="00186D36">
        <w:rPr>
          <w:rFonts w:hint="eastAsia"/>
        </w:rPr>
        <w:t>亿人，中国游戏市场实际销售收入达到</w:t>
      </w:r>
      <w:r w:rsidR="00186D36">
        <w:rPr>
          <w:rFonts w:hint="eastAsia"/>
        </w:rPr>
        <w:t>2036.1</w:t>
      </w:r>
      <w:r w:rsidR="00186D36">
        <w:rPr>
          <w:rFonts w:hint="eastAsia"/>
        </w:rPr>
        <w:t>亿元，同比增长</w:t>
      </w:r>
      <w:r w:rsidR="00186D36">
        <w:rPr>
          <w:rFonts w:hint="eastAsia"/>
        </w:rPr>
        <w:t>17.7%</w:t>
      </w:r>
      <w:r w:rsidR="00186D36">
        <w:rPr>
          <w:rFonts w:hint="eastAsia"/>
        </w:rPr>
        <w:t>。庞大的用户数量对游戏产生了的</w:t>
      </w:r>
      <w:r w:rsidR="006F1AD9">
        <w:rPr>
          <w:rFonts w:hint="eastAsia"/>
        </w:rPr>
        <w:t>持续</w:t>
      </w:r>
      <w:r w:rsidR="00186D36">
        <w:rPr>
          <w:rFonts w:hint="eastAsia"/>
        </w:rPr>
        <w:t>需求</w:t>
      </w:r>
      <w:r w:rsidR="006F1AD9">
        <w:rPr>
          <w:rFonts w:hint="eastAsia"/>
        </w:rPr>
        <w:t>。</w:t>
      </w:r>
    </w:p>
    <w:p w14:paraId="6ACB1885" w14:textId="77777777" w:rsidR="00F30F33" w:rsidRDefault="009B17E9" w:rsidP="00AD6B90">
      <w:r>
        <w:rPr>
          <w:rFonts w:hint="eastAsia"/>
        </w:rPr>
        <w:t xml:space="preserve">    4</w:t>
      </w:r>
      <w:r w:rsidR="00CC0E16">
        <w:rPr>
          <w:rFonts w:hint="eastAsia"/>
        </w:rPr>
        <w:t>）丰富的游戏选择</w:t>
      </w:r>
      <w:r>
        <w:rPr>
          <w:rFonts w:hint="eastAsia"/>
        </w:rPr>
        <w:t>。随着</w:t>
      </w:r>
      <w:r w:rsidR="006F1AD9">
        <w:rPr>
          <w:rFonts w:hint="eastAsia"/>
        </w:rPr>
        <w:t>移动端游戏的兴起，游戏的内容变得更加丰富。市场上开始出现针对不同年龄层、不同主题、不同类型的游戏。</w:t>
      </w:r>
      <w:r w:rsidR="00F30F33">
        <w:rPr>
          <w:rFonts w:hint="eastAsia"/>
        </w:rPr>
        <w:t>游戏</w:t>
      </w:r>
      <w:r w:rsidR="00CC0E16">
        <w:rPr>
          <w:rFonts w:hint="eastAsia"/>
        </w:rPr>
        <w:t>的消费群体</w:t>
      </w:r>
      <w:r w:rsidR="00F30F33">
        <w:rPr>
          <w:rFonts w:hint="eastAsia"/>
        </w:rPr>
        <w:t>不再</w:t>
      </w:r>
      <w:r w:rsidR="00CC0E16">
        <w:rPr>
          <w:rFonts w:hint="eastAsia"/>
        </w:rPr>
        <w:t>局限于</w:t>
      </w:r>
      <w:r w:rsidR="00F30F33">
        <w:rPr>
          <w:rFonts w:hint="eastAsia"/>
        </w:rPr>
        <w:t>男性</w:t>
      </w:r>
      <w:r w:rsidR="00CC0E16">
        <w:rPr>
          <w:rFonts w:hint="eastAsia"/>
        </w:rPr>
        <w:t>，女性也开始玩游戏，玩游戏人群的年龄层也变得更加大。因此，丰富的游戏选择吸引了各年龄层的玩家，同时，玩家的增长又会反作用于游戏公司去开发更好的游戏。</w:t>
      </w:r>
    </w:p>
    <w:p w14:paraId="0C789C42" w14:textId="77777777" w:rsidR="00425407" w:rsidRPr="00425407" w:rsidRDefault="00425407" w:rsidP="00AD6B90"/>
    <w:p w14:paraId="0A0F3FDC" w14:textId="77777777" w:rsidR="007A6A50" w:rsidRPr="00F30F33" w:rsidRDefault="007A6A50">
      <w:pPr>
        <w:rPr>
          <w:b/>
        </w:rPr>
      </w:pPr>
      <w:r w:rsidRPr="00F30F33">
        <w:rPr>
          <w:rFonts w:hint="eastAsia"/>
          <w:b/>
        </w:rPr>
        <w:t>3</w:t>
      </w:r>
      <w:r w:rsidRPr="00F30F33">
        <w:rPr>
          <w:rFonts w:hint="eastAsia"/>
          <w:b/>
        </w:rPr>
        <w:t>、你认为盛大衰落</w:t>
      </w:r>
      <w:r w:rsidR="00BA167C" w:rsidRPr="00F30F33">
        <w:rPr>
          <w:b/>
        </w:rPr>
        <w:t>VS</w:t>
      </w:r>
      <w:r w:rsidR="00BA167C" w:rsidRPr="00F30F33">
        <w:rPr>
          <w:rFonts w:hint="eastAsia"/>
          <w:b/>
        </w:rPr>
        <w:t>腾讯网易崛起主要是什么原因？</w:t>
      </w:r>
    </w:p>
    <w:p w14:paraId="06119106" w14:textId="77777777" w:rsidR="00D74C56" w:rsidRDefault="00206B8D">
      <w:r>
        <w:rPr>
          <w:rFonts w:hint="eastAsia"/>
        </w:rPr>
        <w:t xml:space="preserve">    </w:t>
      </w:r>
      <w:r w:rsidR="00A60A6C">
        <w:rPr>
          <w:rFonts w:hint="eastAsia"/>
        </w:rPr>
        <w:t>盛大游戏的衰落跟公司发展战略上的失误有直接关系。</w:t>
      </w:r>
      <w:r w:rsidR="00576D07">
        <w:rPr>
          <w:rFonts w:hint="eastAsia"/>
        </w:rPr>
        <w:t>2001</w:t>
      </w:r>
      <w:r w:rsidR="00576D07">
        <w:rPr>
          <w:rFonts w:hint="eastAsia"/>
        </w:rPr>
        <w:t>年，</w:t>
      </w:r>
      <w:r w:rsidR="00460806">
        <w:rPr>
          <w:rFonts w:hint="eastAsia"/>
        </w:rPr>
        <w:t>盛大游戏依靠独家代理韩国网游</w:t>
      </w:r>
      <w:r w:rsidR="00380108">
        <w:rPr>
          <w:rFonts w:hint="eastAsia"/>
        </w:rPr>
        <w:t>《传奇》</w:t>
      </w:r>
      <w:r w:rsidR="00D74C56">
        <w:rPr>
          <w:rFonts w:hint="eastAsia"/>
        </w:rPr>
        <w:t>获得了极大的成功，这款游戏一度被称为中国网友的开山之作。</w:t>
      </w:r>
      <w:r w:rsidR="00D74C56">
        <w:rPr>
          <w:rFonts w:hint="eastAsia"/>
        </w:rPr>
        <w:t>2003</w:t>
      </w:r>
      <w:r w:rsidR="00D74C56">
        <w:rPr>
          <w:rFonts w:hint="eastAsia"/>
        </w:rPr>
        <w:t>年，其自主研发的《传奇世界》更是延续了公司的辉煌。</w:t>
      </w:r>
      <w:r w:rsidR="00582B45">
        <w:rPr>
          <w:rFonts w:hint="eastAsia"/>
        </w:rPr>
        <w:t>2005</w:t>
      </w:r>
      <w:r w:rsidR="00582B45">
        <w:rPr>
          <w:rFonts w:hint="eastAsia"/>
        </w:rPr>
        <w:t>年，盛大游戏</w:t>
      </w:r>
      <w:r w:rsidR="00D74C56">
        <w:rPr>
          <w:rFonts w:hint="eastAsia"/>
        </w:rPr>
        <w:t>将</w:t>
      </w:r>
      <w:r w:rsidR="00D74C56" w:rsidRPr="00D74C56">
        <w:rPr>
          <w:rFonts w:hint="eastAsia"/>
        </w:rPr>
        <w:t>从</w:t>
      </w:r>
      <w:r w:rsidR="00D74C56">
        <w:rPr>
          <w:rFonts w:hint="eastAsia"/>
        </w:rPr>
        <w:t>根据按</w:t>
      </w:r>
      <w:r w:rsidR="00D74C56" w:rsidRPr="00D74C56">
        <w:rPr>
          <w:rFonts w:hint="eastAsia"/>
        </w:rPr>
        <w:t>时长收费</w:t>
      </w:r>
      <w:r w:rsidR="00582B45">
        <w:rPr>
          <w:rFonts w:hint="eastAsia"/>
        </w:rPr>
        <w:t>的商业模式</w:t>
      </w:r>
      <w:r w:rsidR="00D74C56" w:rsidRPr="00D74C56">
        <w:rPr>
          <w:rFonts w:hint="eastAsia"/>
        </w:rPr>
        <w:t>改为游戏免费</w:t>
      </w:r>
      <w:r w:rsidR="00D74C56">
        <w:rPr>
          <w:rFonts w:hint="eastAsia"/>
        </w:rPr>
        <w:t>、</w:t>
      </w:r>
      <w:r w:rsidR="00D74C56" w:rsidRPr="00D74C56">
        <w:rPr>
          <w:rFonts w:hint="eastAsia"/>
        </w:rPr>
        <w:t>增值服务收费</w:t>
      </w:r>
      <w:r w:rsidR="00582B45">
        <w:rPr>
          <w:rFonts w:hint="eastAsia"/>
        </w:rPr>
        <w:t>，该模式一度成为游戏行业的标准盈利模式。</w:t>
      </w:r>
    </w:p>
    <w:p w14:paraId="6AF54C33" w14:textId="77777777" w:rsidR="00582B45" w:rsidRDefault="00582B45">
      <w:r>
        <w:rPr>
          <w:rFonts w:hint="eastAsia"/>
        </w:rPr>
        <w:t xml:space="preserve">    </w:t>
      </w:r>
      <w:r>
        <w:rPr>
          <w:rFonts w:hint="eastAsia"/>
        </w:rPr>
        <w:t>反观盛大衰落的原因，主要可以概括为以下几点：</w:t>
      </w:r>
    </w:p>
    <w:p w14:paraId="5F792322" w14:textId="77777777" w:rsidR="00582B45" w:rsidRDefault="00582B45">
      <w:r>
        <w:rPr>
          <w:rFonts w:hint="eastAsia"/>
        </w:rPr>
        <w:lastRenderedPageBreak/>
        <w:t xml:space="preserve">    1</w:t>
      </w:r>
      <w:r>
        <w:rPr>
          <w:rFonts w:hint="eastAsia"/>
        </w:rPr>
        <w:t>）</w:t>
      </w:r>
      <w:r w:rsidR="00D7516A">
        <w:rPr>
          <w:rFonts w:hint="eastAsia"/>
        </w:rPr>
        <w:t>重发行，轻</w:t>
      </w:r>
      <w:r w:rsidR="00537591">
        <w:rPr>
          <w:rFonts w:hint="eastAsia"/>
        </w:rPr>
        <w:t>研发</w:t>
      </w:r>
      <w:r w:rsidR="00940814">
        <w:rPr>
          <w:rFonts w:hint="eastAsia"/>
        </w:rPr>
        <w:t>、轻运营</w:t>
      </w:r>
      <w:r w:rsidR="00537591">
        <w:rPr>
          <w:rFonts w:hint="eastAsia"/>
        </w:rPr>
        <w:t>。《传奇》模式的成功，让盛大游戏着急复制这一模式，盛大先后</w:t>
      </w:r>
      <w:r w:rsidR="00D7516A">
        <w:rPr>
          <w:rFonts w:hint="eastAsia"/>
        </w:rPr>
        <w:t>代理了</w:t>
      </w:r>
      <w:r w:rsidR="00D7516A" w:rsidRPr="00D7516A">
        <w:rPr>
          <w:rFonts w:hint="eastAsia"/>
        </w:rPr>
        <w:t>《巨星》、《星辰变》、《零世界》</w:t>
      </w:r>
      <w:r w:rsidR="00D7516A">
        <w:rPr>
          <w:rFonts w:hint="eastAsia"/>
        </w:rPr>
        <w:t>等游戏，但都收获平平</w:t>
      </w:r>
      <w:r w:rsidR="00537591">
        <w:rPr>
          <w:rFonts w:hint="eastAsia"/>
        </w:rPr>
        <w:t>。</w:t>
      </w:r>
      <w:r w:rsidR="00537591" w:rsidRPr="00537591">
        <w:rPr>
          <w:rFonts w:hint="eastAsia"/>
        </w:rPr>
        <w:t>《冒险岛》和《龙之谷》这两款游戏</w:t>
      </w:r>
      <w:r w:rsidR="00537591">
        <w:rPr>
          <w:rFonts w:hint="eastAsia"/>
        </w:rPr>
        <w:t>上线时得到了众多玩家的青睐，但是一味追求利益而忽略了游戏体验感导致了用户的大量流失。公司在《热血传奇》后再无</w:t>
      </w:r>
      <w:r w:rsidR="00A9554E">
        <w:rPr>
          <w:rFonts w:hint="eastAsia"/>
        </w:rPr>
        <w:t>爆款的</w:t>
      </w:r>
      <w:r w:rsidR="00537591">
        <w:rPr>
          <w:rFonts w:hint="eastAsia"/>
        </w:rPr>
        <w:t>自主研发的游戏，多重因素导致公司的发展完全受制于他人。</w:t>
      </w:r>
      <w:r w:rsidR="003A11DF">
        <w:rPr>
          <w:rFonts w:hint="eastAsia"/>
        </w:rPr>
        <w:t>反观腾讯，</w:t>
      </w:r>
      <w:r w:rsidR="003E0277">
        <w:rPr>
          <w:rFonts w:hint="eastAsia"/>
        </w:rPr>
        <w:t>了</w:t>
      </w:r>
      <w:r w:rsidR="003A11DF">
        <w:rPr>
          <w:rFonts w:hint="eastAsia"/>
        </w:rPr>
        <w:t>虽然</w:t>
      </w:r>
      <w:r w:rsidR="003A11DF" w:rsidRPr="00D74C56">
        <w:rPr>
          <w:rFonts w:hint="eastAsia"/>
        </w:rPr>
        <w:t>《</w:t>
      </w:r>
      <w:r w:rsidR="003A11DF" w:rsidRPr="00D74C56">
        <w:rPr>
          <w:rFonts w:hint="eastAsia"/>
        </w:rPr>
        <w:t>LOL</w:t>
      </w:r>
      <w:r w:rsidR="003A11DF" w:rsidRPr="00D74C56">
        <w:rPr>
          <w:rFonts w:hint="eastAsia"/>
        </w:rPr>
        <w:t>》、《</w:t>
      </w:r>
      <w:r w:rsidR="003A11DF" w:rsidRPr="00D74C56">
        <w:rPr>
          <w:rFonts w:hint="eastAsia"/>
        </w:rPr>
        <w:t>DNF</w:t>
      </w:r>
      <w:r w:rsidR="003A11DF" w:rsidRPr="00D74C56">
        <w:rPr>
          <w:rFonts w:hint="eastAsia"/>
        </w:rPr>
        <w:t>》、《</w:t>
      </w:r>
      <w:r w:rsidR="003A11DF" w:rsidRPr="00D74C56">
        <w:rPr>
          <w:rFonts w:hint="eastAsia"/>
        </w:rPr>
        <w:t>CF</w:t>
      </w:r>
      <w:r w:rsidR="003A11DF" w:rsidRPr="00D74C56">
        <w:rPr>
          <w:rFonts w:hint="eastAsia"/>
        </w:rPr>
        <w:t>》三款游戏</w:t>
      </w:r>
      <w:r w:rsidR="003A11DF">
        <w:rPr>
          <w:rFonts w:hint="eastAsia"/>
        </w:rPr>
        <w:t>也均是代理，但是通过其自主研发更新，提升了用户体验，</w:t>
      </w:r>
      <w:r w:rsidR="003A11DF" w:rsidRPr="00D74C56">
        <w:rPr>
          <w:rFonts w:hint="eastAsia"/>
        </w:rPr>
        <w:t>腾讯</w:t>
      </w:r>
      <w:r w:rsidR="003A11DF">
        <w:rPr>
          <w:rFonts w:hint="eastAsia"/>
        </w:rPr>
        <w:t>也于</w:t>
      </w:r>
      <w:r w:rsidR="003A11DF">
        <w:rPr>
          <w:rFonts w:hint="eastAsia"/>
        </w:rPr>
        <w:t>2009</w:t>
      </w:r>
      <w:r w:rsidR="003A11DF">
        <w:rPr>
          <w:rFonts w:hint="eastAsia"/>
        </w:rPr>
        <w:t>年在</w:t>
      </w:r>
      <w:r w:rsidR="003A11DF" w:rsidRPr="00D74C56">
        <w:rPr>
          <w:rFonts w:hint="eastAsia"/>
        </w:rPr>
        <w:t>营收</w:t>
      </w:r>
      <w:r w:rsidR="003A11DF">
        <w:rPr>
          <w:rFonts w:hint="eastAsia"/>
        </w:rPr>
        <w:t>上</w:t>
      </w:r>
      <w:r w:rsidR="003A11DF" w:rsidRPr="00D74C56">
        <w:rPr>
          <w:rFonts w:hint="eastAsia"/>
        </w:rPr>
        <w:t>成功超过盛大游戏</w:t>
      </w:r>
      <w:r w:rsidR="003A11DF">
        <w:rPr>
          <w:rFonts w:hint="eastAsia"/>
        </w:rPr>
        <w:t>，</w:t>
      </w:r>
      <w:r w:rsidR="003A11DF" w:rsidRPr="00D74C56">
        <w:rPr>
          <w:rFonts w:hint="eastAsia"/>
        </w:rPr>
        <w:t>成为网游行业的第一巨头</w:t>
      </w:r>
      <w:r w:rsidR="003A11DF">
        <w:rPr>
          <w:rFonts w:hint="eastAsia"/>
        </w:rPr>
        <w:t>。</w:t>
      </w:r>
      <w:r w:rsidR="00A054E1">
        <w:rPr>
          <w:rFonts w:hint="eastAsia"/>
        </w:rPr>
        <w:t>2010</w:t>
      </w:r>
      <w:r w:rsidR="00A054E1">
        <w:rPr>
          <w:rFonts w:hint="eastAsia"/>
        </w:rPr>
        <w:t>年，网易也凭借着《魔兽世界》、《大唐无双》等游戏赶超盛大游戏，成为行业第二。</w:t>
      </w:r>
    </w:p>
    <w:p w14:paraId="4545AAB0" w14:textId="77777777" w:rsidR="003A718D" w:rsidRDefault="00537591">
      <w:r>
        <w:rPr>
          <w:rFonts w:hint="eastAsia"/>
        </w:rPr>
        <w:t xml:space="preserve">    2</w:t>
      </w:r>
      <w:r>
        <w:rPr>
          <w:rFonts w:hint="eastAsia"/>
        </w:rPr>
        <w:t>）战略方向失误。盛大游戏</w:t>
      </w:r>
      <w:r w:rsidR="00A47A6B">
        <w:rPr>
          <w:rFonts w:hint="eastAsia"/>
        </w:rPr>
        <w:t>2009</w:t>
      </w:r>
      <w:r>
        <w:rPr>
          <w:rFonts w:hint="eastAsia"/>
        </w:rPr>
        <w:t>年便于美国上市，上市之后</w:t>
      </w:r>
      <w:r w:rsidR="008C19C4">
        <w:rPr>
          <w:rFonts w:hint="eastAsia"/>
        </w:rPr>
        <w:t>公司的发展不仅</w:t>
      </w:r>
      <w:r>
        <w:rPr>
          <w:rFonts w:hint="eastAsia"/>
        </w:rPr>
        <w:t>专注于游戏行业。公司通过收购，进军了视频、文学、游戏平台等领域，超时代的发展战略并没有得到预期的回报。</w:t>
      </w:r>
      <w:r w:rsidR="00190BAD">
        <w:rPr>
          <w:rFonts w:hint="eastAsia"/>
        </w:rPr>
        <w:t>随着</w:t>
      </w:r>
      <w:r w:rsidR="009A1672">
        <w:rPr>
          <w:rFonts w:hint="eastAsia"/>
        </w:rPr>
        <w:t>智能手机的普及、移动通讯网络的升级，腾讯、网易等巨头纷纷</w:t>
      </w:r>
      <w:r w:rsidR="00793377">
        <w:rPr>
          <w:rFonts w:hint="eastAsia"/>
        </w:rPr>
        <w:t>积极</w:t>
      </w:r>
      <w:r w:rsidR="009A1672">
        <w:rPr>
          <w:rFonts w:hint="eastAsia"/>
        </w:rPr>
        <w:t>布局手游行业</w:t>
      </w:r>
      <w:r w:rsidR="009755E5">
        <w:rPr>
          <w:rFonts w:hint="eastAsia"/>
        </w:rPr>
        <w:t>，</w:t>
      </w:r>
      <w:r w:rsidR="003A718D">
        <w:rPr>
          <w:rFonts w:hint="eastAsia"/>
        </w:rPr>
        <w:t>2013</w:t>
      </w:r>
      <w:r w:rsidR="003A718D">
        <w:rPr>
          <w:rFonts w:hint="eastAsia"/>
        </w:rPr>
        <w:t>年</w:t>
      </w:r>
    </w:p>
    <w:p w14:paraId="1CB20BE3" w14:textId="77777777" w:rsidR="00BD6D4C" w:rsidRPr="00D74C56" w:rsidRDefault="009755E5">
      <w:r>
        <w:rPr>
          <w:rFonts w:hint="eastAsia"/>
        </w:rPr>
        <w:t>但是盛大却慢了一拍。</w:t>
      </w:r>
    </w:p>
    <w:p w14:paraId="757ED728" w14:textId="77777777" w:rsidR="008C19C4" w:rsidRDefault="008C19C4">
      <w:pPr>
        <w:rPr>
          <w:b/>
        </w:rPr>
      </w:pPr>
    </w:p>
    <w:p w14:paraId="1E11159D" w14:textId="77777777" w:rsidR="00BA167C" w:rsidRPr="00F30F33" w:rsidRDefault="00BA167C">
      <w:pPr>
        <w:rPr>
          <w:b/>
        </w:rPr>
      </w:pPr>
      <w:r w:rsidRPr="00F30F33">
        <w:rPr>
          <w:rFonts w:hint="eastAsia"/>
          <w:b/>
        </w:rPr>
        <w:t>4</w:t>
      </w:r>
      <w:r w:rsidRPr="00F30F33">
        <w:rPr>
          <w:rFonts w:hint="eastAsia"/>
          <w:b/>
        </w:rPr>
        <w:t>、盛大为什么没有做成平台，而腾讯做成了？</w:t>
      </w:r>
    </w:p>
    <w:p w14:paraId="1076FA16" w14:textId="77777777" w:rsidR="00BA167C" w:rsidRDefault="004A3E77">
      <w:r>
        <w:rPr>
          <w:rFonts w:hint="eastAsia"/>
        </w:rPr>
        <w:t xml:space="preserve">    </w:t>
      </w:r>
      <w:r>
        <w:rPr>
          <w:rFonts w:hint="eastAsia"/>
        </w:rPr>
        <w:t>腾讯能够做成平台，一方面归因于其拥有</w:t>
      </w:r>
      <w:r w:rsidR="00E4743C" w:rsidRPr="00E4743C">
        <w:rPr>
          <w:rFonts w:hint="eastAsia"/>
        </w:rPr>
        <w:t>微信、</w:t>
      </w:r>
      <w:r w:rsidR="00E4743C" w:rsidRPr="00E4743C">
        <w:rPr>
          <w:rFonts w:hint="eastAsia"/>
        </w:rPr>
        <w:t>QQ</w:t>
      </w:r>
      <w:r w:rsidR="00E4743C" w:rsidRPr="00E4743C">
        <w:rPr>
          <w:rFonts w:hint="eastAsia"/>
        </w:rPr>
        <w:t>等</w:t>
      </w:r>
      <w:r w:rsidRPr="00E4743C">
        <w:rPr>
          <w:rFonts w:hint="eastAsia"/>
        </w:rPr>
        <w:t>移动流量的大入口</w:t>
      </w:r>
      <w:r>
        <w:rPr>
          <w:rFonts w:hint="eastAsia"/>
        </w:rPr>
        <w:t>；另一方面，</w:t>
      </w:r>
      <w:r w:rsidR="00E4743C" w:rsidRPr="00E4743C">
        <w:rPr>
          <w:rFonts w:hint="eastAsia"/>
        </w:rPr>
        <w:t>腾讯拥有着极其强大的</w:t>
      </w:r>
      <w:r>
        <w:rPr>
          <w:rFonts w:hint="eastAsia"/>
        </w:rPr>
        <w:t>游戏</w:t>
      </w:r>
      <w:r w:rsidR="00E4743C" w:rsidRPr="00E4743C">
        <w:rPr>
          <w:rFonts w:hint="eastAsia"/>
        </w:rPr>
        <w:t>运营发行能力。</w:t>
      </w:r>
    </w:p>
    <w:p w14:paraId="3F64CD7F" w14:textId="77777777" w:rsidR="00B73DCB" w:rsidRDefault="00B73DCB">
      <w:pPr>
        <w:rPr>
          <w:b/>
        </w:rPr>
      </w:pPr>
    </w:p>
    <w:p w14:paraId="192C611F" w14:textId="77777777" w:rsidR="00BA167C" w:rsidRDefault="008B1452">
      <w:pPr>
        <w:rPr>
          <w:b/>
        </w:rPr>
      </w:pPr>
      <w:r w:rsidRPr="002B4025">
        <w:rPr>
          <w:rFonts w:hint="eastAsia"/>
          <w:b/>
        </w:rPr>
        <w:t>5</w:t>
      </w:r>
      <w:r w:rsidRPr="002B4025">
        <w:rPr>
          <w:rFonts w:hint="eastAsia"/>
          <w:b/>
        </w:rPr>
        <w:t>、</w:t>
      </w:r>
      <w:r w:rsidRPr="00F30F33">
        <w:rPr>
          <w:rFonts w:hint="eastAsia"/>
          <w:b/>
        </w:rPr>
        <w:t>简述游戏行业的产业链，比较</w:t>
      </w:r>
      <w:r w:rsidRPr="00F30F33">
        <w:rPr>
          <w:rFonts w:hint="eastAsia"/>
          <w:b/>
        </w:rPr>
        <w:t>EA</w:t>
      </w:r>
      <w:r w:rsidRPr="00F30F33">
        <w:rPr>
          <w:rFonts w:hint="eastAsia"/>
          <w:b/>
        </w:rPr>
        <w:t>、暴雪、盛大、腾讯、网易、</w:t>
      </w:r>
      <w:r w:rsidRPr="00F30F33">
        <w:rPr>
          <w:rFonts w:hint="eastAsia"/>
          <w:b/>
        </w:rPr>
        <w:t>SONY</w:t>
      </w:r>
      <w:r w:rsidRPr="00F30F33">
        <w:rPr>
          <w:rFonts w:hint="eastAsia"/>
          <w:b/>
        </w:rPr>
        <w:t>、任天堂和微软在游戏行业的商业模式。</w:t>
      </w:r>
    </w:p>
    <w:p w14:paraId="2AFC5388" w14:textId="4EBE783E" w:rsidR="00B17BF0" w:rsidRPr="00824319" w:rsidRDefault="00206B8D">
      <w:r>
        <w:rPr>
          <w:b/>
        </w:rPr>
        <w:t xml:space="preserve">    </w:t>
      </w:r>
      <w:r w:rsidRPr="00206B8D">
        <w:rPr>
          <w:rFonts w:hint="eastAsia"/>
        </w:rPr>
        <w:t>游戏行业的产业链</w:t>
      </w:r>
      <w:r w:rsidR="00D61A15">
        <w:rPr>
          <w:rFonts w:hint="eastAsia"/>
        </w:rPr>
        <w:t>主要</w:t>
      </w:r>
      <w:r w:rsidR="00824319">
        <w:rPr>
          <w:rFonts w:hint="eastAsia"/>
        </w:rPr>
        <w:t>包括游戏</w:t>
      </w:r>
      <w:r w:rsidR="00AC3517">
        <w:rPr>
          <w:rFonts w:hint="eastAsia"/>
        </w:rPr>
        <w:t>开发商、运营商</w:t>
      </w:r>
      <w:r w:rsidR="00824319">
        <w:rPr>
          <w:rFonts w:hint="eastAsia"/>
        </w:rPr>
        <w:t>、渠道</w:t>
      </w:r>
      <w:r w:rsidR="00AC3517">
        <w:rPr>
          <w:rFonts w:hint="eastAsia"/>
        </w:rPr>
        <w:t>分发</w:t>
      </w:r>
      <w:r w:rsidR="00824319">
        <w:rPr>
          <w:rFonts w:hint="eastAsia"/>
        </w:rPr>
        <w:t>商</w:t>
      </w:r>
      <w:r w:rsidR="00D9495D">
        <w:rPr>
          <w:rFonts w:hint="eastAsia"/>
        </w:rPr>
        <w:t>、</w:t>
      </w:r>
      <w:r w:rsidR="00807E6A">
        <w:rPr>
          <w:rFonts w:hint="eastAsia"/>
        </w:rPr>
        <w:t>游戏玩家</w:t>
      </w:r>
      <w:r w:rsidR="00824319">
        <w:rPr>
          <w:rFonts w:hint="eastAsia"/>
        </w:rPr>
        <w:t>等。</w:t>
      </w:r>
    </w:p>
    <w:tbl>
      <w:tblPr>
        <w:tblStyle w:val="a3"/>
        <w:tblW w:w="0" w:type="auto"/>
        <w:tblLook w:val="04A0" w:firstRow="1" w:lastRow="0" w:firstColumn="1" w:lastColumn="0" w:noHBand="0" w:noVBand="1"/>
      </w:tblPr>
      <w:tblGrid>
        <w:gridCol w:w="1672"/>
        <w:gridCol w:w="7184"/>
      </w:tblGrid>
      <w:tr w:rsidR="00206B8D" w14:paraId="3EEEF485" w14:textId="77777777" w:rsidTr="00206B8D">
        <w:tc>
          <w:tcPr>
            <w:tcW w:w="1672" w:type="dxa"/>
          </w:tcPr>
          <w:p w14:paraId="3D9E031C" w14:textId="77777777" w:rsidR="00206B8D" w:rsidRDefault="00206B8D" w:rsidP="00206B8D">
            <w:pPr>
              <w:jc w:val="center"/>
            </w:pPr>
            <w:r>
              <w:rPr>
                <w:rFonts w:hint="eastAsia"/>
              </w:rPr>
              <w:t>公司名称</w:t>
            </w:r>
          </w:p>
        </w:tc>
        <w:tc>
          <w:tcPr>
            <w:tcW w:w="7184" w:type="dxa"/>
          </w:tcPr>
          <w:p w14:paraId="71EA2734" w14:textId="77777777" w:rsidR="00206B8D" w:rsidRDefault="00206B8D" w:rsidP="00206B8D">
            <w:pPr>
              <w:jc w:val="center"/>
            </w:pPr>
            <w:r>
              <w:rPr>
                <w:rFonts w:hint="eastAsia"/>
              </w:rPr>
              <w:t>商业模式</w:t>
            </w:r>
          </w:p>
        </w:tc>
      </w:tr>
      <w:tr w:rsidR="00206B8D" w14:paraId="4E2D09BE" w14:textId="77777777" w:rsidTr="00206B8D">
        <w:tc>
          <w:tcPr>
            <w:tcW w:w="1672" w:type="dxa"/>
          </w:tcPr>
          <w:p w14:paraId="70276B41" w14:textId="77777777" w:rsidR="00206B8D" w:rsidRPr="00206B8D" w:rsidRDefault="00206B8D" w:rsidP="00206B8D">
            <w:pPr>
              <w:jc w:val="center"/>
            </w:pPr>
            <w:r w:rsidRPr="00206B8D">
              <w:t>EA</w:t>
            </w:r>
          </w:p>
        </w:tc>
        <w:tc>
          <w:tcPr>
            <w:tcW w:w="7184" w:type="dxa"/>
          </w:tcPr>
          <w:p w14:paraId="334A8DC2" w14:textId="7434881E" w:rsidR="00206B8D" w:rsidRDefault="00F36C6D">
            <w:r>
              <w:rPr>
                <w:rFonts w:hint="eastAsia"/>
              </w:rPr>
              <w:t>代理游戏发行</w:t>
            </w:r>
          </w:p>
        </w:tc>
      </w:tr>
      <w:tr w:rsidR="00206B8D" w14:paraId="7245F390" w14:textId="77777777" w:rsidTr="00206B8D">
        <w:tc>
          <w:tcPr>
            <w:tcW w:w="1672" w:type="dxa"/>
          </w:tcPr>
          <w:p w14:paraId="30DB95B1" w14:textId="77777777" w:rsidR="00206B8D" w:rsidRPr="00206B8D" w:rsidRDefault="00206B8D" w:rsidP="00206B8D">
            <w:pPr>
              <w:jc w:val="center"/>
            </w:pPr>
            <w:r w:rsidRPr="00206B8D">
              <w:rPr>
                <w:rFonts w:hint="eastAsia"/>
              </w:rPr>
              <w:t>暴雪</w:t>
            </w:r>
          </w:p>
        </w:tc>
        <w:tc>
          <w:tcPr>
            <w:tcW w:w="7184" w:type="dxa"/>
          </w:tcPr>
          <w:p w14:paraId="730A6EB4" w14:textId="463D0EA7" w:rsidR="00206B8D" w:rsidRDefault="0019115A" w:rsidP="00962E29">
            <w:r>
              <w:rPr>
                <w:rFonts w:hint="eastAsia"/>
              </w:rPr>
              <w:t>游戏开发及销售、</w:t>
            </w:r>
            <w:r w:rsidR="00962E29">
              <w:rPr>
                <w:rFonts w:hint="eastAsia"/>
              </w:rPr>
              <w:t>代理游戏发行、增值服务收费</w:t>
            </w:r>
          </w:p>
        </w:tc>
      </w:tr>
      <w:tr w:rsidR="00206B8D" w14:paraId="7DD1242F" w14:textId="77777777" w:rsidTr="00206B8D">
        <w:trPr>
          <w:trHeight w:val="438"/>
        </w:trPr>
        <w:tc>
          <w:tcPr>
            <w:tcW w:w="1672" w:type="dxa"/>
          </w:tcPr>
          <w:p w14:paraId="009DC50A" w14:textId="77777777" w:rsidR="00206B8D" w:rsidRPr="00206B8D" w:rsidRDefault="00206B8D" w:rsidP="00206B8D">
            <w:pPr>
              <w:jc w:val="center"/>
            </w:pPr>
            <w:r w:rsidRPr="00206B8D">
              <w:rPr>
                <w:rFonts w:hint="eastAsia"/>
              </w:rPr>
              <w:t>盛大</w:t>
            </w:r>
          </w:p>
        </w:tc>
        <w:tc>
          <w:tcPr>
            <w:tcW w:w="7184" w:type="dxa"/>
          </w:tcPr>
          <w:p w14:paraId="3F9CCF7F" w14:textId="2C4976D7" w:rsidR="00206B8D" w:rsidRDefault="00F21222">
            <w:r>
              <w:rPr>
                <w:rFonts w:hint="eastAsia"/>
              </w:rPr>
              <w:t>代理游戏发行、基础服务免费、增值服务收费</w:t>
            </w:r>
          </w:p>
        </w:tc>
      </w:tr>
      <w:tr w:rsidR="00206B8D" w14:paraId="2B5296A9" w14:textId="77777777" w:rsidTr="00206B8D">
        <w:tc>
          <w:tcPr>
            <w:tcW w:w="1672" w:type="dxa"/>
          </w:tcPr>
          <w:p w14:paraId="5B661DB4" w14:textId="77777777" w:rsidR="00206B8D" w:rsidRPr="00206B8D" w:rsidRDefault="00206B8D" w:rsidP="00206B8D">
            <w:pPr>
              <w:jc w:val="center"/>
            </w:pPr>
            <w:r w:rsidRPr="00206B8D">
              <w:rPr>
                <w:rFonts w:hint="eastAsia"/>
              </w:rPr>
              <w:t>腾讯</w:t>
            </w:r>
          </w:p>
        </w:tc>
        <w:tc>
          <w:tcPr>
            <w:tcW w:w="7184" w:type="dxa"/>
          </w:tcPr>
          <w:p w14:paraId="778E5B54" w14:textId="217A80C5" w:rsidR="00206B8D" w:rsidRDefault="00B215E3">
            <w:r>
              <w:rPr>
                <w:rFonts w:hint="eastAsia"/>
              </w:rPr>
              <w:t>以社交平台作为游戏用户流量的接入口，通过在游戏中提供增值服务</w:t>
            </w:r>
            <w:r w:rsidR="00370CDB">
              <w:rPr>
                <w:rFonts w:hint="eastAsia"/>
              </w:rPr>
              <w:t>、代理游戏的发行等</w:t>
            </w:r>
            <w:r>
              <w:rPr>
                <w:rFonts w:hint="eastAsia"/>
              </w:rPr>
              <w:t>来实现盈利</w:t>
            </w:r>
          </w:p>
        </w:tc>
      </w:tr>
      <w:tr w:rsidR="00206B8D" w14:paraId="3C8C1338" w14:textId="77777777" w:rsidTr="00206B8D">
        <w:tc>
          <w:tcPr>
            <w:tcW w:w="1672" w:type="dxa"/>
          </w:tcPr>
          <w:p w14:paraId="1A6A8FAA" w14:textId="77777777" w:rsidR="00206B8D" w:rsidRPr="00206B8D" w:rsidRDefault="00206B8D" w:rsidP="00206B8D">
            <w:pPr>
              <w:jc w:val="center"/>
            </w:pPr>
            <w:r w:rsidRPr="00206B8D">
              <w:rPr>
                <w:rFonts w:hint="eastAsia"/>
              </w:rPr>
              <w:t>网易</w:t>
            </w:r>
          </w:p>
        </w:tc>
        <w:tc>
          <w:tcPr>
            <w:tcW w:w="7184" w:type="dxa"/>
          </w:tcPr>
          <w:p w14:paraId="05161E11" w14:textId="0BDC6BFF" w:rsidR="00206B8D" w:rsidRDefault="009A5067">
            <w:r>
              <w:rPr>
                <w:rFonts w:hint="eastAsia"/>
              </w:rPr>
              <w:t>代理游戏发行、基础服务收费、增值服务收费</w:t>
            </w:r>
          </w:p>
        </w:tc>
      </w:tr>
      <w:tr w:rsidR="00206B8D" w14:paraId="33A45DFB" w14:textId="77777777" w:rsidTr="00206B8D">
        <w:tc>
          <w:tcPr>
            <w:tcW w:w="1672" w:type="dxa"/>
          </w:tcPr>
          <w:p w14:paraId="64CA2927" w14:textId="77777777" w:rsidR="00206B8D" w:rsidRPr="00206B8D" w:rsidRDefault="00206B8D" w:rsidP="00206B8D">
            <w:pPr>
              <w:jc w:val="center"/>
            </w:pPr>
            <w:r w:rsidRPr="00206B8D">
              <w:rPr>
                <w:rFonts w:hint="eastAsia"/>
              </w:rPr>
              <w:t>SONY</w:t>
            </w:r>
          </w:p>
        </w:tc>
        <w:tc>
          <w:tcPr>
            <w:tcW w:w="7184" w:type="dxa"/>
          </w:tcPr>
          <w:p w14:paraId="3A99A6E4" w14:textId="5BD205DD" w:rsidR="00206B8D" w:rsidRDefault="00F36C6D">
            <w:r>
              <w:rPr>
                <w:rFonts w:hint="eastAsia"/>
              </w:rPr>
              <w:t>销售游戏主机</w:t>
            </w:r>
            <w:r w:rsidR="00E30E92">
              <w:rPr>
                <w:rFonts w:hint="eastAsia"/>
              </w:rPr>
              <w:t>、代理游戏发行、增值服务收费</w:t>
            </w:r>
          </w:p>
        </w:tc>
      </w:tr>
      <w:tr w:rsidR="00206B8D" w14:paraId="51ECBF8F" w14:textId="77777777" w:rsidTr="00206B8D">
        <w:tc>
          <w:tcPr>
            <w:tcW w:w="1672" w:type="dxa"/>
          </w:tcPr>
          <w:p w14:paraId="43B64844" w14:textId="77777777" w:rsidR="00206B8D" w:rsidRPr="00206B8D" w:rsidRDefault="00206B8D" w:rsidP="00206B8D">
            <w:pPr>
              <w:jc w:val="center"/>
            </w:pPr>
            <w:r w:rsidRPr="00206B8D">
              <w:rPr>
                <w:rFonts w:hint="eastAsia"/>
              </w:rPr>
              <w:t>任天堂</w:t>
            </w:r>
          </w:p>
        </w:tc>
        <w:tc>
          <w:tcPr>
            <w:tcW w:w="7184" w:type="dxa"/>
          </w:tcPr>
          <w:p w14:paraId="42FF29A0" w14:textId="613A4E9E" w:rsidR="00206B8D" w:rsidRDefault="00F36C6D">
            <w:r>
              <w:rPr>
                <w:rFonts w:hint="eastAsia"/>
              </w:rPr>
              <w:t>销售游戏主机</w:t>
            </w:r>
            <w:r w:rsidR="00E30E92">
              <w:rPr>
                <w:rFonts w:hint="eastAsia"/>
              </w:rPr>
              <w:t>、代理游戏发行、增值服务收费</w:t>
            </w:r>
          </w:p>
        </w:tc>
      </w:tr>
      <w:tr w:rsidR="00206B8D" w14:paraId="0A1E6246" w14:textId="77777777" w:rsidTr="00206B8D">
        <w:tc>
          <w:tcPr>
            <w:tcW w:w="1672" w:type="dxa"/>
          </w:tcPr>
          <w:p w14:paraId="027DA207" w14:textId="77777777" w:rsidR="00206B8D" w:rsidRPr="00206B8D" w:rsidRDefault="00206B8D" w:rsidP="00206B8D">
            <w:pPr>
              <w:jc w:val="center"/>
            </w:pPr>
            <w:r w:rsidRPr="00206B8D">
              <w:rPr>
                <w:rFonts w:hint="eastAsia"/>
              </w:rPr>
              <w:lastRenderedPageBreak/>
              <w:t>微软</w:t>
            </w:r>
          </w:p>
        </w:tc>
        <w:tc>
          <w:tcPr>
            <w:tcW w:w="7184" w:type="dxa"/>
          </w:tcPr>
          <w:p w14:paraId="28BD8830" w14:textId="14E6E110" w:rsidR="00206B8D" w:rsidRDefault="00F36C6D">
            <w:r>
              <w:rPr>
                <w:rFonts w:hint="eastAsia"/>
              </w:rPr>
              <w:t>销售游戏主机</w:t>
            </w:r>
            <w:r w:rsidR="00E30E92">
              <w:rPr>
                <w:rFonts w:hint="eastAsia"/>
              </w:rPr>
              <w:t>、代理游戏发行、增值服务收费</w:t>
            </w:r>
          </w:p>
        </w:tc>
      </w:tr>
    </w:tbl>
    <w:p w14:paraId="62D40DBC" w14:textId="77777777" w:rsidR="00B73DCB" w:rsidRDefault="00B73DCB"/>
    <w:p w14:paraId="7C1FD264" w14:textId="77777777" w:rsidR="006D6C4D" w:rsidRPr="003C0E59" w:rsidRDefault="0042023F">
      <w:pPr>
        <w:rPr>
          <w:b/>
        </w:rPr>
      </w:pPr>
      <w:r w:rsidRPr="00F30F33">
        <w:rPr>
          <w:rFonts w:hint="eastAsia"/>
          <w:b/>
        </w:rPr>
        <w:t>6</w:t>
      </w:r>
      <w:r w:rsidRPr="00F30F33">
        <w:rPr>
          <w:rFonts w:hint="eastAsia"/>
          <w:b/>
        </w:rPr>
        <w:t>、你认为卧龙地产前一次失败的原因是什么？</w:t>
      </w:r>
    </w:p>
    <w:p w14:paraId="6BD73226" w14:textId="77777777" w:rsidR="005A12F8" w:rsidRDefault="005024D3">
      <w:r>
        <w:rPr>
          <w:rFonts w:hint="eastAsia"/>
        </w:rPr>
        <w:t xml:space="preserve">    </w:t>
      </w:r>
      <w:r w:rsidR="003C0E59">
        <w:rPr>
          <w:rFonts w:hint="eastAsia"/>
        </w:rPr>
        <w:t>2016</w:t>
      </w:r>
      <w:r w:rsidR="003C0E59">
        <w:rPr>
          <w:rFonts w:hint="eastAsia"/>
        </w:rPr>
        <w:t>年</w:t>
      </w:r>
      <w:r w:rsidR="003C0E59">
        <w:t>7</w:t>
      </w:r>
      <w:r w:rsidR="003C0E59">
        <w:rPr>
          <w:rFonts w:hint="eastAsia"/>
        </w:rPr>
        <w:t>月</w:t>
      </w:r>
      <w:r w:rsidR="003C0E59">
        <w:rPr>
          <w:rFonts w:hint="eastAsia"/>
        </w:rPr>
        <w:t>30</w:t>
      </w:r>
      <w:r w:rsidR="003C0E59">
        <w:rPr>
          <w:rFonts w:hint="eastAsia"/>
        </w:rPr>
        <w:t>日，</w:t>
      </w:r>
      <w:r w:rsidR="005F7E1E">
        <w:rPr>
          <w:rFonts w:hint="eastAsia"/>
        </w:rPr>
        <w:t>卧龙地产</w:t>
      </w:r>
      <w:r w:rsidR="00965D29">
        <w:rPr>
          <w:rFonts w:hint="eastAsia"/>
        </w:rPr>
        <w:t>于</w:t>
      </w:r>
      <w:r w:rsidR="00BB6EE5">
        <w:rPr>
          <w:rFonts w:hint="eastAsia"/>
        </w:rPr>
        <w:t>首次</w:t>
      </w:r>
      <w:r w:rsidR="001450DB">
        <w:rPr>
          <w:rFonts w:hint="eastAsia"/>
        </w:rPr>
        <w:t>公告</w:t>
      </w:r>
      <w:r w:rsidR="000A3709">
        <w:rPr>
          <w:rFonts w:hint="eastAsia"/>
        </w:rPr>
        <w:t>了其发行股份购买墨麟股份</w:t>
      </w:r>
      <w:r w:rsidR="000A3709">
        <w:rPr>
          <w:rFonts w:hint="eastAsia"/>
        </w:rPr>
        <w:t>97.714%</w:t>
      </w:r>
      <w:r w:rsidR="003C0E59">
        <w:rPr>
          <w:rFonts w:hint="eastAsia"/>
        </w:rPr>
        <w:t>股权</w:t>
      </w:r>
      <w:r w:rsidR="006D6C4D">
        <w:rPr>
          <w:rFonts w:hint="eastAsia"/>
        </w:rPr>
        <w:t>并同时募集配套资金</w:t>
      </w:r>
      <w:r w:rsidR="0082415A">
        <w:rPr>
          <w:rFonts w:hint="eastAsia"/>
        </w:rPr>
        <w:t>的预案。</w:t>
      </w:r>
      <w:r w:rsidR="003C0E59">
        <w:rPr>
          <w:rFonts w:hint="eastAsia"/>
        </w:rPr>
        <w:t>该次重组方案</w:t>
      </w:r>
      <w:r w:rsidR="00BB6EE5">
        <w:rPr>
          <w:rFonts w:hint="eastAsia"/>
        </w:rPr>
        <w:t>为拟向深圳墨非等</w:t>
      </w:r>
      <w:r w:rsidR="00BB6EE5">
        <w:rPr>
          <w:rFonts w:hint="eastAsia"/>
        </w:rPr>
        <w:t>13</w:t>
      </w:r>
      <w:r w:rsidR="00BB6EE5">
        <w:rPr>
          <w:rFonts w:hint="eastAsia"/>
        </w:rPr>
        <w:t>家企业及陈默等</w:t>
      </w:r>
      <w:r w:rsidR="00BB6EE5">
        <w:rPr>
          <w:rFonts w:hint="eastAsia"/>
        </w:rPr>
        <w:t>4</w:t>
      </w:r>
      <w:r w:rsidR="00BB6EE5">
        <w:rPr>
          <w:rFonts w:hint="eastAsia"/>
        </w:rPr>
        <w:t>名自然人发行股份购买其合计持有的墨麟股份</w:t>
      </w:r>
      <w:r w:rsidR="00BB6EE5">
        <w:rPr>
          <w:rFonts w:hint="eastAsia"/>
        </w:rPr>
        <w:t>97.714%</w:t>
      </w:r>
      <w:r w:rsidR="00BB6EE5">
        <w:rPr>
          <w:rFonts w:hint="eastAsia"/>
        </w:rPr>
        <w:t>股份，并同时募集配套资金。标的公司</w:t>
      </w:r>
      <w:r w:rsidR="00BB6EE5">
        <w:rPr>
          <w:rFonts w:hint="eastAsia"/>
        </w:rPr>
        <w:t>100%</w:t>
      </w:r>
      <w:r w:rsidR="00BB6EE5">
        <w:rPr>
          <w:rFonts w:hint="eastAsia"/>
        </w:rPr>
        <w:t>股权以</w:t>
      </w:r>
      <w:r w:rsidR="00BB6EE5">
        <w:rPr>
          <w:rFonts w:hint="eastAsia"/>
        </w:rPr>
        <w:t>2016</w:t>
      </w:r>
      <w:r w:rsidR="00BB6EE5">
        <w:rPr>
          <w:rFonts w:hint="eastAsia"/>
        </w:rPr>
        <w:t>年</w:t>
      </w:r>
      <w:r w:rsidR="00BB6EE5">
        <w:rPr>
          <w:rFonts w:hint="eastAsia"/>
        </w:rPr>
        <w:t>3</w:t>
      </w:r>
      <w:r w:rsidR="00BB6EE5">
        <w:rPr>
          <w:rFonts w:hint="eastAsia"/>
        </w:rPr>
        <w:t>月</w:t>
      </w:r>
      <w:r w:rsidR="00BB6EE5">
        <w:rPr>
          <w:rFonts w:hint="eastAsia"/>
        </w:rPr>
        <w:t>31</w:t>
      </w:r>
      <w:r w:rsidR="00BB6EE5">
        <w:rPr>
          <w:rFonts w:hint="eastAsia"/>
        </w:rPr>
        <w:t>日为基准，</w:t>
      </w:r>
      <w:r w:rsidR="00234F22">
        <w:rPr>
          <w:rFonts w:hint="eastAsia"/>
        </w:rPr>
        <w:t>预估值为</w:t>
      </w:r>
      <w:r w:rsidR="00BB6EE5">
        <w:rPr>
          <w:rFonts w:hint="eastAsia"/>
        </w:rPr>
        <w:t>45</w:t>
      </w:r>
      <w:r w:rsidR="00BB6EE5">
        <w:rPr>
          <w:rFonts w:hint="eastAsia"/>
        </w:rPr>
        <w:t>亿，即本次</w:t>
      </w:r>
      <w:r w:rsidR="00234F22">
        <w:rPr>
          <w:rFonts w:hint="eastAsia"/>
        </w:rPr>
        <w:t>交易价格约为</w:t>
      </w:r>
      <w:r w:rsidR="00234F22">
        <w:rPr>
          <w:rFonts w:hint="eastAsia"/>
        </w:rPr>
        <w:t>44.08</w:t>
      </w:r>
      <w:r w:rsidR="00234F22">
        <w:rPr>
          <w:rFonts w:hint="eastAsia"/>
        </w:rPr>
        <w:t>亿，其中</w:t>
      </w:r>
      <w:r w:rsidR="00234F22">
        <w:rPr>
          <w:rFonts w:hint="eastAsia"/>
        </w:rPr>
        <w:t>21.03</w:t>
      </w:r>
      <w:r w:rsidR="00234F22">
        <w:rPr>
          <w:rFonts w:hint="eastAsia"/>
        </w:rPr>
        <w:t>亿以现金支付，</w:t>
      </w:r>
      <w:r w:rsidR="00234F22">
        <w:rPr>
          <w:rFonts w:hint="eastAsia"/>
        </w:rPr>
        <w:t>23.05</w:t>
      </w:r>
      <w:r w:rsidR="00234F22">
        <w:rPr>
          <w:rFonts w:hint="eastAsia"/>
        </w:rPr>
        <w:t>亿以发行股份的方式支付。</w:t>
      </w:r>
      <w:r w:rsidR="009D59E8">
        <w:rPr>
          <w:rFonts w:hint="eastAsia"/>
        </w:rPr>
        <w:t>同时上市公司拟以锁价方式向卧龙控股及</w:t>
      </w:r>
      <w:r w:rsidR="009D59E8">
        <w:rPr>
          <w:rFonts w:hint="eastAsia"/>
        </w:rPr>
        <w:t>9</w:t>
      </w:r>
      <w:r w:rsidR="009D59E8">
        <w:rPr>
          <w:rFonts w:hint="eastAsia"/>
        </w:rPr>
        <w:t>名投资者非公开发行股份募集配套资金，募集配套资金总额约</w:t>
      </w:r>
      <w:r w:rsidR="009D59E8">
        <w:rPr>
          <w:rFonts w:hint="eastAsia"/>
        </w:rPr>
        <w:t>21.36</w:t>
      </w:r>
      <w:r w:rsidR="009D59E8">
        <w:rPr>
          <w:rFonts w:hint="eastAsia"/>
        </w:rPr>
        <w:t>亿</w:t>
      </w:r>
      <w:r w:rsidR="009065C2">
        <w:rPr>
          <w:rFonts w:hint="eastAsia"/>
        </w:rPr>
        <w:t>，用于本次交易的现金对价部分</w:t>
      </w:r>
      <w:r w:rsidR="009D59E8">
        <w:rPr>
          <w:rFonts w:hint="eastAsia"/>
        </w:rPr>
        <w:t>。</w:t>
      </w:r>
      <w:r w:rsidR="0082415A">
        <w:rPr>
          <w:rFonts w:hint="eastAsia"/>
        </w:rPr>
        <w:t>公司于</w:t>
      </w:r>
      <w:r w:rsidR="0082415A">
        <w:rPr>
          <w:rFonts w:hint="eastAsia"/>
        </w:rPr>
        <w:t>11</w:t>
      </w:r>
      <w:r w:rsidR="0082415A">
        <w:rPr>
          <w:rFonts w:hint="eastAsia"/>
        </w:rPr>
        <w:t>月</w:t>
      </w:r>
      <w:r w:rsidR="0082415A">
        <w:rPr>
          <w:rFonts w:hint="eastAsia"/>
        </w:rPr>
        <w:t>19</w:t>
      </w:r>
      <w:r w:rsidR="0082415A">
        <w:rPr>
          <w:rFonts w:hint="eastAsia"/>
        </w:rPr>
        <w:t>日公告终止该次重组。</w:t>
      </w:r>
    </w:p>
    <w:p w14:paraId="39ABC455" w14:textId="77777777" w:rsidR="003C0E59" w:rsidRDefault="003C0E59">
      <w:r>
        <w:rPr>
          <w:rFonts w:hint="eastAsia"/>
        </w:rPr>
        <w:t xml:space="preserve">    2017</w:t>
      </w:r>
      <w:r>
        <w:rPr>
          <w:rFonts w:hint="eastAsia"/>
        </w:rPr>
        <w:t>年</w:t>
      </w:r>
      <w:r>
        <w:rPr>
          <w:rFonts w:hint="eastAsia"/>
        </w:rPr>
        <w:t>3</w:t>
      </w:r>
      <w:r>
        <w:rPr>
          <w:rFonts w:hint="eastAsia"/>
        </w:rPr>
        <w:t>月</w:t>
      </w:r>
      <w:r>
        <w:rPr>
          <w:rFonts w:hint="eastAsia"/>
        </w:rPr>
        <w:t>22</w:t>
      </w:r>
      <w:r>
        <w:rPr>
          <w:rFonts w:hint="eastAsia"/>
        </w:rPr>
        <w:t>日，卧龙地产公告了其发行股份购买天津卡乐</w:t>
      </w:r>
      <w:r>
        <w:rPr>
          <w:rFonts w:hint="eastAsia"/>
        </w:rPr>
        <w:t>100%</w:t>
      </w:r>
      <w:r>
        <w:rPr>
          <w:rFonts w:hint="eastAsia"/>
        </w:rPr>
        <w:t>股权并同时募集配套资金的预案</w:t>
      </w:r>
      <w:r w:rsidR="0082415A">
        <w:rPr>
          <w:rFonts w:hint="eastAsia"/>
        </w:rPr>
        <w:t>。</w:t>
      </w:r>
      <w:r>
        <w:rPr>
          <w:rFonts w:hint="eastAsia"/>
        </w:rPr>
        <w:t>该次重组方案为拟向</w:t>
      </w:r>
      <w:r w:rsidR="0081077D">
        <w:rPr>
          <w:rFonts w:hint="eastAsia"/>
        </w:rPr>
        <w:t>西藏道临等</w:t>
      </w:r>
      <w:r w:rsidR="0081077D">
        <w:rPr>
          <w:rFonts w:hint="eastAsia"/>
        </w:rPr>
        <w:t>9</w:t>
      </w:r>
      <w:r w:rsidR="0081077D">
        <w:rPr>
          <w:rFonts w:hint="eastAsia"/>
        </w:rPr>
        <w:t>家企业发行股份购买其合计持有的标的公司天津卡乐</w:t>
      </w:r>
      <w:r w:rsidR="0081077D">
        <w:rPr>
          <w:rFonts w:hint="eastAsia"/>
        </w:rPr>
        <w:t>100%</w:t>
      </w:r>
      <w:r w:rsidR="0081077D">
        <w:rPr>
          <w:rFonts w:hint="eastAsia"/>
        </w:rPr>
        <w:t>股权，并同时向卧龙控股募集配套资金。本次交易，标的公司</w:t>
      </w:r>
      <w:r w:rsidR="0081077D">
        <w:rPr>
          <w:rFonts w:hint="eastAsia"/>
        </w:rPr>
        <w:t>100%</w:t>
      </w:r>
      <w:r w:rsidR="0081077D">
        <w:rPr>
          <w:rFonts w:hint="eastAsia"/>
        </w:rPr>
        <w:t>股权作价</w:t>
      </w:r>
      <w:r w:rsidR="0081077D">
        <w:rPr>
          <w:rFonts w:hint="eastAsia"/>
        </w:rPr>
        <w:t>53.3</w:t>
      </w:r>
      <w:r w:rsidR="0081077D">
        <w:rPr>
          <w:rFonts w:hint="eastAsia"/>
        </w:rPr>
        <w:t>亿元，其中</w:t>
      </w:r>
      <w:r w:rsidR="0081077D">
        <w:rPr>
          <w:rFonts w:hint="eastAsia"/>
        </w:rPr>
        <w:t>39.39</w:t>
      </w:r>
      <w:r w:rsidR="0082415A">
        <w:rPr>
          <w:rFonts w:hint="eastAsia"/>
        </w:rPr>
        <w:t>亿元以股份方式</w:t>
      </w:r>
      <w:r w:rsidR="0081077D">
        <w:rPr>
          <w:rFonts w:hint="eastAsia"/>
        </w:rPr>
        <w:t>支付，</w:t>
      </w:r>
      <w:r w:rsidR="0081077D">
        <w:rPr>
          <w:rFonts w:hint="eastAsia"/>
        </w:rPr>
        <w:t>13.91</w:t>
      </w:r>
      <w:r w:rsidR="0082415A">
        <w:rPr>
          <w:rFonts w:hint="eastAsia"/>
        </w:rPr>
        <w:t>亿以现金支付，同时募集配套资金</w:t>
      </w:r>
      <w:r w:rsidR="0082415A">
        <w:rPr>
          <w:rFonts w:hint="eastAsia"/>
        </w:rPr>
        <w:t>14.71</w:t>
      </w:r>
      <w:r w:rsidR="0082415A">
        <w:rPr>
          <w:rFonts w:hint="eastAsia"/>
        </w:rPr>
        <w:t>亿元用以支付现金对价。公司于</w:t>
      </w:r>
      <w:r w:rsidR="0082415A">
        <w:rPr>
          <w:rFonts w:hint="eastAsia"/>
        </w:rPr>
        <w:t>5</w:t>
      </w:r>
      <w:r w:rsidR="0082415A">
        <w:rPr>
          <w:rFonts w:hint="eastAsia"/>
        </w:rPr>
        <w:t>月</w:t>
      </w:r>
      <w:r w:rsidR="0082415A">
        <w:rPr>
          <w:rFonts w:hint="eastAsia"/>
        </w:rPr>
        <w:t>20</w:t>
      </w:r>
      <w:r w:rsidR="0082415A">
        <w:rPr>
          <w:rFonts w:hint="eastAsia"/>
        </w:rPr>
        <w:t>日即宣布终止该次重组。</w:t>
      </w:r>
    </w:p>
    <w:p w14:paraId="0D97B358" w14:textId="77777777" w:rsidR="0082415A" w:rsidRDefault="0082415A">
      <w:r>
        <w:rPr>
          <w:rFonts w:hint="eastAsia"/>
        </w:rPr>
        <w:t xml:space="preserve">    </w:t>
      </w:r>
      <w:r w:rsidR="004E3B43">
        <w:rPr>
          <w:rFonts w:hint="eastAsia"/>
        </w:rPr>
        <w:t>总结这两次重组，其失败的原因可以归咎于以下几个</w:t>
      </w:r>
      <w:r>
        <w:rPr>
          <w:rFonts w:hint="eastAsia"/>
        </w:rPr>
        <w:t>：</w:t>
      </w:r>
    </w:p>
    <w:p w14:paraId="0FC7EEDE" w14:textId="77777777" w:rsidR="0082415A" w:rsidRDefault="0082415A">
      <w:r>
        <w:rPr>
          <w:rFonts w:hint="eastAsia"/>
        </w:rPr>
        <w:t xml:space="preserve">    1</w:t>
      </w:r>
      <w:r>
        <w:rPr>
          <w:rFonts w:hint="eastAsia"/>
        </w:rPr>
        <w:t>）</w:t>
      </w:r>
      <w:r w:rsidR="000F0A7E">
        <w:rPr>
          <w:rFonts w:hint="eastAsia"/>
        </w:rPr>
        <w:t>两次重组皆为跨界并购，</w:t>
      </w:r>
      <w:r w:rsidR="00AB2DA7">
        <w:rPr>
          <w:rFonts w:hint="eastAsia"/>
        </w:rPr>
        <w:t>体量均与上市公司相当，有</w:t>
      </w:r>
      <w:r w:rsidR="00F21D56">
        <w:rPr>
          <w:rFonts w:hint="eastAsia"/>
        </w:rPr>
        <w:t>类</w:t>
      </w:r>
      <w:r w:rsidR="00AB2DA7">
        <w:rPr>
          <w:rFonts w:hint="eastAsia"/>
        </w:rPr>
        <w:t>借壳之嫌</w:t>
      </w:r>
    </w:p>
    <w:p w14:paraId="04238176" w14:textId="77777777" w:rsidR="00AB2DA7" w:rsidRDefault="00AB2DA7">
      <w:r>
        <w:rPr>
          <w:rFonts w:hint="eastAsia"/>
        </w:rPr>
        <w:t xml:space="preserve">    </w:t>
      </w:r>
      <w:r>
        <w:rPr>
          <w:rFonts w:hint="eastAsia"/>
        </w:rPr>
        <w:t>拟收购标的墨麟股份</w:t>
      </w:r>
      <w:r>
        <w:rPr>
          <w:rFonts w:hint="eastAsia"/>
        </w:rPr>
        <w:t>97.714%</w:t>
      </w:r>
      <w:r>
        <w:rPr>
          <w:rFonts w:hint="eastAsia"/>
        </w:rPr>
        <w:t>作价</w:t>
      </w:r>
      <w:r>
        <w:rPr>
          <w:rFonts w:hint="eastAsia"/>
        </w:rPr>
        <w:t>44.08</w:t>
      </w:r>
      <w:r>
        <w:rPr>
          <w:rFonts w:hint="eastAsia"/>
        </w:rPr>
        <w:t>亿，天津卡乐</w:t>
      </w:r>
      <w:r>
        <w:rPr>
          <w:rFonts w:hint="eastAsia"/>
        </w:rPr>
        <w:t>100%</w:t>
      </w:r>
      <w:r>
        <w:rPr>
          <w:rFonts w:hint="eastAsia"/>
        </w:rPr>
        <w:t>股权作价</w:t>
      </w:r>
      <w:r>
        <w:rPr>
          <w:rFonts w:hint="eastAsia"/>
        </w:rPr>
        <w:t>53.3</w:t>
      </w:r>
      <w:r>
        <w:rPr>
          <w:rFonts w:hint="eastAsia"/>
        </w:rPr>
        <w:t>亿元，</w:t>
      </w:r>
      <w:r w:rsidR="00A15781">
        <w:rPr>
          <w:rFonts w:hint="eastAsia"/>
        </w:rPr>
        <w:t>根据相应股份测算，标的公司控股股东与上市公司实际控制</w:t>
      </w:r>
      <w:r w:rsidR="00F21D56">
        <w:rPr>
          <w:rFonts w:hint="eastAsia"/>
        </w:rPr>
        <w:t>人股权比例过于接近，除此之外，上市公司主要在三县城市从事房地产开发，经营业绩远不如标的公司，因此具有类借壳之嫌。</w:t>
      </w:r>
      <w:r w:rsidR="00A15781">
        <w:rPr>
          <w:rFonts w:hint="eastAsia"/>
        </w:rPr>
        <w:t>虽然</w:t>
      </w:r>
      <w:r w:rsidR="00F21D56">
        <w:rPr>
          <w:rFonts w:hint="eastAsia"/>
        </w:rPr>
        <w:t>在</w:t>
      </w:r>
      <w:r w:rsidR="00A15781">
        <w:rPr>
          <w:rFonts w:hint="eastAsia"/>
        </w:rPr>
        <w:t>两次交易</w:t>
      </w:r>
      <w:r w:rsidR="00F21D56">
        <w:rPr>
          <w:rFonts w:hint="eastAsia"/>
        </w:rPr>
        <w:t>中，上市公司</w:t>
      </w:r>
      <w:r w:rsidR="00A15781">
        <w:rPr>
          <w:rFonts w:hint="eastAsia"/>
        </w:rPr>
        <w:t>均通过部分</w:t>
      </w:r>
      <w:r w:rsidR="000501A1">
        <w:rPr>
          <w:rFonts w:hint="eastAsia"/>
        </w:rPr>
        <w:t>对价以现金</w:t>
      </w:r>
      <w:r w:rsidR="00F21D56">
        <w:rPr>
          <w:rFonts w:hint="eastAsia"/>
        </w:rPr>
        <w:t>方式</w:t>
      </w:r>
      <w:r w:rsidR="000501A1">
        <w:rPr>
          <w:rFonts w:hint="eastAsia"/>
        </w:rPr>
        <w:t>支付以及标的公司控股股</w:t>
      </w:r>
      <w:r w:rsidR="00F21D56">
        <w:rPr>
          <w:rFonts w:hint="eastAsia"/>
        </w:rPr>
        <w:t>东采取相关措施以证明不谋求控制上市公司的目的，但是说服力仍不足。</w:t>
      </w:r>
      <w:r w:rsidR="0000161F">
        <w:rPr>
          <w:rFonts w:hint="eastAsia"/>
        </w:rPr>
        <w:t>除此之外，由于标的公司与上市公司处于两个不相关行业，对其能否有效整合也存在疑问</w:t>
      </w:r>
      <w:r w:rsidR="00173EAE">
        <w:rPr>
          <w:rFonts w:hint="eastAsia"/>
        </w:rPr>
        <w:t>。</w:t>
      </w:r>
    </w:p>
    <w:p w14:paraId="612A31EE" w14:textId="77777777" w:rsidR="00F21D56" w:rsidRDefault="00F21D56">
      <w:r>
        <w:rPr>
          <w:rFonts w:hint="eastAsia"/>
        </w:rPr>
        <w:t xml:space="preserve">    2</w:t>
      </w:r>
      <w:r>
        <w:rPr>
          <w:rFonts w:hint="eastAsia"/>
        </w:rPr>
        <w:t>）监管</w:t>
      </w:r>
      <w:r w:rsidR="00DE6EA8">
        <w:rPr>
          <w:rFonts w:hint="eastAsia"/>
        </w:rPr>
        <w:t>新趋势，高估值合理性存疑</w:t>
      </w:r>
    </w:p>
    <w:p w14:paraId="2ACA5BCB" w14:textId="77777777" w:rsidR="00580A49" w:rsidRPr="00F21D56" w:rsidRDefault="00F21D56">
      <w:r>
        <w:rPr>
          <w:rFonts w:hint="eastAsia"/>
        </w:rPr>
        <w:t xml:space="preserve">    </w:t>
      </w:r>
      <w:r>
        <w:rPr>
          <w:rFonts w:hint="eastAsia"/>
        </w:rPr>
        <w:t>市场于</w:t>
      </w:r>
      <w:r>
        <w:rPr>
          <w:rFonts w:hint="eastAsia"/>
        </w:rPr>
        <w:t>2015</w:t>
      </w:r>
      <w:r>
        <w:rPr>
          <w:rFonts w:hint="eastAsia"/>
        </w:rPr>
        <w:t>年经历了由牛转熊的变化，</w:t>
      </w:r>
      <w:r w:rsidR="00111C92">
        <w:rPr>
          <w:rFonts w:hint="eastAsia"/>
        </w:rPr>
        <w:t>为防控金融风险，促进资金“脱虚向实”，将梗多资金投入尸体企业，证监会开始限制有关于影视、娱乐、体育、文化类等相关的</w:t>
      </w:r>
      <w:r w:rsidR="00111C92">
        <w:t>IPO</w:t>
      </w:r>
      <w:r w:rsidR="00111C92">
        <w:rPr>
          <w:rFonts w:hint="eastAsia"/>
        </w:rPr>
        <w:t>、再融资等行为。标的公司所处游戏行业正好为证监会敏感行业，重组失</w:t>
      </w:r>
      <w:r w:rsidR="00111C92">
        <w:rPr>
          <w:rFonts w:hint="eastAsia"/>
        </w:rPr>
        <w:lastRenderedPageBreak/>
        <w:t>败也是意料之中。</w:t>
      </w:r>
      <w:r w:rsidR="00DE6EA8">
        <w:rPr>
          <w:rFonts w:hint="eastAsia"/>
        </w:rPr>
        <w:t>期间，同行业上市公司估值屡创新低，监管新趋势下敏感行业的估值普遍下调，</w:t>
      </w:r>
      <w:r w:rsidR="00CC706D">
        <w:rPr>
          <w:rFonts w:hint="eastAsia"/>
        </w:rPr>
        <w:t>标的公司高估值的合理性存疑。</w:t>
      </w:r>
    </w:p>
    <w:p w14:paraId="3030368A" w14:textId="77777777" w:rsidR="00580A49" w:rsidRDefault="00111C92">
      <w:r>
        <w:rPr>
          <w:rFonts w:hint="eastAsia"/>
        </w:rPr>
        <w:t xml:space="preserve">    3</w:t>
      </w:r>
      <w:r>
        <w:rPr>
          <w:rFonts w:hint="eastAsia"/>
        </w:rPr>
        <w:t>）</w:t>
      </w:r>
      <w:r w:rsidR="00873796">
        <w:rPr>
          <w:rFonts w:hint="eastAsia"/>
        </w:rPr>
        <w:t>两次重组，标的公司财务存疑点</w:t>
      </w:r>
      <w:r w:rsidR="00DA3A37">
        <w:rPr>
          <w:rFonts w:hint="eastAsia"/>
        </w:rPr>
        <w:t>，盈利能力存疑</w:t>
      </w:r>
    </w:p>
    <w:p w14:paraId="44A92406" w14:textId="77777777" w:rsidR="00873796" w:rsidRDefault="00873796">
      <w:r>
        <w:rPr>
          <w:rFonts w:hint="eastAsia"/>
        </w:rPr>
        <w:t xml:space="preserve">    </w:t>
      </w:r>
      <w:r w:rsidR="00173EAE">
        <w:rPr>
          <w:rFonts w:hint="eastAsia"/>
        </w:rPr>
        <w:t>拟收购标的墨麟股份</w:t>
      </w:r>
      <w:r w:rsidR="00386A60">
        <w:rPr>
          <w:rFonts w:hint="eastAsia"/>
        </w:rPr>
        <w:t>100%</w:t>
      </w:r>
      <w:r w:rsidR="00386A60">
        <w:rPr>
          <w:rFonts w:hint="eastAsia"/>
        </w:rPr>
        <w:t>股权预估值为</w:t>
      </w:r>
      <w:r w:rsidR="00386A60">
        <w:rPr>
          <w:rFonts w:hint="eastAsia"/>
        </w:rPr>
        <w:t>45</w:t>
      </w:r>
      <w:r w:rsidR="00386A60">
        <w:rPr>
          <w:rFonts w:hint="eastAsia"/>
        </w:rPr>
        <w:t>亿</w:t>
      </w:r>
      <w:r w:rsidR="00285AEB">
        <w:rPr>
          <w:rFonts w:hint="eastAsia"/>
        </w:rPr>
        <w:t>元</w:t>
      </w:r>
      <w:r w:rsidR="00386A60">
        <w:rPr>
          <w:rFonts w:hint="eastAsia"/>
        </w:rPr>
        <w:t>，</w:t>
      </w:r>
      <w:r w:rsidR="00544132">
        <w:rPr>
          <w:rFonts w:hint="eastAsia"/>
        </w:rPr>
        <w:t>标的公司报告期内净利润分别为</w:t>
      </w:r>
      <w:r w:rsidR="00544132">
        <w:rPr>
          <w:rFonts w:hint="eastAsia"/>
        </w:rPr>
        <w:t>5506</w:t>
      </w:r>
      <w:r w:rsidR="00544132">
        <w:rPr>
          <w:rFonts w:hint="eastAsia"/>
        </w:rPr>
        <w:t>万元、</w:t>
      </w:r>
      <w:r w:rsidR="00544132">
        <w:rPr>
          <w:rFonts w:hint="eastAsia"/>
        </w:rPr>
        <w:t>15545</w:t>
      </w:r>
      <w:r w:rsidR="00544132">
        <w:rPr>
          <w:rFonts w:hint="eastAsia"/>
        </w:rPr>
        <w:t>万元、</w:t>
      </w:r>
      <w:r w:rsidR="00544132">
        <w:rPr>
          <w:rFonts w:hint="eastAsia"/>
        </w:rPr>
        <w:t>24990</w:t>
      </w:r>
      <w:r w:rsidR="00544132">
        <w:rPr>
          <w:rFonts w:hint="eastAsia"/>
        </w:rPr>
        <w:t>万元，而扣非后净利润为</w:t>
      </w:r>
      <w:r w:rsidR="00544132">
        <w:rPr>
          <w:rFonts w:hint="eastAsia"/>
        </w:rPr>
        <w:t>5293</w:t>
      </w:r>
      <w:r w:rsidR="00544132">
        <w:rPr>
          <w:rFonts w:hint="eastAsia"/>
        </w:rPr>
        <w:t>万元、</w:t>
      </w:r>
      <w:r w:rsidR="00544132">
        <w:rPr>
          <w:rFonts w:hint="eastAsia"/>
        </w:rPr>
        <w:t>-7574</w:t>
      </w:r>
      <w:r w:rsidR="00544132">
        <w:rPr>
          <w:rFonts w:hint="eastAsia"/>
        </w:rPr>
        <w:t>万元、</w:t>
      </w:r>
      <w:r w:rsidR="00544132">
        <w:rPr>
          <w:rFonts w:hint="eastAsia"/>
        </w:rPr>
        <w:t>-528</w:t>
      </w:r>
      <w:r w:rsidR="00544132">
        <w:rPr>
          <w:rFonts w:hint="eastAsia"/>
        </w:rPr>
        <w:t>万元，</w:t>
      </w:r>
      <w:r w:rsidR="006171FB">
        <w:rPr>
          <w:rFonts w:hint="eastAsia"/>
        </w:rPr>
        <w:t>非经常性损益</w:t>
      </w:r>
      <w:r w:rsidR="008F5A45">
        <w:rPr>
          <w:rFonts w:hint="eastAsia"/>
        </w:rPr>
        <w:t>主要</w:t>
      </w:r>
      <w:r w:rsidR="006171FB">
        <w:rPr>
          <w:rFonts w:hint="eastAsia"/>
        </w:rPr>
        <w:t>来源于标的公司</w:t>
      </w:r>
      <w:r w:rsidR="008F5A45">
        <w:rPr>
          <w:rFonts w:hint="eastAsia"/>
        </w:rPr>
        <w:t>处置非流动资产</w:t>
      </w:r>
      <w:r w:rsidR="006171FB">
        <w:rPr>
          <w:rFonts w:hint="eastAsia"/>
        </w:rPr>
        <w:t>，</w:t>
      </w:r>
      <w:r w:rsidR="00C22DF7">
        <w:rPr>
          <w:rFonts w:hint="eastAsia"/>
        </w:rPr>
        <w:t>由于</w:t>
      </w:r>
      <w:r w:rsidR="008F5A45">
        <w:rPr>
          <w:rFonts w:hint="eastAsia"/>
        </w:rPr>
        <w:t>该活动非</w:t>
      </w:r>
      <w:r w:rsidR="00C22DF7">
        <w:rPr>
          <w:rFonts w:hint="eastAsia"/>
        </w:rPr>
        <w:t>公司主营业务，主营业务报告期内营收与净利润</w:t>
      </w:r>
      <w:r w:rsidR="008F5A45">
        <w:rPr>
          <w:rFonts w:hint="eastAsia"/>
        </w:rPr>
        <w:t>亦</w:t>
      </w:r>
      <w:r w:rsidR="00C22DF7">
        <w:rPr>
          <w:rFonts w:hint="eastAsia"/>
        </w:rPr>
        <w:t>均处于大幅下滑的趋势，该</w:t>
      </w:r>
      <w:r w:rsidR="008F5A45">
        <w:rPr>
          <w:rFonts w:hint="eastAsia"/>
        </w:rPr>
        <w:t>活动</w:t>
      </w:r>
      <w:r w:rsidR="00C22DF7">
        <w:rPr>
          <w:rFonts w:hint="eastAsia"/>
        </w:rPr>
        <w:t>对标的公司估值有重大影响，且不具有持续盈利性，有故意抬高估值之嫌</w:t>
      </w:r>
      <w:r w:rsidR="00DE6EA8">
        <w:rPr>
          <w:rFonts w:hint="eastAsia"/>
        </w:rPr>
        <w:t>。</w:t>
      </w:r>
    </w:p>
    <w:p w14:paraId="27D7D67E" w14:textId="77777777" w:rsidR="005C5892" w:rsidRPr="00173EAE" w:rsidRDefault="005C5892">
      <w:r>
        <w:rPr>
          <w:rFonts w:hint="eastAsia"/>
        </w:rPr>
        <w:t xml:space="preserve">    </w:t>
      </w:r>
      <w:r w:rsidR="00285AEB">
        <w:rPr>
          <w:rFonts w:hint="eastAsia"/>
        </w:rPr>
        <w:t>拟收购标的天津卡乐</w:t>
      </w:r>
      <w:r w:rsidR="00285AEB">
        <w:rPr>
          <w:rFonts w:hint="eastAsia"/>
        </w:rPr>
        <w:t>100%</w:t>
      </w:r>
      <w:r w:rsidR="00285AEB">
        <w:rPr>
          <w:rFonts w:hint="eastAsia"/>
        </w:rPr>
        <w:t>股权估值</w:t>
      </w:r>
      <w:r w:rsidR="00285AEB">
        <w:rPr>
          <w:rFonts w:hint="eastAsia"/>
        </w:rPr>
        <w:t>53.3</w:t>
      </w:r>
      <w:r w:rsidR="00285AEB">
        <w:rPr>
          <w:rFonts w:hint="eastAsia"/>
        </w:rPr>
        <w:t>亿元，</w:t>
      </w:r>
      <w:r w:rsidR="009A611E">
        <w:rPr>
          <w:rFonts w:hint="eastAsia"/>
        </w:rPr>
        <w:t>标的公司子公司乐道互动与其主要股东完美世界的关联交易占同业收入的比重约为</w:t>
      </w:r>
      <w:r w:rsidR="009A611E">
        <w:rPr>
          <w:rFonts w:hint="eastAsia"/>
        </w:rPr>
        <w:t>30%</w:t>
      </w:r>
      <w:r w:rsidR="009A611E">
        <w:rPr>
          <w:rFonts w:hint="eastAsia"/>
        </w:rPr>
        <w:t>，关联交易定价的公允性及真实性存疑。</w:t>
      </w:r>
    </w:p>
    <w:p w14:paraId="1E4C7139" w14:textId="77777777" w:rsidR="006C06E3" w:rsidRDefault="00DA3A37">
      <w:r>
        <w:rPr>
          <w:rFonts w:hint="eastAsia"/>
        </w:rPr>
        <w:t xml:space="preserve"> </w:t>
      </w:r>
      <w:r w:rsidR="00FD174C">
        <w:rPr>
          <w:rFonts w:hint="eastAsia"/>
        </w:rPr>
        <w:t xml:space="preserve">    4</w:t>
      </w:r>
      <w:r w:rsidR="00FD174C">
        <w:rPr>
          <w:rFonts w:hint="eastAsia"/>
        </w:rPr>
        <w:t>）</w:t>
      </w:r>
      <w:r w:rsidR="002F1881">
        <w:rPr>
          <w:rFonts w:hint="eastAsia"/>
        </w:rPr>
        <w:t>墨麟股份</w:t>
      </w:r>
      <w:r w:rsidR="00FD174C">
        <w:rPr>
          <w:rFonts w:hint="eastAsia"/>
        </w:rPr>
        <w:t>高业绩承诺，完成能力存疑</w:t>
      </w:r>
    </w:p>
    <w:p w14:paraId="75A05C30" w14:textId="77777777" w:rsidR="00FD174C" w:rsidRDefault="00FD174C">
      <w:r>
        <w:rPr>
          <w:rFonts w:hint="eastAsia"/>
        </w:rPr>
        <w:t xml:space="preserve">    </w:t>
      </w:r>
      <w:r>
        <w:rPr>
          <w:rFonts w:hint="eastAsia"/>
        </w:rPr>
        <w:t>墨麟股份承诺</w:t>
      </w:r>
      <w:r>
        <w:rPr>
          <w:rFonts w:hint="eastAsia"/>
        </w:rPr>
        <w:t>2016</w:t>
      </w:r>
      <w:r>
        <w:rPr>
          <w:rFonts w:hint="eastAsia"/>
        </w:rPr>
        <w:t>年</w:t>
      </w:r>
      <w:r>
        <w:rPr>
          <w:rFonts w:hint="eastAsia"/>
        </w:rPr>
        <w:t>-2018</w:t>
      </w:r>
      <w:r>
        <w:rPr>
          <w:rFonts w:hint="eastAsia"/>
        </w:rPr>
        <w:t>年实现的</w:t>
      </w:r>
      <w:r w:rsidR="005E7805">
        <w:rPr>
          <w:rFonts w:hint="eastAsia"/>
        </w:rPr>
        <w:t>归母净利润不低于</w:t>
      </w:r>
      <w:r w:rsidR="005E7805">
        <w:rPr>
          <w:rFonts w:hint="eastAsia"/>
        </w:rPr>
        <w:t>3.6</w:t>
      </w:r>
      <w:r w:rsidR="005E7805">
        <w:rPr>
          <w:rFonts w:hint="eastAsia"/>
        </w:rPr>
        <w:t>亿、</w:t>
      </w:r>
      <w:r w:rsidR="005E7805">
        <w:rPr>
          <w:rFonts w:hint="eastAsia"/>
        </w:rPr>
        <w:t>4.5</w:t>
      </w:r>
      <w:r w:rsidR="005E7805">
        <w:rPr>
          <w:rFonts w:hint="eastAsia"/>
        </w:rPr>
        <w:t>亿、</w:t>
      </w:r>
      <w:r w:rsidR="005E7805">
        <w:rPr>
          <w:rFonts w:hint="eastAsia"/>
        </w:rPr>
        <w:t>5.625</w:t>
      </w:r>
      <w:r w:rsidR="005E7805">
        <w:rPr>
          <w:rFonts w:hint="eastAsia"/>
        </w:rPr>
        <w:t>亿元，</w:t>
      </w:r>
      <w:r w:rsidR="00E021CD">
        <w:rPr>
          <w:rFonts w:hint="eastAsia"/>
        </w:rPr>
        <w:t>而</w:t>
      </w:r>
      <w:r w:rsidR="00E021CD">
        <w:rPr>
          <w:rFonts w:hint="eastAsia"/>
        </w:rPr>
        <w:t>2015</w:t>
      </w:r>
      <w:r w:rsidR="00E021CD">
        <w:rPr>
          <w:rFonts w:hint="eastAsia"/>
        </w:rPr>
        <w:t>年公司实现归母净利润</w:t>
      </w:r>
      <w:r w:rsidR="00E021CD">
        <w:rPr>
          <w:rFonts w:hint="eastAsia"/>
        </w:rPr>
        <w:t>1.28</w:t>
      </w:r>
      <w:r w:rsidR="00E021CD">
        <w:rPr>
          <w:rFonts w:hint="eastAsia"/>
        </w:rPr>
        <w:t>亿，承诺利润的实现可能性存在疑问。</w:t>
      </w:r>
    </w:p>
    <w:p w14:paraId="23FD9E64" w14:textId="77777777" w:rsidR="00E021CD" w:rsidRPr="00FD174C" w:rsidRDefault="00E021CD">
      <w:r>
        <w:rPr>
          <w:rFonts w:hint="eastAsia"/>
        </w:rPr>
        <w:t xml:space="preserve">    </w:t>
      </w:r>
    </w:p>
    <w:p w14:paraId="53B22D08" w14:textId="77777777" w:rsidR="0042023F" w:rsidRPr="00F30F33" w:rsidRDefault="009578BA">
      <w:pPr>
        <w:rPr>
          <w:b/>
        </w:rPr>
      </w:pPr>
      <w:r w:rsidRPr="00F30F33">
        <w:rPr>
          <w:rFonts w:hint="eastAsia"/>
          <w:b/>
        </w:rPr>
        <w:t>7</w:t>
      </w:r>
      <w:r w:rsidRPr="00F30F33">
        <w:rPr>
          <w:rFonts w:hint="eastAsia"/>
          <w:b/>
        </w:rPr>
        <w:t>、评估游戏行业上市公司的核心指标是什么？列出卧龙的两次并购公告中被收购游戏公司的核心运营数据。</w:t>
      </w:r>
    </w:p>
    <w:p w14:paraId="7576696A" w14:textId="77777777" w:rsidR="009578BA" w:rsidRDefault="000E5CD7">
      <w:r>
        <w:rPr>
          <w:rFonts w:hint="eastAsia"/>
        </w:rPr>
        <w:t xml:space="preserve">    </w:t>
      </w:r>
      <w:r w:rsidR="00001FDE">
        <w:rPr>
          <w:rFonts w:hint="eastAsia"/>
        </w:rPr>
        <w:t>评估</w:t>
      </w:r>
      <w:r>
        <w:rPr>
          <w:rFonts w:hint="eastAsia"/>
        </w:rPr>
        <w:t>网络游戏公司</w:t>
      </w:r>
      <w:r w:rsidR="003F1C1C">
        <w:rPr>
          <w:rFonts w:hint="eastAsia"/>
        </w:rPr>
        <w:t>核心指标包括</w:t>
      </w:r>
      <w:r w:rsidR="005A6350">
        <w:rPr>
          <w:rFonts w:hint="eastAsia"/>
        </w:rPr>
        <w:t>月活跃用户数、付费用户数、</w:t>
      </w:r>
      <w:r w:rsidR="003F1C1C">
        <w:rPr>
          <w:rFonts w:hint="eastAsia"/>
        </w:rPr>
        <w:t>月活跃用户付费率、</w:t>
      </w:r>
      <w:r w:rsidR="005A6350">
        <w:t>ARPPU</w:t>
      </w:r>
      <w:r w:rsidR="005A6350">
        <w:rPr>
          <w:rFonts w:hint="eastAsia"/>
        </w:rPr>
        <w:t>值</w:t>
      </w:r>
      <w:r w:rsidR="0020732D">
        <w:rPr>
          <w:rFonts w:hint="eastAsia"/>
        </w:rPr>
        <w:t>（单位付费用户平均消费水平）、游戏流水、</w:t>
      </w:r>
      <w:r w:rsidR="00D57A61">
        <w:t>IP</w:t>
      </w:r>
      <w:r w:rsidR="00D57A61">
        <w:rPr>
          <w:rFonts w:hint="eastAsia"/>
        </w:rPr>
        <w:t>数量</w:t>
      </w:r>
      <w:r w:rsidR="0020732D">
        <w:rPr>
          <w:rFonts w:hint="eastAsia"/>
        </w:rPr>
        <w:t>等。</w:t>
      </w:r>
    </w:p>
    <w:p w14:paraId="5AB6FBB8" w14:textId="77777777" w:rsidR="00E62F91" w:rsidRDefault="007D05ED">
      <w:r>
        <w:rPr>
          <w:rFonts w:hint="eastAsia"/>
        </w:rPr>
        <w:t xml:space="preserve">    </w:t>
      </w:r>
      <w:r w:rsidR="00E62F91">
        <w:rPr>
          <w:rFonts w:hint="eastAsia"/>
        </w:rPr>
        <w:t>1</w:t>
      </w:r>
      <w:r w:rsidR="00E62F91">
        <w:rPr>
          <w:rFonts w:hint="eastAsia"/>
        </w:rPr>
        <w:t>）墨麟股份</w:t>
      </w:r>
    </w:p>
    <w:p w14:paraId="38E3B78F" w14:textId="77777777" w:rsidR="005663D6" w:rsidRDefault="007D05ED">
      <w:r>
        <w:rPr>
          <w:rFonts w:hint="eastAsia"/>
        </w:rPr>
        <w:t xml:space="preserve">    </w:t>
      </w:r>
      <w:r w:rsidR="003F1C1C">
        <w:rPr>
          <w:rFonts w:hint="eastAsia"/>
        </w:rPr>
        <w:t>本次重组，独立财务顾问对以下四款游戏开展了尽职调查，该四款游戏报告期内累计收入占墨麟股份累计收入的比重为</w:t>
      </w:r>
      <w:r w:rsidR="003F1C1C">
        <w:rPr>
          <w:rFonts w:hint="eastAsia"/>
        </w:rPr>
        <w:t>39.04%</w:t>
      </w:r>
      <w:r w:rsidR="003F1C1C">
        <w:rPr>
          <w:rFonts w:hint="eastAsia"/>
        </w:rPr>
        <w:t>。</w:t>
      </w:r>
    </w:p>
    <w:tbl>
      <w:tblPr>
        <w:tblStyle w:val="a3"/>
        <w:tblW w:w="9301" w:type="dxa"/>
        <w:tblInd w:w="-213" w:type="dxa"/>
        <w:tblLook w:val="04A0" w:firstRow="1" w:lastRow="0" w:firstColumn="1" w:lastColumn="0" w:noHBand="0" w:noVBand="1"/>
      </w:tblPr>
      <w:tblGrid>
        <w:gridCol w:w="1885"/>
        <w:gridCol w:w="1446"/>
        <w:gridCol w:w="1417"/>
        <w:gridCol w:w="1329"/>
        <w:gridCol w:w="1260"/>
        <w:gridCol w:w="1964"/>
      </w:tblGrid>
      <w:tr w:rsidR="00EF6DDD" w14:paraId="32F3FAE6" w14:textId="77777777" w:rsidTr="00EF6DDD">
        <w:tc>
          <w:tcPr>
            <w:tcW w:w="1885" w:type="dxa"/>
          </w:tcPr>
          <w:p w14:paraId="1305AA24" w14:textId="77777777" w:rsidR="000421FC" w:rsidRDefault="000421FC" w:rsidP="00EF6DDD">
            <w:pPr>
              <w:jc w:val="center"/>
            </w:pPr>
            <w:r>
              <w:rPr>
                <w:rFonts w:hint="eastAsia"/>
              </w:rPr>
              <w:t>游戏名称</w:t>
            </w:r>
          </w:p>
        </w:tc>
        <w:tc>
          <w:tcPr>
            <w:tcW w:w="1446" w:type="dxa"/>
          </w:tcPr>
          <w:p w14:paraId="5B5CDB9A" w14:textId="77777777" w:rsidR="000421FC" w:rsidRDefault="000421FC" w:rsidP="00EF6DDD">
            <w:pPr>
              <w:jc w:val="center"/>
            </w:pPr>
            <w:r>
              <w:rPr>
                <w:rFonts w:hint="eastAsia"/>
              </w:rPr>
              <w:t>时间</w:t>
            </w:r>
          </w:p>
        </w:tc>
        <w:tc>
          <w:tcPr>
            <w:tcW w:w="1417" w:type="dxa"/>
          </w:tcPr>
          <w:p w14:paraId="14618973" w14:textId="77777777" w:rsidR="000421FC" w:rsidRDefault="000421FC" w:rsidP="00EF6DDD">
            <w:pPr>
              <w:jc w:val="center"/>
            </w:pPr>
            <w:r>
              <w:rPr>
                <w:rFonts w:hint="eastAsia"/>
              </w:rPr>
              <w:t>活跃用户数（人）</w:t>
            </w:r>
          </w:p>
        </w:tc>
        <w:tc>
          <w:tcPr>
            <w:tcW w:w="1329" w:type="dxa"/>
          </w:tcPr>
          <w:p w14:paraId="7CE2C6D5" w14:textId="77777777" w:rsidR="000421FC" w:rsidRDefault="000421FC" w:rsidP="00EF6DDD">
            <w:pPr>
              <w:jc w:val="center"/>
            </w:pPr>
            <w:r>
              <w:rPr>
                <w:rFonts w:hint="eastAsia"/>
              </w:rPr>
              <w:t>付费用户数（人）</w:t>
            </w:r>
          </w:p>
        </w:tc>
        <w:tc>
          <w:tcPr>
            <w:tcW w:w="1260" w:type="dxa"/>
          </w:tcPr>
          <w:p w14:paraId="22F2D337" w14:textId="77777777" w:rsidR="000421FC" w:rsidRDefault="000421FC" w:rsidP="00EF6DDD">
            <w:pPr>
              <w:jc w:val="center"/>
            </w:pPr>
            <w:r>
              <w:rPr>
                <w:rFonts w:hint="eastAsia"/>
              </w:rPr>
              <w:t>活跃用户付费率</w:t>
            </w:r>
          </w:p>
        </w:tc>
        <w:tc>
          <w:tcPr>
            <w:tcW w:w="1964" w:type="dxa"/>
          </w:tcPr>
          <w:p w14:paraId="589DA5F1" w14:textId="77777777" w:rsidR="000421FC" w:rsidRDefault="000421FC" w:rsidP="00EF6DDD">
            <w:pPr>
              <w:jc w:val="center"/>
            </w:pPr>
            <w:r>
              <w:rPr>
                <w:rFonts w:hint="eastAsia"/>
              </w:rPr>
              <w:t>付费玩家当月平均充值额（元）</w:t>
            </w:r>
          </w:p>
        </w:tc>
      </w:tr>
      <w:tr w:rsidR="00EF6DDD" w14:paraId="6EC8F19D" w14:textId="77777777" w:rsidTr="00EF6DDD">
        <w:tc>
          <w:tcPr>
            <w:tcW w:w="1885" w:type="dxa"/>
            <w:vMerge w:val="restart"/>
            <w:vAlign w:val="center"/>
          </w:tcPr>
          <w:p w14:paraId="54ED160E" w14:textId="77777777" w:rsidR="003F1C1C" w:rsidRDefault="003F1C1C" w:rsidP="00EF6DDD">
            <w:pPr>
              <w:jc w:val="center"/>
            </w:pPr>
            <w:r>
              <w:rPr>
                <w:rFonts w:hint="eastAsia"/>
              </w:rPr>
              <w:t>秦美人（国服）</w:t>
            </w:r>
          </w:p>
        </w:tc>
        <w:tc>
          <w:tcPr>
            <w:tcW w:w="1446" w:type="dxa"/>
          </w:tcPr>
          <w:p w14:paraId="26740263" w14:textId="77777777" w:rsidR="003F1C1C" w:rsidRDefault="003F1C1C" w:rsidP="000421FC">
            <w:pPr>
              <w:jc w:val="center"/>
            </w:pPr>
            <w:r>
              <w:rPr>
                <w:rFonts w:hint="eastAsia"/>
              </w:rPr>
              <w:t>2014-12</w:t>
            </w:r>
          </w:p>
        </w:tc>
        <w:tc>
          <w:tcPr>
            <w:tcW w:w="1417" w:type="dxa"/>
          </w:tcPr>
          <w:p w14:paraId="4B8C47A3" w14:textId="77777777" w:rsidR="003F1C1C" w:rsidRDefault="003F1C1C" w:rsidP="000421FC">
            <w:pPr>
              <w:jc w:val="right"/>
            </w:pPr>
            <w:r>
              <w:rPr>
                <w:rFonts w:hint="eastAsia"/>
              </w:rPr>
              <w:t>130</w:t>
            </w:r>
            <w:r>
              <w:t>,464</w:t>
            </w:r>
          </w:p>
        </w:tc>
        <w:tc>
          <w:tcPr>
            <w:tcW w:w="1329" w:type="dxa"/>
          </w:tcPr>
          <w:p w14:paraId="5FA5107B" w14:textId="77777777" w:rsidR="003F1C1C" w:rsidRDefault="003F1C1C" w:rsidP="000421FC">
            <w:pPr>
              <w:jc w:val="right"/>
            </w:pPr>
            <w:r>
              <w:t>5,121</w:t>
            </w:r>
          </w:p>
        </w:tc>
        <w:tc>
          <w:tcPr>
            <w:tcW w:w="1260" w:type="dxa"/>
          </w:tcPr>
          <w:p w14:paraId="5A761779" w14:textId="77777777" w:rsidR="003F1C1C" w:rsidRDefault="003F1C1C" w:rsidP="000421FC">
            <w:pPr>
              <w:jc w:val="right"/>
            </w:pPr>
            <w:r>
              <w:t>3.93%</w:t>
            </w:r>
          </w:p>
        </w:tc>
        <w:tc>
          <w:tcPr>
            <w:tcW w:w="1964" w:type="dxa"/>
          </w:tcPr>
          <w:p w14:paraId="7F6F6029" w14:textId="77777777" w:rsidR="003F1C1C" w:rsidRDefault="003F1C1C" w:rsidP="000421FC">
            <w:pPr>
              <w:jc w:val="right"/>
            </w:pPr>
            <w:r>
              <w:t>863.45</w:t>
            </w:r>
          </w:p>
        </w:tc>
      </w:tr>
      <w:tr w:rsidR="00EF6DDD" w14:paraId="0FC8EEB3" w14:textId="77777777" w:rsidTr="00EF6DDD">
        <w:tc>
          <w:tcPr>
            <w:tcW w:w="1885" w:type="dxa"/>
            <w:vMerge/>
            <w:vAlign w:val="center"/>
          </w:tcPr>
          <w:p w14:paraId="2DEA0374" w14:textId="77777777" w:rsidR="003F1C1C" w:rsidRDefault="003F1C1C" w:rsidP="00EF6DDD">
            <w:pPr>
              <w:jc w:val="center"/>
            </w:pPr>
          </w:p>
        </w:tc>
        <w:tc>
          <w:tcPr>
            <w:tcW w:w="1446" w:type="dxa"/>
          </w:tcPr>
          <w:p w14:paraId="059356E1" w14:textId="77777777" w:rsidR="003F1C1C" w:rsidRDefault="003F1C1C" w:rsidP="000421FC">
            <w:pPr>
              <w:jc w:val="center"/>
            </w:pPr>
            <w:r>
              <w:t>2015-12</w:t>
            </w:r>
          </w:p>
        </w:tc>
        <w:tc>
          <w:tcPr>
            <w:tcW w:w="1417" w:type="dxa"/>
          </w:tcPr>
          <w:p w14:paraId="0078B222" w14:textId="77777777" w:rsidR="003F1C1C" w:rsidRDefault="003F1C1C" w:rsidP="000421FC">
            <w:pPr>
              <w:jc w:val="right"/>
            </w:pPr>
            <w:r>
              <w:t>39,166</w:t>
            </w:r>
          </w:p>
        </w:tc>
        <w:tc>
          <w:tcPr>
            <w:tcW w:w="1329" w:type="dxa"/>
          </w:tcPr>
          <w:p w14:paraId="31568544" w14:textId="77777777" w:rsidR="003F1C1C" w:rsidRDefault="003F1C1C" w:rsidP="000421FC">
            <w:pPr>
              <w:jc w:val="right"/>
            </w:pPr>
            <w:r>
              <w:t>5,519</w:t>
            </w:r>
          </w:p>
        </w:tc>
        <w:tc>
          <w:tcPr>
            <w:tcW w:w="1260" w:type="dxa"/>
          </w:tcPr>
          <w:p w14:paraId="5F433D0C" w14:textId="77777777" w:rsidR="003F1C1C" w:rsidRDefault="003F1C1C" w:rsidP="000421FC">
            <w:pPr>
              <w:jc w:val="right"/>
            </w:pPr>
            <w:r>
              <w:t>14.09%</w:t>
            </w:r>
          </w:p>
        </w:tc>
        <w:tc>
          <w:tcPr>
            <w:tcW w:w="1964" w:type="dxa"/>
          </w:tcPr>
          <w:p w14:paraId="3189D54E" w14:textId="77777777" w:rsidR="003F1C1C" w:rsidRDefault="003F1C1C" w:rsidP="000421FC">
            <w:pPr>
              <w:jc w:val="right"/>
            </w:pPr>
            <w:r>
              <w:t>384.72</w:t>
            </w:r>
          </w:p>
        </w:tc>
      </w:tr>
      <w:tr w:rsidR="00EF6DDD" w14:paraId="395F1A7C" w14:textId="77777777" w:rsidTr="00EF6DDD">
        <w:tc>
          <w:tcPr>
            <w:tcW w:w="1885" w:type="dxa"/>
            <w:vMerge/>
            <w:vAlign w:val="center"/>
          </w:tcPr>
          <w:p w14:paraId="2A7A08F1" w14:textId="77777777" w:rsidR="003F1C1C" w:rsidRDefault="003F1C1C" w:rsidP="00EF6DDD">
            <w:pPr>
              <w:jc w:val="center"/>
            </w:pPr>
          </w:p>
        </w:tc>
        <w:tc>
          <w:tcPr>
            <w:tcW w:w="1446" w:type="dxa"/>
          </w:tcPr>
          <w:p w14:paraId="26B5DD12" w14:textId="77777777" w:rsidR="003F1C1C" w:rsidRDefault="003F1C1C" w:rsidP="000421FC">
            <w:pPr>
              <w:jc w:val="center"/>
            </w:pPr>
            <w:r>
              <w:t>2016-03</w:t>
            </w:r>
          </w:p>
        </w:tc>
        <w:tc>
          <w:tcPr>
            <w:tcW w:w="1417" w:type="dxa"/>
          </w:tcPr>
          <w:p w14:paraId="29EEB503" w14:textId="77777777" w:rsidR="003F1C1C" w:rsidRDefault="003F1C1C" w:rsidP="000421FC">
            <w:pPr>
              <w:jc w:val="right"/>
            </w:pPr>
            <w:r>
              <w:t>34,782</w:t>
            </w:r>
          </w:p>
        </w:tc>
        <w:tc>
          <w:tcPr>
            <w:tcW w:w="1329" w:type="dxa"/>
          </w:tcPr>
          <w:p w14:paraId="45A2F3C7" w14:textId="77777777" w:rsidR="003F1C1C" w:rsidRDefault="003F1C1C" w:rsidP="000421FC">
            <w:pPr>
              <w:jc w:val="right"/>
            </w:pPr>
            <w:r>
              <w:t>3,206</w:t>
            </w:r>
          </w:p>
        </w:tc>
        <w:tc>
          <w:tcPr>
            <w:tcW w:w="1260" w:type="dxa"/>
          </w:tcPr>
          <w:p w14:paraId="176F0245" w14:textId="77777777" w:rsidR="003F1C1C" w:rsidRDefault="003F1C1C" w:rsidP="000421FC">
            <w:pPr>
              <w:jc w:val="right"/>
            </w:pPr>
            <w:r>
              <w:t>9.22%</w:t>
            </w:r>
          </w:p>
        </w:tc>
        <w:tc>
          <w:tcPr>
            <w:tcW w:w="1964" w:type="dxa"/>
          </w:tcPr>
          <w:p w14:paraId="18B6D6E7" w14:textId="77777777" w:rsidR="003F1C1C" w:rsidRDefault="003F1C1C" w:rsidP="000421FC">
            <w:pPr>
              <w:jc w:val="right"/>
            </w:pPr>
            <w:r>
              <w:t>417.94</w:t>
            </w:r>
          </w:p>
        </w:tc>
      </w:tr>
      <w:tr w:rsidR="00EF6DDD" w14:paraId="290C9450" w14:textId="77777777" w:rsidTr="00EF6DDD">
        <w:tc>
          <w:tcPr>
            <w:tcW w:w="1885" w:type="dxa"/>
            <w:vMerge w:val="restart"/>
            <w:vAlign w:val="center"/>
          </w:tcPr>
          <w:p w14:paraId="1087D43A" w14:textId="77777777" w:rsidR="00C03D66" w:rsidRDefault="00C03D66" w:rsidP="00EF6DDD">
            <w:pPr>
              <w:jc w:val="center"/>
            </w:pPr>
            <w:r>
              <w:rPr>
                <w:rFonts w:hint="eastAsia"/>
              </w:rPr>
              <w:t>战龙三国（国服）</w:t>
            </w:r>
          </w:p>
        </w:tc>
        <w:tc>
          <w:tcPr>
            <w:tcW w:w="1446" w:type="dxa"/>
          </w:tcPr>
          <w:p w14:paraId="45E56BFE" w14:textId="77777777" w:rsidR="00C03D66" w:rsidRDefault="00C03D66" w:rsidP="000421FC">
            <w:pPr>
              <w:jc w:val="center"/>
            </w:pPr>
            <w:r>
              <w:rPr>
                <w:rFonts w:hint="eastAsia"/>
              </w:rPr>
              <w:t>2014-12</w:t>
            </w:r>
          </w:p>
        </w:tc>
        <w:tc>
          <w:tcPr>
            <w:tcW w:w="1417" w:type="dxa"/>
          </w:tcPr>
          <w:p w14:paraId="0D6CCE96" w14:textId="77777777" w:rsidR="00C03D66" w:rsidRDefault="00C03D66" w:rsidP="000421FC">
            <w:pPr>
              <w:jc w:val="right"/>
            </w:pPr>
            <w:r>
              <w:rPr>
                <w:rFonts w:hint="eastAsia"/>
              </w:rPr>
              <w:t>492</w:t>
            </w:r>
            <w:r>
              <w:t>,460</w:t>
            </w:r>
          </w:p>
        </w:tc>
        <w:tc>
          <w:tcPr>
            <w:tcW w:w="1329" w:type="dxa"/>
          </w:tcPr>
          <w:p w14:paraId="223E05C5" w14:textId="77777777" w:rsidR="00C03D66" w:rsidRDefault="00C03D66" w:rsidP="000421FC">
            <w:pPr>
              <w:jc w:val="right"/>
            </w:pPr>
            <w:r>
              <w:t>29,628</w:t>
            </w:r>
          </w:p>
        </w:tc>
        <w:tc>
          <w:tcPr>
            <w:tcW w:w="1260" w:type="dxa"/>
          </w:tcPr>
          <w:p w14:paraId="40700FA9" w14:textId="77777777" w:rsidR="00C03D66" w:rsidRDefault="00C03D66" w:rsidP="000421FC">
            <w:pPr>
              <w:jc w:val="right"/>
            </w:pPr>
            <w:r>
              <w:t>6.02%</w:t>
            </w:r>
          </w:p>
        </w:tc>
        <w:tc>
          <w:tcPr>
            <w:tcW w:w="1964" w:type="dxa"/>
          </w:tcPr>
          <w:p w14:paraId="2615AFF8" w14:textId="77777777" w:rsidR="00C03D66" w:rsidRDefault="00C03D66" w:rsidP="000421FC">
            <w:pPr>
              <w:jc w:val="right"/>
            </w:pPr>
            <w:r>
              <w:t>383.57</w:t>
            </w:r>
          </w:p>
        </w:tc>
      </w:tr>
      <w:tr w:rsidR="00EF6DDD" w14:paraId="15E7ABDB" w14:textId="77777777" w:rsidTr="00EF6DDD">
        <w:tc>
          <w:tcPr>
            <w:tcW w:w="1885" w:type="dxa"/>
            <w:vMerge/>
            <w:vAlign w:val="center"/>
          </w:tcPr>
          <w:p w14:paraId="62A28505" w14:textId="77777777" w:rsidR="00C03D66" w:rsidRDefault="00C03D66" w:rsidP="00EF6DDD">
            <w:pPr>
              <w:jc w:val="center"/>
            </w:pPr>
          </w:p>
        </w:tc>
        <w:tc>
          <w:tcPr>
            <w:tcW w:w="1446" w:type="dxa"/>
          </w:tcPr>
          <w:p w14:paraId="0FD6075B" w14:textId="77777777" w:rsidR="00C03D66" w:rsidRDefault="00C03D66" w:rsidP="000421FC">
            <w:pPr>
              <w:jc w:val="center"/>
            </w:pPr>
            <w:r>
              <w:t>2015-12</w:t>
            </w:r>
          </w:p>
        </w:tc>
        <w:tc>
          <w:tcPr>
            <w:tcW w:w="1417" w:type="dxa"/>
          </w:tcPr>
          <w:p w14:paraId="20E4EF2C" w14:textId="77777777" w:rsidR="00C03D66" w:rsidRDefault="00C03D66" w:rsidP="000421FC">
            <w:pPr>
              <w:jc w:val="right"/>
            </w:pPr>
            <w:r>
              <w:t>199,545</w:t>
            </w:r>
          </w:p>
        </w:tc>
        <w:tc>
          <w:tcPr>
            <w:tcW w:w="1329" w:type="dxa"/>
          </w:tcPr>
          <w:p w14:paraId="09B83EE8" w14:textId="77777777" w:rsidR="00C03D66" w:rsidRDefault="00C03D66" w:rsidP="000421FC">
            <w:pPr>
              <w:jc w:val="right"/>
            </w:pPr>
            <w:r>
              <w:t>14,279</w:t>
            </w:r>
          </w:p>
        </w:tc>
        <w:tc>
          <w:tcPr>
            <w:tcW w:w="1260" w:type="dxa"/>
          </w:tcPr>
          <w:p w14:paraId="7C520E8A" w14:textId="77777777" w:rsidR="00C03D66" w:rsidRDefault="00C03D66" w:rsidP="000421FC">
            <w:pPr>
              <w:jc w:val="right"/>
            </w:pPr>
            <w:r>
              <w:t>7.16%</w:t>
            </w:r>
          </w:p>
        </w:tc>
        <w:tc>
          <w:tcPr>
            <w:tcW w:w="1964" w:type="dxa"/>
          </w:tcPr>
          <w:p w14:paraId="7304B02D" w14:textId="77777777" w:rsidR="00C03D66" w:rsidRDefault="00C03D66" w:rsidP="000421FC">
            <w:pPr>
              <w:jc w:val="right"/>
            </w:pPr>
            <w:r>
              <w:t>390.32</w:t>
            </w:r>
          </w:p>
        </w:tc>
      </w:tr>
      <w:tr w:rsidR="00EF6DDD" w14:paraId="7A711FA1" w14:textId="77777777" w:rsidTr="00EF6DDD">
        <w:tc>
          <w:tcPr>
            <w:tcW w:w="1885" w:type="dxa"/>
            <w:vMerge/>
            <w:vAlign w:val="center"/>
          </w:tcPr>
          <w:p w14:paraId="73B8AD9F" w14:textId="77777777" w:rsidR="00C03D66" w:rsidRDefault="00C03D66" w:rsidP="00EF6DDD">
            <w:pPr>
              <w:jc w:val="center"/>
            </w:pPr>
          </w:p>
        </w:tc>
        <w:tc>
          <w:tcPr>
            <w:tcW w:w="1446" w:type="dxa"/>
          </w:tcPr>
          <w:p w14:paraId="0EE9AE64" w14:textId="77777777" w:rsidR="00C03D66" w:rsidRDefault="00C03D66" w:rsidP="000421FC">
            <w:pPr>
              <w:jc w:val="center"/>
            </w:pPr>
            <w:r>
              <w:t>2016-03</w:t>
            </w:r>
          </w:p>
        </w:tc>
        <w:tc>
          <w:tcPr>
            <w:tcW w:w="1417" w:type="dxa"/>
          </w:tcPr>
          <w:p w14:paraId="35D3EF19" w14:textId="77777777" w:rsidR="00C03D66" w:rsidRDefault="00C03D66" w:rsidP="000421FC">
            <w:pPr>
              <w:jc w:val="right"/>
            </w:pPr>
            <w:r>
              <w:t>177,083</w:t>
            </w:r>
          </w:p>
        </w:tc>
        <w:tc>
          <w:tcPr>
            <w:tcW w:w="1329" w:type="dxa"/>
          </w:tcPr>
          <w:p w14:paraId="1E885179" w14:textId="77777777" w:rsidR="00C03D66" w:rsidRDefault="00C03D66" w:rsidP="000421FC">
            <w:pPr>
              <w:jc w:val="right"/>
            </w:pPr>
            <w:r>
              <w:t>11,546</w:t>
            </w:r>
          </w:p>
        </w:tc>
        <w:tc>
          <w:tcPr>
            <w:tcW w:w="1260" w:type="dxa"/>
          </w:tcPr>
          <w:p w14:paraId="6EAA5C0E" w14:textId="77777777" w:rsidR="00C03D66" w:rsidRDefault="00C03D66" w:rsidP="000421FC">
            <w:pPr>
              <w:jc w:val="right"/>
            </w:pPr>
            <w:r>
              <w:t>6.52%</w:t>
            </w:r>
          </w:p>
        </w:tc>
        <w:tc>
          <w:tcPr>
            <w:tcW w:w="1964" w:type="dxa"/>
          </w:tcPr>
          <w:p w14:paraId="189A81C5" w14:textId="77777777" w:rsidR="00C03D66" w:rsidRDefault="00C03D66" w:rsidP="000421FC">
            <w:pPr>
              <w:jc w:val="right"/>
            </w:pPr>
            <w:r>
              <w:t>460.28</w:t>
            </w:r>
          </w:p>
        </w:tc>
      </w:tr>
      <w:tr w:rsidR="00EF6DDD" w14:paraId="2C275D48" w14:textId="77777777" w:rsidTr="00EF6DDD">
        <w:tc>
          <w:tcPr>
            <w:tcW w:w="1885" w:type="dxa"/>
            <w:vMerge w:val="restart"/>
            <w:vAlign w:val="center"/>
          </w:tcPr>
          <w:p w14:paraId="60D7651D" w14:textId="77777777" w:rsidR="00A871B2" w:rsidRDefault="00A871B2" w:rsidP="00EF6DDD">
            <w:pPr>
              <w:jc w:val="center"/>
            </w:pPr>
            <w:r>
              <w:rPr>
                <w:rFonts w:hint="eastAsia"/>
              </w:rPr>
              <w:lastRenderedPageBreak/>
              <w:t>风云无双</w:t>
            </w:r>
          </w:p>
        </w:tc>
        <w:tc>
          <w:tcPr>
            <w:tcW w:w="1446" w:type="dxa"/>
          </w:tcPr>
          <w:p w14:paraId="424EECAA" w14:textId="77777777" w:rsidR="00A871B2" w:rsidRDefault="00A871B2" w:rsidP="000421FC">
            <w:pPr>
              <w:jc w:val="center"/>
            </w:pPr>
            <w:r>
              <w:rPr>
                <w:rFonts w:hint="eastAsia"/>
              </w:rPr>
              <w:t>2014-12</w:t>
            </w:r>
          </w:p>
        </w:tc>
        <w:tc>
          <w:tcPr>
            <w:tcW w:w="1417" w:type="dxa"/>
          </w:tcPr>
          <w:p w14:paraId="68DA1B82" w14:textId="77777777" w:rsidR="00A871B2" w:rsidRDefault="00A871B2" w:rsidP="000421FC">
            <w:pPr>
              <w:jc w:val="right"/>
            </w:pPr>
            <w:r>
              <w:rPr>
                <w:rFonts w:hint="eastAsia"/>
              </w:rPr>
              <w:t>1</w:t>
            </w:r>
            <w:r>
              <w:t>,</w:t>
            </w:r>
            <w:r>
              <w:rPr>
                <w:rFonts w:hint="eastAsia"/>
              </w:rPr>
              <w:t>692</w:t>
            </w:r>
            <w:r>
              <w:t>,</w:t>
            </w:r>
            <w:r>
              <w:rPr>
                <w:rFonts w:hint="eastAsia"/>
              </w:rPr>
              <w:t>514</w:t>
            </w:r>
          </w:p>
        </w:tc>
        <w:tc>
          <w:tcPr>
            <w:tcW w:w="1329" w:type="dxa"/>
          </w:tcPr>
          <w:p w14:paraId="125E3DB2" w14:textId="77777777" w:rsidR="00A871B2" w:rsidRDefault="00A871B2" w:rsidP="000421FC">
            <w:pPr>
              <w:jc w:val="right"/>
            </w:pPr>
            <w:r>
              <w:t>152,966</w:t>
            </w:r>
          </w:p>
        </w:tc>
        <w:tc>
          <w:tcPr>
            <w:tcW w:w="1260" w:type="dxa"/>
          </w:tcPr>
          <w:p w14:paraId="4471859E" w14:textId="77777777" w:rsidR="00A871B2" w:rsidRDefault="00A871B2" w:rsidP="000421FC">
            <w:pPr>
              <w:jc w:val="right"/>
            </w:pPr>
            <w:r>
              <w:t>9.04%</w:t>
            </w:r>
          </w:p>
        </w:tc>
        <w:tc>
          <w:tcPr>
            <w:tcW w:w="1964" w:type="dxa"/>
          </w:tcPr>
          <w:p w14:paraId="521FE1D4" w14:textId="77777777" w:rsidR="00A871B2" w:rsidRDefault="00A871B2" w:rsidP="000421FC">
            <w:pPr>
              <w:jc w:val="right"/>
            </w:pPr>
            <w:r>
              <w:t>293.48</w:t>
            </w:r>
          </w:p>
        </w:tc>
      </w:tr>
      <w:tr w:rsidR="00EF6DDD" w14:paraId="313000C8" w14:textId="77777777" w:rsidTr="00EF6DDD">
        <w:tc>
          <w:tcPr>
            <w:tcW w:w="1885" w:type="dxa"/>
            <w:vMerge/>
            <w:vAlign w:val="center"/>
          </w:tcPr>
          <w:p w14:paraId="7D324FC5" w14:textId="77777777" w:rsidR="00A871B2" w:rsidRDefault="00A871B2" w:rsidP="00EF6DDD">
            <w:pPr>
              <w:jc w:val="center"/>
            </w:pPr>
          </w:p>
        </w:tc>
        <w:tc>
          <w:tcPr>
            <w:tcW w:w="1446" w:type="dxa"/>
          </w:tcPr>
          <w:p w14:paraId="0E2B36C0" w14:textId="77777777" w:rsidR="00A871B2" w:rsidRDefault="00A871B2" w:rsidP="000421FC">
            <w:pPr>
              <w:jc w:val="center"/>
            </w:pPr>
            <w:r>
              <w:t>2015-12</w:t>
            </w:r>
          </w:p>
        </w:tc>
        <w:tc>
          <w:tcPr>
            <w:tcW w:w="1417" w:type="dxa"/>
          </w:tcPr>
          <w:p w14:paraId="2AE012BB" w14:textId="77777777" w:rsidR="00A871B2" w:rsidRDefault="00A871B2" w:rsidP="000421FC">
            <w:pPr>
              <w:jc w:val="right"/>
            </w:pPr>
            <w:r>
              <w:t>183,737</w:t>
            </w:r>
          </w:p>
        </w:tc>
        <w:tc>
          <w:tcPr>
            <w:tcW w:w="1329" w:type="dxa"/>
          </w:tcPr>
          <w:p w14:paraId="713B6580" w14:textId="77777777" w:rsidR="00A871B2" w:rsidRDefault="00A871B2" w:rsidP="000421FC">
            <w:pPr>
              <w:jc w:val="right"/>
            </w:pPr>
            <w:r>
              <w:t>20,573</w:t>
            </w:r>
          </w:p>
        </w:tc>
        <w:tc>
          <w:tcPr>
            <w:tcW w:w="1260" w:type="dxa"/>
          </w:tcPr>
          <w:p w14:paraId="0EB1C9FA" w14:textId="77777777" w:rsidR="00A871B2" w:rsidRDefault="00A871B2" w:rsidP="000421FC">
            <w:pPr>
              <w:jc w:val="right"/>
            </w:pPr>
            <w:r>
              <w:t>11.20%</w:t>
            </w:r>
          </w:p>
        </w:tc>
        <w:tc>
          <w:tcPr>
            <w:tcW w:w="1964" w:type="dxa"/>
          </w:tcPr>
          <w:p w14:paraId="559E33A4" w14:textId="77777777" w:rsidR="00A871B2" w:rsidRDefault="00A871B2" w:rsidP="000421FC">
            <w:pPr>
              <w:jc w:val="right"/>
            </w:pPr>
            <w:r>
              <w:t>279.30</w:t>
            </w:r>
          </w:p>
        </w:tc>
      </w:tr>
      <w:tr w:rsidR="00EF6DDD" w14:paraId="68E6B37E" w14:textId="77777777" w:rsidTr="00EF6DDD">
        <w:tc>
          <w:tcPr>
            <w:tcW w:w="1885" w:type="dxa"/>
            <w:vMerge/>
            <w:vAlign w:val="center"/>
          </w:tcPr>
          <w:p w14:paraId="199AC935" w14:textId="77777777" w:rsidR="00A871B2" w:rsidRDefault="00A871B2" w:rsidP="00EF6DDD">
            <w:pPr>
              <w:jc w:val="center"/>
            </w:pPr>
          </w:p>
        </w:tc>
        <w:tc>
          <w:tcPr>
            <w:tcW w:w="1446" w:type="dxa"/>
          </w:tcPr>
          <w:p w14:paraId="6225B3D8" w14:textId="77777777" w:rsidR="00A871B2" w:rsidRDefault="00A871B2" w:rsidP="000421FC">
            <w:pPr>
              <w:jc w:val="center"/>
            </w:pPr>
            <w:r>
              <w:t>2016-03</w:t>
            </w:r>
          </w:p>
        </w:tc>
        <w:tc>
          <w:tcPr>
            <w:tcW w:w="1417" w:type="dxa"/>
          </w:tcPr>
          <w:p w14:paraId="5B714B25" w14:textId="77777777" w:rsidR="00A871B2" w:rsidRDefault="00A871B2" w:rsidP="000421FC">
            <w:pPr>
              <w:jc w:val="right"/>
            </w:pPr>
            <w:r>
              <w:t>98,283</w:t>
            </w:r>
          </w:p>
        </w:tc>
        <w:tc>
          <w:tcPr>
            <w:tcW w:w="1329" w:type="dxa"/>
          </w:tcPr>
          <w:p w14:paraId="245CB6F1" w14:textId="77777777" w:rsidR="00A871B2" w:rsidRDefault="00A871B2" w:rsidP="000421FC">
            <w:pPr>
              <w:jc w:val="right"/>
            </w:pPr>
            <w:r>
              <w:t>13,875</w:t>
            </w:r>
          </w:p>
        </w:tc>
        <w:tc>
          <w:tcPr>
            <w:tcW w:w="1260" w:type="dxa"/>
          </w:tcPr>
          <w:p w14:paraId="13E2EFA1" w14:textId="77777777" w:rsidR="00A871B2" w:rsidRDefault="00A871B2" w:rsidP="000421FC">
            <w:pPr>
              <w:jc w:val="right"/>
            </w:pPr>
            <w:r>
              <w:t>14.12%</w:t>
            </w:r>
          </w:p>
        </w:tc>
        <w:tc>
          <w:tcPr>
            <w:tcW w:w="1964" w:type="dxa"/>
          </w:tcPr>
          <w:p w14:paraId="040FB02F" w14:textId="77777777" w:rsidR="00A871B2" w:rsidRDefault="00A871B2" w:rsidP="000421FC">
            <w:pPr>
              <w:jc w:val="right"/>
            </w:pPr>
            <w:r>
              <w:t>286.68</w:t>
            </w:r>
          </w:p>
        </w:tc>
      </w:tr>
      <w:tr w:rsidR="00EF6DDD" w14:paraId="52782882" w14:textId="77777777" w:rsidTr="00EF6DDD">
        <w:tc>
          <w:tcPr>
            <w:tcW w:w="1885" w:type="dxa"/>
            <w:vMerge w:val="restart"/>
            <w:vAlign w:val="center"/>
          </w:tcPr>
          <w:p w14:paraId="7580E05B" w14:textId="77777777" w:rsidR="00C03D66" w:rsidRDefault="00C03D66" w:rsidP="00EF6DDD">
            <w:pPr>
              <w:jc w:val="center"/>
            </w:pPr>
            <w:r>
              <w:rPr>
                <w:rFonts w:hint="eastAsia"/>
              </w:rPr>
              <w:t>古剑奇谭</w:t>
            </w:r>
          </w:p>
        </w:tc>
        <w:tc>
          <w:tcPr>
            <w:tcW w:w="1446" w:type="dxa"/>
          </w:tcPr>
          <w:p w14:paraId="6C2BFF5D" w14:textId="77777777" w:rsidR="00C03D66" w:rsidRDefault="00C03D66" w:rsidP="006F026B">
            <w:pPr>
              <w:jc w:val="center"/>
            </w:pPr>
            <w:r>
              <w:rPr>
                <w:rFonts w:hint="eastAsia"/>
              </w:rPr>
              <w:t>2015</w:t>
            </w:r>
            <w:r>
              <w:t>-12</w:t>
            </w:r>
          </w:p>
        </w:tc>
        <w:tc>
          <w:tcPr>
            <w:tcW w:w="1417" w:type="dxa"/>
          </w:tcPr>
          <w:p w14:paraId="6EF079CF" w14:textId="77777777" w:rsidR="00C03D66" w:rsidRDefault="00C03D66" w:rsidP="006F026B">
            <w:pPr>
              <w:jc w:val="right"/>
            </w:pPr>
            <w:r>
              <w:t>530,215</w:t>
            </w:r>
          </w:p>
        </w:tc>
        <w:tc>
          <w:tcPr>
            <w:tcW w:w="1329" w:type="dxa"/>
          </w:tcPr>
          <w:p w14:paraId="1A7DF11D" w14:textId="77777777" w:rsidR="00C03D66" w:rsidRDefault="00C03D66" w:rsidP="006F026B">
            <w:pPr>
              <w:jc w:val="right"/>
            </w:pPr>
            <w:r>
              <w:t>37,814</w:t>
            </w:r>
          </w:p>
        </w:tc>
        <w:tc>
          <w:tcPr>
            <w:tcW w:w="1260" w:type="dxa"/>
          </w:tcPr>
          <w:p w14:paraId="6C97A333" w14:textId="77777777" w:rsidR="00C03D66" w:rsidRDefault="00C03D66" w:rsidP="006F026B">
            <w:pPr>
              <w:jc w:val="right"/>
            </w:pPr>
            <w:r>
              <w:t>7.13%</w:t>
            </w:r>
          </w:p>
        </w:tc>
        <w:tc>
          <w:tcPr>
            <w:tcW w:w="1964" w:type="dxa"/>
          </w:tcPr>
          <w:p w14:paraId="105CC82D" w14:textId="77777777" w:rsidR="00C03D66" w:rsidRDefault="00C03D66" w:rsidP="006F026B">
            <w:pPr>
              <w:jc w:val="right"/>
            </w:pPr>
            <w:r>
              <w:t>230.36</w:t>
            </w:r>
          </w:p>
        </w:tc>
      </w:tr>
      <w:tr w:rsidR="00EF6DDD" w14:paraId="488937AF" w14:textId="77777777" w:rsidTr="00EF6DDD">
        <w:tc>
          <w:tcPr>
            <w:tcW w:w="1885" w:type="dxa"/>
            <w:vMerge/>
          </w:tcPr>
          <w:p w14:paraId="66B6EBF9" w14:textId="77777777" w:rsidR="00C03D66" w:rsidRDefault="00C03D66"/>
        </w:tc>
        <w:tc>
          <w:tcPr>
            <w:tcW w:w="1446" w:type="dxa"/>
          </w:tcPr>
          <w:p w14:paraId="1287AD1D" w14:textId="77777777" w:rsidR="00C03D66" w:rsidRDefault="00C03D66" w:rsidP="006F026B">
            <w:pPr>
              <w:jc w:val="center"/>
            </w:pPr>
            <w:r>
              <w:t>2016-03</w:t>
            </w:r>
          </w:p>
        </w:tc>
        <w:tc>
          <w:tcPr>
            <w:tcW w:w="1417" w:type="dxa"/>
          </w:tcPr>
          <w:p w14:paraId="7A08FC76" w14:textId="77777777" w:rsidR="00C03D66" w:rsidRDefault="00C03D66" w:rsidP="006F026B">
            <w:pPr>
              <w:jc w:val="right"/>
            </w:pPr>
            <w:r>
              <w:t>382,621</w:t>
            </w:r>
          </w:p>
        </w:tc>
        <w:tc>
          <w:tcPr>
            <w:tcW w:w="1329" w:type="dxa"/>
          </w:tcPr>
          <w:p w14:paraId="45CA2D48" w14:textId="77777777" w:rsidR="00C03D66" w:rsidRDefault="00C03D66" w:rsidP="006F026B">
            <w:pPr>
              <w:jc w:val="right"/>
            </w:pPr>
            <w:r>
              <w:t>27,820</w:t>
            </w:r>
          </w:p>
        </w:tc>
        <w:tc>
          <w:tcPr>
            <w:tcW w:w="1260" w:type="dxa"/>
          </w:tcPr>
          <w:p w14:paraId="78380B14" w14:textId="77777777" w:rsidR="00C03D66" w:rsidRDefault="00C03D66" w:rsidP="006F026B">
            <w:pPr>
              <w:jc w:val="right"/>
            </w:pPr>
            <w:r>
              <w:t>7.27%</w:t>
            </w:r>
          </w:p>
        </w:tc>
        <w:tc>
          <w:tcPr>
            <w:tcW w:w="1964" w:type="dxa"/>
          </w:tcPr>
          <w:p w14:paraId="190DFBFF" w14:textId="77777777" w:rsidR="00C03D66" w:rsidRDefault="00C03D66" w:rsidP="006F026B">
            <w:pPr>
              <w:jc w:val="right"/>
            </w:pPr>
            <w:r>
              <w:t>214.41</w:t>
            </w:r>
          </w:p>
        </w:tc>
      </w:tr>
    </w:tbl>
    <w:p w14:paraId="532A0A71" w14:textId="77777777" w:rsidR="004927FB" w:rsidRDefault="0009618C">
      <w:r>
        <w:rPr>
          <w:rFonts w:hint="eastAsia"/>
        </w:rPr>
        <w:t xml:space="preserve">    </w:t>
      </w:r>
      <w:r w:rsidR="007D05ED">
        <w:rPr>
          <w:rFonts w:hint="eastAsia"/>
        </w:rPr>
        <w:t>2</w:t>
      </w:r>
      <w:r w:rsidR="007D05ED">
        <w:rPr>
          <w:rFonts w:hint="eastAsia"/>
        </w:rPr>
        <w:t>）</w:t>
      </w:r>
      <w:r>
        <w:rPr>
          <w:rFonts w:hint="eastAsia"/>
        </w:rPr>
        <w:t>天津卡乐</w:t>
      </w:r>
    </w:p>
    <w:p w14:paraId="0EDF710A" w14:textId="77777777" w:rsidR="00D920B5" w:rsidRDefault="00D920B5">
      <w:r>
        <w:rPr>
          <w:rFonts w:hint="eastAsia"/>
        </w:rPr>
        <w:t xml:space="preserve">    </w:t>
      </w:r>
      <w:r>
        <w:rPr>
          <w:rFonts w:hint="eastAsia"/>
        </w:rPr>
        <w:t>天津卡乐主要通过</w:t>
      </w:r>
      <w:r>
        <w:t>SNK</w:t>
      </w:r>
      <w:r>
        <w:rPr>
          <w:rFonts w:hint="eastAsia"/>
        </w:rPr>
        <w:t>及乐道互动开展业务。</w:t>
      </w:r>
      <w:r>
        <w:t>SNK</w:t>
      </w:r>
      <w:r>
        <w:rPr>
          <w:rFonts w:hint="eastAsia"/>
        </w:rPr>
        <w:t>主要从事</w:t>
      </w:r>
      <w:r>
        <w:t>IP</w:t>
      </w:r>
      <w:r>
        <w:rPr>
          <w:rFonts w:hint="eastAsia"/>
        </w:rPr>
        <w:t>授权和游戏研发运营业务，拥有的</w:t>
      </w:r>
      <w:r>
        <w:t>IP</w:t>
      </w:r>
      <w:r>
        <w:rPr>
          <w:rFonts w:hint="eastAsia"/>
        </w:rPr>
        <w:t>包括《拳皇》、《万能战车之合金弹头》、《恶狼传说》、《侍魂》等。乐道互动是集研发、发行于一体的网络游戏公司。其游戏包括《神雕侠侣》端游和手游、《暗黑黎明》、《暗黑黎明</w:t>
      </w:r>
      <w:r>
        <w:rPr>
          <w:rFonts w:hint="eastAsia"/>
        </w:rPr>
        <w:t>2</w:t>
      </w:r>
      <w:r>
        <w:rPr>
          <w:rFonts w:hint="eastAsia"/>
        </w:rPr>
        <w:t>》、《魔力宝贝》、《如果的世界》等月流水破</w:t>
      </w:r>
      <w:r>
        <w:rPr>
          <w:rFonts w:hint="eastAsia"/>
        </w:rPr>
        <w:t>3000</w:t>
      </w:r>
      <w:r>
        <w:rPr>
          <w:rFonts w:hint="eastAsia"/>
        </w:rPr>
        <w:t>万的游戏。</w:t>
      </w:r>
    </w:p>
    <w:p w14:paraId="2D0033E6" w14:textId="77777777" w:rsidR="005024D3" w:rsidRPr="00D920B5" w:rsidRDefault="005024D3">
      <w:r>
        <w:rPr>
          <w:rFonts w:hint="eastAsia"/>
        </w:rPr>
        <w:t xml:space="preserve">    </w:t>
      </w:r>
      <w:r>
        <w:rPr>
          <w:rFonts w:hint="eastAsia"/>
        </w:rPr>
        <w:t>本次重大资产重组最终以失败告终，并未公告相关网游流水等运营数据。</w:t>
      </w:r>
    </w:p>
    <w:p w14:paraId="7BD3B8EC" w14:textId="77777777" w:rsidR="005F5245" w:rsidRPr="005024D3" w:rsidRDefault="00D920B5">
      <w:r>
        <w:rPr>
          <w:rFonts w:hint="eastAsia"/>
        </w:rPr>
        <w:t xml:space="preserve">    </w:t>
      </w:r>
    </w:p>
    <w:p w14:paraId="046A22AF" w14:textId="77777777" w:rsidR="009578BA" w:rsidRPr="00BA1405" w:rsidRDefault="009578BA">
      <w:pPr>
        <w:rPr>
          <w:b/>
        </w:rPr>
      </w:pPr>
      <w:r w:rsidRPr="00BA1405">
        <w:rPr>
          <w:rFonts w:hint="eastAsia"/>
          <w:b/>
        </w:rPr>
        <w:t>8</w:t>
      </w:r>
      <w:r w:rsidRPr="00BA1405">
        <w:rPr>
          <w:rFonts w:hint="eastAsia"/>
          <w:b/>
        </w:rPr>
        <w:t>、计算完美、巨人和盛大的退市价格所对应的的估值（提示：可以从</w:t>
      </w:r>
      <w:r w:rsidRPr="00BA1405">
        <w:rPr>
          <w:rFonts w:hint="eastAsia"/>
          <w:b/>
        </w:rPr>
        <w:t>SEC</w:t>
      </w:r>
      <w:r w:rsidRPr="00BA1405">
        <w:rPr>
          <w:rFonts w:hint="eastAsia"/>
          <w:b/>
        </w:rPr>
        <w:t>公告或</w:t>
      </w:r>
      <w:r w:rsidRPr="00BA1405">
        <w:rPr>
          <w:rFonts w:hint="eastAsia"/>
          <w:b/>
        </w:rPr>
        <w:t>A</w:t>
      </w:r>
      <w:r w:rsidRPr="00BA1405">
        <w:rPr>
          <w:rFonts w:hint="eastAsia"/>
          <w:b/>
        </w:rPr>
        <w:t>股巨潮的借壳上市公告中获得相关信息）</w:t>
      </w:r>
    </w:p>
    <w:tbl>
      <w:tblPr>
        <w:tblStyle w:val="a3"/>
        <w:tblW w:w="0" w:type="auto"/>
        <w:tblLook w:val="04A0" w:firstRow="1" w:lastRow="0" w:firstColumn="1" w:lastColumn="0" w:noHBand="0" w:noVBand="1"/>
      </w:tblPr>
      <w:tblGrid>
        <w:gridCol w:w="1454"/>
        <w:gridCol w:w="2089"/>
        <w:gridCol w:w="2268"/>
        <w:gridCol w:w="2693"/>
      </w:tblGrid>
      <w:tr w:rsidR="001461AF" w14:paraId="47945BA0" w14:textId="77777777" w:rsidTr="001461AF">
        <w:tc>
          <w:tcPr>
            <w:tcW w:w="1454" w:type="dxa"/>
          </w:tcPr>
          <w:p w14:paraId="76C14B3E" w14:textId="77777777" w:rsidR="001461AF" w:rsidRDefault="001461AF" w:rsidP="00A34FD4">
            <w:pPr>
              <w:jc w:val="center"/>
            </w:pPr>
            <w:r>
              <w:rPr>
                <w:rFonts w:hint="eastAsia"/>
              </w:rPr>
              <w:t>公司名称</w:t>
            </w:r>
          </w:p>
        </w:tc>
        <w:tc>
          <w:tcPr>
            <w:tcW w:w="2089" w:type="dxa"/>
          </w:tcPr>
          <w:p w14:paraId="70708826" w14:textId="77777777" w:rsidR="001461AF" w:rsidRDefault="001461AF" w:rsidP="00A34FD4">
            <w:pPr>
              <w:jc w:val="center"/>
            </w:pPr>
            <w:r>
              <w:rPr>
                <w:rFonts w:hint="eastAsia"/>
              </w:rPr>
              <w:t>私有化价格</w:t>
            </w:r>
          </w:p>
        </w:tc>
        <w:tc>
          <w:tcPr>
            <w:tcW w:w="2268" w:type="dxa"/>
          </w:tcPr>
          <w:p w14:paraId="2824191C" w14:textId="77777777" w:rsidR="001461AF" w:rsidRDefault="001461AF" w:rsidP="00A34FD4">
            <w:pPr>
              <w:jc w:val="center"/>
            </w:pPr>
            <w:r>
              <w:rPr>
                <w:rFonts w:hint="eastAsia"/>
              </w:rPr>
              <w:t>私有化对应估值</w:t>
            </w:r>
          </w:p>
        </w:tc>
        <w:tc>
          <w:tcPr>
            <w:tcW w:w="2693" w:type="dxa"/>
          </w:tcPr>
          <w:p w14:paraId="0BE41207" w14:textId="77777777" w:rsidR="001461AF" w:rsidRDefault="001461AF" w:rsidP="00A34FD4">
            <w:pPr>
              <w:jc w:val="center"/>
            </w:pPr>
            <w:r>
              <w:rPr>
                <w:rFonts w:hint="eastAsia"/>
              </w:rPr>
              <w:t>登陆</w:t>
            </w:r>
            <w:r>
              <w:t>A</w:t>
            </w:r>
            <w:r>
              <w:rPr>
                <w:rFonts w:hint="eastAsia"/>
              </w:rPr>
              <w:t>股对应估值</w:t>
            </w:r>
          </w:p>
        </w:tc>
      </w:tr>
      <w:tr w:rsidR="001461AF" w14:paraId="124592A6" w14:textId="77777777" w:rsidTr="001461AF">
        <w:tc>
          <w:tcPr>
            <w:tcW w:w="1454" w:type="dxa"/>
          </w:tcPr>
          <w:p w14:paraId="218BF519" w14:textId="77777777" w:rsidR="001461AF" w:rsidRDefault="001461AF" w:rsidP="00A34FD4">
            <w:pPr>
              <w:jc w:val="center"/>
            </w:pPr>
            <w:r>
              <w:rPr>
                <w:rFonts w:hint="eastAsia"/>
              </w:rPr>
              <w:t>完美世界</w:t>
            </w:r>
          </w:p>
        </w:tc>
        <w:tc>
          <w:tcPr>
            <w:tcW w:w="2089" w:type="dxa"/>
          </w:tcPr>
          <w:p w14:paraId="1146901C" w14:textId="77777777" w:rsidR="001461AF" w:rsidRDefault="001461AF" w:rsidP="00EF2987">
            <w:pPr>
              <w:jc w:val="center"/>
            </w:pPr>
            <w:r>
              <w:t>$20.2/ADS</w:t>
            </w:r>
          </w:p>
        </w:tc>
        <w:tc>
          <w:tcPr>
            <w:tcW w:w="2268" w:type="dxa"/>
          </w:tcPr>
          <w:p w14:paraId="5B133559" w14:textId="77777777" w:rsidR="001461AF" w:rsidRDefault="003C3783" w:rsidP="00EF2987">
            <w:pPr>
              <w:jc w:val="center"/>
            </w:pPr>
            <w:r>
              <w:rPr>
                <w:rFonts w:hint="eastAsia"/>
              </w:rPr>
              <w:t>约</w:t>
            </w:r>
            <w:r w:rsidR="001461AF">
              <w:t>10</w:t>
            </w:r>
            <w:r w:rsidR="001461AF">
              <w:rPr>
                <w:rFonts w:hint="eastAsia"/>
              </w:rPr>
              <w:t>亿美元</w:t>
            </w:r>
          </w:p>
        </w:tc>
        <w:tc>
          <w:tcPr>
            <w:tcW w:w="2693" w:type="dxa"/>
          </w:tcPr>
          <w:p w14:paraId="0AF2737F" w14:textId="77777777" w:rsidR="001461AF" w:rsidRDefault="001461AF" w:rsidP="00EF2987">
            <w:pPr>
              <w:jc w:val="center"/>
            </w:pPr>
            <w:r>
              <w:rPr>
                <w:rFonts w:hint="eastAsia"/>
              </w:rPr>
              <w:t>120</w:t>
            </w:r>
            <w:r>
              <w:rPr>
                <w:rFonts w:hint="eastAsia"/>
              </w:rPr>
              <w:t>亿元</w:t>
            </w:r>
          </w:p>
        </w:tc>
      </w:tr>
      <w:tr w:rsidR="001461AF" w14:paraId="7CD31A54" w14:textId="77777777" w:rsidTr="001461AF">
        <w:tc>
          <w:tcPr>
            <w:tcW w:w="1454" w:type="dxa"/>
          </w:tcPr>
          <w:p w14:paraId="1217B709" w14:textId="77777777" w:rsidR="001461AF" w:rsidRDefault="001461AF" w:rsidP="00A34FD4">
            <w:pPr>
              <w:jc w:val="center"/>
            </w:pPr>
            <w:r>
              <w:rPr>
                <w:rFonts w:hint="eastAsia"/>
              </w:rPr>
              <w:t>巨人网络</w:t>
            </w:r>
          </w:p>
        </w:tc>
        <w:tc>
          <w:tcPr>
            <w:tcW w:w="2089" w:type="dxa"/>
          </w:tcPr>
          <w:p w14:paraId="32D587BF" w14:textId="77777777" w:rsidR="001461AF" w:rsidRDefault="00265D14" w:rsidP="00EF2987">
            <w:pPr>
              <w:jc w:val="center"/>
            </w:pPr>
            <w:r>
              <w:t>$12/ADS</w:t>
            </w:r>
          </w:p>
        </w:tc>
        <w:tc>
          <w:tcPr>
            <w:tcW w:w="2268" w:type="dxa"/>
          </w:tcPr>
          <w:p w14:paraId="44C57C0F" w14:textId="77777777" w:rsidR="001461AF" w:rsidRDefault="00265D14" w:rsidP="00EF2987">
            <w:pPr>
              <w:jc w:val="center"/>
            </w:pPr>
            <w:r>
              <w:rPr>
                <w:rFonts w:hint="eastAsia"/>
              </w:rPr>
              <w:t>约</w:t>
            </w:r>
            <w:r>
              <w:rPr>
                <w:rFonts w:hint="eastAsia"/>
              </w:rPr>
              <w:t>30</w:t>
            </w:r>
            <w:r>
              <w:rPr>
                <w:rFonts w:hint="eastAsia"/>
              </w:rPr>
              <w:t>亿美元</w:t>
            </w:r>
          </w:p>
        </w:tc>
        <w:tc>
          <w:tcPr>
            <w:tcW w:w="2693" w:type="dxa"/>
          </w:tcPr>
          <w:p w14:paraId="673524D6" w14:textId="77777777" w:rsidR="001461AF" w:rsidRDefault="0084640F" w:rsidP="00EF2987">
            <w:pPr>
              <w:jc w:val="center"/>
            </w:pPr>
            <w:r>
              <w:rPr>
                <w:rFonts w:hint="eastAsia"/>
              </w:rPr>
              <w:t>131</w:t>
            </w:r>
            <w:r w:rsidR="00332DDE">
              <w:rPr>
                <w:rFonts w:hint="eastAsia"/>
              </w:rPr>
              <w:t>.24</w:t>
            </w:r>
            <w:r w:rsidR="00EC5F62">
              <w:rPr>
                <w:rFonts w:hint="eastAsia"/>
              </w:rPr>
              <w:t>亿元</w:t>
            </w:r>
          </w:p>
        </w:tc>
      </w:tr>
      <w:tr w:rsidR="001461AF" w14:paraId="66975B7D" w14:textId="77777777" w:rsidTr="001461AF">
        <w:trPr>
          <w:trHeight w:val="395"/>
        </w:trPr>
        <w:tc>
          <w:tcPr>
            <w:tcW w:w="1454" w:type="dxa"/>
          </w:tcPr>
          <w:p w14:paraId="49A5FAA2" w14:textId="77777777" w:rsidR="001461AF" w:rsidRDefault="001461AF" w:rsidP="00A34FD4">
            <w:pPr>
              <w:jc w:val="center"/>
            </w:pPr>
            <w:r>
              <w:rPr>
                <w:rFonts w:hint="eastAsia"/>
              </w:rPr>
              <w:t>盛大游戏</w:t>
            </w:r>
          </w:p>
        </w:tc>
        <w:tc>
          <w:tcPr>
            <w:tcW w:w="2089" w:type="dxa"/>
          </w:tcPr>
          <w:p w14:paraId="7F8CE4E6" w14:textId="77777777" w:rsidR="001461AF" w:rsidRDefault="007644C7" w:rsidP="00EF2987">
            <w:pPr>
              <w:jc w:val="center"/>
            </w:pPr>
            <w:r>
              <w:t>$</w:t>
            </w:r>
            <w:r>
              <w:rPr>
                <w:rFonts w:hint="eastAsia"/>
              </w:rPr>
              <w:t>3.55</w:t>
            </w:r>
          </w:p>
        </w:tc>
        <w:tc>
          <w:tcPr>
            <w:tcW w:w="2268" w:type="dxa"/>
          </w:tcPr>
          <w:p w14:paraId="5B3659C4" w14:textId="77777777" w:rsidR="001461AF" w:rsidRDefault="007644C7" w:rsidP="00EF2987">
            <w:pPr>
              <w:jc w:val="center"/>
            </w:pPr>
            <w:r>
              <w:rPr>
                <w:rFonts w:hint="eastAsia"/>
              </w:rPr>
              <w:t>约</w:t>
            </w:r>
            <w:r>
              <w:rPr>
                <w:rFonts w:hint="eastAsia"/>
              </w:rPr>
              <w:t>19</w:t>
            </w:r>
            <w:r>
              <w:rPr>
                <w:rFonts w:hint="eastAsia"/>
              </w:rPr>
              <w:t>亿美元</w:t>
            </w:r>
          </w:p>
        </w:tc>
        <w:tc>
          <w:tcPr>
            <w:tcW w:w="2693" w:type="dxa"/>
          </w:tcPr>
          <w:p w14:paraId="4F1EAB1D" w14:textId="77777777" w:rsidR="001461AF" w:rsidRDefault="00845032" w:rsidP="00EF2987">
            <w:pPr>
              <w:jc w:val="center"/>
            </w:pPr>
            <w:r>
              <w:rPr>
                <w:rFonts w:hint="eastAsia"/>
              </w:rPr>
              <w:t>约</w:t>
            </w:r>
            <w:r>
              <w:rPr>
                <w:rFonts w:hint="eastAsia"/>
              </w:rPr>
              <w:t>300</w:t>
            </w:r>
            <w:r>
              <w:rPr>
                <w:rFonts w:hint="eastAsia"/>
              </w:rPr>
              <w:t>亿</w:t>
            </w:r>
          </w:p>
        </w:tc>
      </w:tr>
    </w:tbl>
    <w:p w14:paraId="579DB016" w14:textId="77777777" w:rsidR="009578BA" w:rsidRDefault="00845032">
      <w:r>
        <w:rPr>
          <w:rFonts w:hint="eastAsia"/>
        </w:rPr>
        <w:t>注：盛大游戏目前的估值根据</w:t>
      </w:r>
      <w:r>
        <w:rPr>
          <w:rFonts w:hint="eastAsia"/>
        </w:rPr>
        <w:t>2018</w:t>
      </w:r>
      <w:r>
        <w:rPr>
          <w:rFonts w:hint="eastAsia"/>
        </w:rPr>
        <w:t>年腾讯战略投资盛大游戏</w:t>
      </w:r>
      <w:r>
        <w:rPr>
          <w:rFonts w:hint="eastAsia"/>
        </w:rPr>
        <w:t>30</w:t>
      </w:r>
      <w:r>
        <w:rPr>
          <w:rFonts w:hint="eastAsia"/>
        </w:rPr>
        <w:t>亿获取</w:t>
      </w:r>
      <w:r>
        <w:rPr>
          <w:rFonts w:hint="eastAsia"/>
        </w:rPr>
        <w:t>10%</w:t>
      </w:r>
      <w:r>
        <w:rPr>
          <w:rFonts w:hint="eastAsia"/>
        </w:rPr>
        <w:t>的股份推出。</w:t>
      </w:r>
    </w:p>
    <w:p w14:paraId="5779287D" w14:textId="77777777" w:rsidR="009578BA" w:rsidRPr="00BA1405" w:rsidRDefault="00403819">
      <w:pPr>
        <w:rPr>
          <w:b/>
        </w:rPr>
      </w:pPr>
      <w:r w:rsidRPr="00BA1405">
        <w:rPr>
          <w:rFonts w:hint="eastAsia"/>
          <w:b/>
        </w:rPr>
        <w:t>9</w:t>
      </w:r>
      <w:r w:rsidRPr="00BA1405">
        <w:rPr>
          <w:rFonts w:hint="eastAsia"/>
          <w:b/>
        </w:rPr>
        <w:t>、为什么美国上市的中概股游戏公司估值比</w:t>
      </w:r>
      <w:r w:rsidRPr="00BA1405">
        <w:rPr>
          <w:rFonts w:hint="eastAsia"/>
          <w:b/>
        </w:rPr>
        <w:t>A</w:t>
      </w:r>
      <w:r w:rsidRPr="00BA1405">
        <w:rPr>
          <w:rFonts w:hint="eastAsia"/>
          <w:b/>
        </w:rPr>
        <w:t>股低很多，而部分互联网公司确能享受估值溢价（使用</w:t>
      </w:r>
      <w:r w:rsidRPr="00BA1405">
        <w:rPr>
          <w:rFonts w:hint="eastAsia"/>
          <w:b/>
        </w:rPr>
        <w:t>DCF</w:t>
      </w:r>
      <w:r w:rsidRPr="00BA1405">
        <w:rPr>
          <w:rFonts w:hint="eastAsia"/>
          <w:b/>
        </w:rPr>
        <w:t>估值模型来解读）？</w:t>
      </w:r>
    </w:p>
    <w:p w14:paraId="1E6CF0E4" w14:textId="59E5441B" w:rsidR="00A34FD4" w:rsidRDefault="007C0222">
      <w:r>
        <w:rPr>
          <w:rFonts w:hint="eastAsia"/>
        </w:rPr>
        <w:t xml:space="preserve">   </w:t>
      </w:r>
      <w:r w:rsidR="00AB0223">
        <w:rPr>
          <w:rFonts w:hint="eastAsia"/>
        </w:rPr>
        <w:t xml:space="preserve"> </w:t>
      </w:r>
      <w:r w:rsidR="00AB0223">
        <w:rPr>
          <w:rFonts w:hint="eastAsia"/>
        </w:rPr>
        <w:t>大部分在美国上市的互联网公司成长非常迅</w:t>
      </w:r>
      <w:r w:rsidR="005324B6">
        <w:rPr>
          <w:rFonts w:hint="eastAsia"/>
        </w:rPr>
        <w:t>猛</w:t>
      </w:r>
      <w:r w:rsidR="00AB0223">
        <w:rPr>
          <w:rFonts w:hint="eastAsia"/>
        </w:rPr>
        <w:t>，在互联网高速发展的</w:t>
      </w:r>
      <w:r w:rsidR="005324B6">
        <w:rPr>
          <w:rFonts w:hint="eastAsia"/>
        </w:rPr>
        <w:t>当下，为了在互联网行业</w:t>
      </w:r>
      <w:r w:rsidR="00AB0223">
        <w:rPr>
          <w:rFonts w:hint="eastAsia"/>
        </w:rPr>
        <w:t>保持</w:t>
      </w:r>
      <w:r w:rsidR="005324B6">
        <w:rPr>
          <w:rFonts w:hint="eastAsia"/>
        </w:rPr>
        <w:t>持续的</w:t>
      </w:r>
      <w:r w:rsidR="00AB0223">
        <w:rPr>
          <w:rFonts w:hint="eastAsia"/>
        </w:rPr>
        <w:t>竞争力，互联网企业</w:t>
      </w:r>
      <w:r w:rsidR="00C37E06">
        <w:rPr>
          <w:rFonts w:hint="eastAsia"/>
        </w:rPr>
        <w:t>纷纷选择</w:t>
      </w:r>
      <w:r w:rsidR="00AB0223">
        <w:rPr>
          <w:rFonts w:hint="eastAsia"/>
        </w:rPr>
        <w:t>牺牲</w:t>
      </w:r>
      <w:r w:rsidR="00C37E06">
        <w:rPr>
          <w:rFonts w:hint="eastAsia"/>
        </w:rPr>
        <w:t>当期财务报表上净利润科目的体现</w:t>
      </w:r>
      <w:r w:rsidR="00AB0223">
        <w:rPr>
          <w:rFonts w:hint="eastAsia"/>
        </w:rPr>
        <w:t>而选择再投资，</w:t>
      </w:r>
      <w:r w:rsidR="00C37E06">
        <w:rPr>
          <w:rFonts w:hint="eastAsia"/>
        </w:rPr>
        <w:t>以博取未来更好的发展。</w:t>
      </w:r>
      <w:r w:rsidR="00AB0223">
        <w:rPr>
          <w:rFonts w:hint="eastAsia"/>
        </w:rPr>
        <w:t>因此，在传统</w:t>
      </w:r>
      <w:r w:rsidR="00AB0223">
        <w:t>PE</w:t>
      </w:r>
      <w:r w:rsidR="00AB0223">
        <w:t>、</w:t>
      </w:r>
      <w:r w:rsidR="00AB0223">
        <w:t>PEG</w:t>
      </w:r>
      <w:r w:rsidR="00AB0223">
        <w:rPr>
          <w:rFonts w:hint="eastAsia"/>
        </w:rPr>
        <w:t>、</w:t>
      </w:r>
      <w:r w:rsidR="00AB0223">
        <w:t>PB</w:t>
      </w:r>
      <w:r w:rsidR="00AB0223">
        <w:t>、</w:t>
      </w:r>
      <w:r w:rsidR="00AB0223">
        <w:t>EV/EBITDA</w:t>
      </w:r>
      <w:r w:rsidR="00AB0223">
        <w:rPr>
          <w:rFonts w:hint="eastAsia"/>
        </w:rPr>
        <w:t>等指标失效的情况下，</w:t>
      </w:r>
      <w:r w:rsidR="005324B6">
        <w:rPr>
          <w:rFonts w:hint="eastAsia"/>
        </w:rPr>
        <w:t>美国市场普遍选择</w:t>
      </w:r>
      <w:r w:rsidR="00D544BC">
        <w:rPr>
          <w:rFonts w:hint="eastAsia"/>
        </w:rPr>
        <w:t>对公司预期未来产生的</w:t>
      </w:r>
      <w:r w:rsidR="005324B6">
        <w:rPr>
          <w:rFonts w:hint="eastAsia"/>
        </w:rPr>
        <w:t>自由现金流</w:t>
      </w:r>
      <w:r w:rsidR="00D544BC">
        <w:rPr>
          <w:rFonts w:hint="eastAsia"/>
        </w:rPr>
        <w:t>贴现（</w:t>
      </w:r>
      <w:r w:rsidR="00D544BC">
        <w:t>DCF</w:t>
      </w:r>
      <w:r w:rsidR="00D544BC">
        <w:rPr>
          <w:rFonts w:hint="eastAsia"/>
        </w:rPr>
        <w:t>）来进行估值。</w:t>
      </w:r>
      <w:r w:rsidR="00BE50B3">
        <w:rPr>
          <w:rFonts w:hint="eastAsia"/>
        </w:rPr>
        <w:t>在谷歌、亚马逊、脸书等互联网巨头的带动下，互联网公司在美国普遍享受到估值的溢价，阿里巴巴、京东、新浪等互联网公司也受益其中。</w:t>
      </w:r>
    </w:p>
    <w:p w14:paraId="4B72A32A" w14:textId="77777777" w:rsidR="00BE50B3" w:rsidRPr="00BE50B3" w:rsidRDefault="00BE50B3"/>
    <w:p w14:paraId="54621340" w14:textId="77777777" w:rsidR="00403819" w:rsidRPr="00BA1405" w:rsidRDefault="00403819">
      <w:pPr>
        <w:rPr>
          <w:b/>
        </w:rPr>
      </w:pPr>
      <w:r w:rsidRPr="00BA1405">
        <w:rPr>
          <w:rFonts w:hint="eastAsia"/>
          <w:b/>
        </w:rPr>
        <w:t>10</w:t>
      </w:r>
      <w:r w:rsidRPr="00BA1405">
        <w:rPr>
          <w:rFonts w:hint="eastAsia"/>
          <w:b/>
        </w:rPr>
        <w:t>、你认为游戏行业的核心竞争力是什么？</w:t>
      </w:r>
    </w:p>
    <w:p w14:paraId="51894F79" w14:textId="20313FBC" w:rsidR="00403819" w:rsidRDefault="00D91C7E">
      <w:r>
        <w:t xml:space="preserve">    </w:t>
      </w:r>
      <w:r w:rsidR="0020300E">
        <w:rPr>
          <w:rFonts w:hint="eastAsia"/>
        </w:rPr>
        <w:t>游戏行业的核心竞争力包括</w:t>
      </w:r>
      <w:r w:rsidR="0099259E">
        <w:rPr>
          <w:rFonts w:hint="eastAsia"/>
        </w:rPr>
        <w:t>游戏</w:t>
      </w:r>
      <w:r>
        <w:rPr>
          <w:rFonts w:hint="eastAsia"/>
        </w:rPr>
        <w:t>研发能力</w:t>
      </w:r>
      <w:r w:rsidR="0099259E">
        <w:rPr>
          <w:rFonts w:hint="eastAsia"/>
        </w:rPr>
        <w:t>、游戏运营能力</w:t>
      </w:r>
      <w:r>
        <w:rPr>
          <w:rFonts w:hint="eastAsia"/>
        </w:rPr>
        <w:t>、</w:t>
      </w:r>
      <w:r w:rsidR="0099259E">
        <w:t>IP</w:t>
      </w:r>
      <w:r w:rsidR="00687870">
        <w:rPr>
          <w:rFonts w:hint="eastAsia"/>
        </w:rPr>
        <w:t>开发能力、用户流量接</w:t>
      </w:r>
      <w:r w:rsidR="0099259E">
        <w:rPr>
          <w:rFonts w:hint="eastAsia"/>
        </w:rPr>
        <w:t>口、创新能力</w:t>
      </w:r>
    </w:p>
    <w:p w14:paraId="1BBAAAE7" w14:textId="77777777" w:rsidR="007723D5" w:rsidRPr="00687870" w:rsidRDefault="007723D5"/>
    <w:p w14:paraId="633B2081" w14:textId="77777777" w:rsidR="00403819" w:rsidRPr="00A908CD" w:rsidRDefault="00AA460F">
      <w:pPr>
        <w:rPr>
          <w:b/>
        </w:rPr>
      </w:pPr>
      <w:r w:rsidRPr="00A908CD">
        <w:rPr>
          <w:rFonts w:hint="eastAsia"/>
          <w:b/>
        </w:rPr>
        <w:t>附加题：</w:t>
      </w:r>
    </w:p>
    <w:p w14:paraId="6E5AE4BB" w14:textId="77777777" w:rsidR="00AA460F" w:rsidRPr="00880AEC" w:rsidRDefault="00AA460F" w:rsidP="005E5A70">
      <w:pPr>
        <w:rPr>
          <w:b/>
        </w:rPr>
      </w:pPr>
      <w:r w:rsidRPr="00BA1405">
        <w:rPr>
          <w:rFonts w:hint="eastAsia"/>
          <w:b/>
        </w:rPr>
        <w:t>1</w:t>
      </w:r>
      <w:r w:rsidRPr="00BA1405">
        <w:rPr>
          <w:rFonts w:hint="eastAsia"/>
          <w:b/>
        </w:rPr>
        <w:t>、列举一下游戏公司自</w:t>
      </w:r>
      <w:r w:rsidRPr="00BA1405">
        <w:rPr>
          <w:rFonts w:hint="eastAsia"/>
          <w:b/>
        </w:rPr>
        <w:t>2015</w:t>
      </w:r>
      <w:r w:rsidRPr="00BA1405">
        <w:rPr>
          <w:rFonts w:hint="eastAsia"/>
          <w:b/>
        </w:rPr>
        <w:t>年后最高收盘价至</w:t>
      </w:r>
      <w:r w:rsidRPr="00BA1405">
        <w:rPr>
          <w:rFonts w:hint="eastAsia"/>
          <w:b/>
        </w:rPr>
        <w:t>2018</w:t>
      </w:r>
      <w:r w:rsidRPr="00BA1405">
        <w:rPr>
          <w:rFonts w:hint="eastAsia"/>
          <w:b/>
        </w:rPr>
        <w:t>年</w:t>
      </w:r>
      <w:r w:rsidRPr="00BA1405">
        <w:rPr>
          <w:rFonts w:hint="eastAsia"/>
          <w:b/>
        </w:rPr>
        <w:t>4</w:t>
      </w:r>
      <w:r w:rsidRPr="00BA1405">
        <w:rPr>
          <w:rFonts w:hint="eastAsia"/>
          <w:b/>
        </w:rPr>
        <w:t>月</w:t>
      </w:r>
      <w:r w:rsidRPr="00BA1405">
        <w:rPr>
          <w:rFonts w:hint="eastAsia"/>
          <w:b/>
        </w:rPr>
        <w:t>20</w:t>
      </w:r>
      <w:r w:rsidRPr="00BA1405">
        <w:rPr>
          <w:rFonts w:hint="eastAsia"/>
          <w:b/>
        </w:rPr>
        <w:t>日收盘的涨跌幅。</w:t>
      </w:r>
    </w:p>
    <w:tbl>
      <w:tblPr>
        <w:tblStyle w:val="a3"/>
        <w:tblW w:w="0" w:type="auto"/>
        <w:tblLook w:val="04A0" w:firstRow="1" w:lastRow="0" w:firstColumn="1" w:lastColumn="0" w:noHBand="0" w:noVBand="1"/>
      </w:tblPr>
      <w:tblGrid>
        <w:gridCol w:w="1454"/>
        <w:gridCol w:w="1522"/>
        <w:gridCol w:w="2126"/>
        <w:gridCol w:w="2022"/>
        <w:gridCol w:w="1506"/>
      </w:tblGrid>
      <w:tr w:rsidR="00F56319" w14:paraId="67FC253B" w14:textId="77777777" w:rsidTr="00F56319">
        <w:tc>
          <w:tcPr>
            <w:tcW w:w="1454" w:type="dxa"/>
          </w:tcPr>
          <w:p w14:paraId="3005BB0B" w14:textId="77777777" w:rsidR="00A06D00" w:rsidRDefault="002C6F90" w:rsidP="00CE080E">
            <w:pPr>
              <w:jc w:val="center"/>
            </w:pPr>
            <w:r>
              <w:rPr>
                <w:rFonts w:hint="eastAsia"/>
              </w:rPr>
              <w:t>证券代码</w:t>
            </w:r>
          </w:p>
        </w:tc>
        <w:tc>
          <w:tcPr>
            <w:tcW w:w="1522" w:type="dxa"/>
          </w:tcPr>
          <w:p w14:paraId="66E5580E" w14:textId="77777777" w:rsidR="00A06D00" w:rsidRDefault="002C6F90" w:rsidP="00CE080E">
            <w:pPr>
              <w:jc w:val="center"/>
            </w:pPr>
            <w:r>
              <w:rPr>
                <w:rFonts w:hint="eastAsia"/>
              </w:rPr>
              <w:t>公司名称</w:t>
            </w:r>
          </w:p>
        </w:tc>
        <w:tc>
          <w:tcPr>
            <w:tcW w:w="2126" w:type="dxa"/>
          </w:tcPr>
          <w:p w14:paraId="077000BC" w14:textId="77777777" w:rsidR="00A06D00" w:rsidRDefault="002C6F90" w:rsidP="00CE080E">
            <w:pPr>
              <w:jc w:val="center"/>
            </w:pPr>
            <w:r>
              <w:rPr>
                <w:rFonts w:hint="eastAsia"/>
              </w:rPr>
              <w:t>区间最高收盘价</w:t>
            </w:r>
          </w:p>
        </w:tc>
        <w:tc>
          <w:tcPr>
            <w:tcW w:w="2022" w:type="dxa"/>
          </w:tcPr>
          <w:p w14:paraId="6ED8D222" w14:textId="77777777" w:rsidR="00A06D00" w:rsidRDefault="00880AEC" w:rsidP="00CE080E">
            <w:pPr>
              <w:jc w:val="center"/>
            </w:pPr>
            <w:r>
              <w:rPr>
                <w:rFonts w:hint="eastAsia"/>
              </w:rPr>
              <w:t>2018</w:t>
            </w:r>
            <w:r w:rsidR="00F56319">
              <w:t>.4.20</w:t>
            </w:r>
            <w:r>
              <w:rPr>
                <w:rFonts w:hint="eastAsia"/>
              </w:rPr>
              <w:t>收盘价</w:t>
            </w:r>
          </w:p>
        </w:tc>
        <w:tc>
          <w:tcPr>
            <w:tcW w:w="1506" w:type="dxa"/>
          </w:tcPr>
          <w:p w14:paraId="0F025824" w14:textId="77777777" w:rsidR="00A06D00" w:rsidRDefault="00880AEC" w:rsidP="00CE080E">
            <w:pPr>
              <w:jc w:val="center"/>
            </w:pPr>
            <w:r>
              <w:rPr>
                <w:rFonts w:hint="eastAsia"/>
              </w:rPr>
              <w:t>涨跌幅</w:t>
            </w:r>
          </w:p>
        </w:tc>
      </w:tr>
      <w:tr w:rsidR="00F56319" w14:paraId="150930BF" w14:textId="77777777" w:rsidTr="00F56319">
        <w:tc>
          <w:tcPr>
            <w:tcW w:w="1454" w:type="dxa"/>
          </w:tcPr>
          <w:p w14:paraId="4F2D4590" w14:textId="77777777" w:rsidR="00A06D00" w:rsidRDefault="00880AEC" w:rsidP="00880AEC">
            <w:pPr>
              <w:jc w:val="center"/>
            </w:pPr>
            <w:r>
              <w:rPr>
                <w:rFonts w:hint="eastAsia"/>
              </w:rPr>
              <w:t>002558</w:t>
            </w:r>
            <w:r>
              <w:t>.SZ</w:t>
            </w:r>
          </w:p>
        </w:tc>
        <w:tc>
          <w:tcPr>
            <w:tcW w:w="1522" w:type="dxa"/>
          </w:tcPr>
          <w:p w14:paraId="16D28C31" w14:textId="77777777" w:rsidR="00A06D00" w:rsidRDefault="00880AEC" w:rsidP="00880AEC">
            <w:pPr>
              <w:jc w:val="center"/>
            </w:pPr>
            <w:r>
              <w:rPr>
                <w:rFonts w:hint="eastAsia"/>
              </w:rPr>
              <w:t>巨人网络</w:t>
            </w:r>
          </w:p>
        </w:tc>
        <w:tc>
          <w:tcPr>
            <w:tcW w:w="2126" w:type="dxa"/>
          </w:tcPr>
          <w:p w14:paraId="2658F657" w14:textId="77777777" w:rsidR="00A06D00" w:rsidRDefault="00C44D99" w:rsidP="00F56319">
            <w:pPr>
              <w:jc w:val="right"/>
            </w:pPr>
            <w:r>
              <w:t>227.30</w:t>
            </w:r>
          </w:p>
        </w:tc>
        <w:tc>
          <w:tcPr>
            <w:tcW w:w="2022" w:type="dxa"/>
          </w:tcPr>
          <w:p w14:paraId="3DEF2679" w14:textId="77777777" w:rsidR="00A06D00" w:rsidRDefault="00F56319" w:rsidP="00CE080E">
            <w:pPr>
              <w:jc w:val="right"/>
            </w:pPr>
            <w:r>
              <w:t>26.99</w:t>
            </w:r>
          </w:p>
        </w:tc>
        <w:tc>
          <w:tcPr>
            <w:tcW w:w="1506" w:type="dxa"/>
          </w:tcPr>
          <w:p w14:paraId="1AA3B2A5" w14:textId="77777777" w:rsidR="00A06D00" w:rsidRDefault="00CE080E" w:rsidP="00CE080E">
            <w:pPr>
              <w:jc w:val="right"/>
            </w:pPr>
            <w:r>
              <w:t>-63.88%</w:t>
            </w:r>
          </w:p>
        </w:tc>
      </w:tr>
      <w:tr w:rsidR="00F56319" w14:paraId="0CB9F5E8" w14:textId="77777777" w:rsidTr="00F56319">
        <w:tc>
          <w:tcPr>
            <w:tcW w:w="1454" w:type="dxa"/>
          </w:tcPr>
          <w:p w14:paraId="1C9FC9D5" w14:textId="77777777" w:rsidR="00F56319" w:rsidRDefault="00F56319" w:rsidP="00880AEC">
            <w:pPr>
              <w:jc w:val="center"/>
            </w:pPr>
            <w:r>
              <w:rPr>
                <w:rFonts w:hint="eastAsia"/>
              </w:rPr>
              <w:t>002602</w:t>
            </w:r>
            <w:r>
              <w:t>.SZ</w:t>
            </w:r>
          </w:p>
        </w:tc>
        <w:tc>
          <w:tcPr>
            <w:tcW w:w="1522" w:type="dxa"/>
          </w:tcPr>
          <w:p w14:paraId="390EBDEE" w14:textId="77777777" w:rsidR="00F56319" w:rsidRDefault="00F56319" w:rsidP="00880AEC">
            <w:pPr>
              <w:jc w:val="center"/>
            </w:pPr>
            <w:r>
              <w:rPr>
                <w:rFonts w:hint="eastAsia"/>
              </w:rPr>
              <w:t>世纪华通</w:t>
            </w:r>
          </w:p>
        </w:tc>
        <w:tc>
          <w:tcPr>
            <w:tcW w:w="2126" w:type="dxa"/>
          </w:tcPr>
          <w:p w14:paraId="05992D3B" w14:textId="77777777" w:rsidR="00F56319" w:rsidRDefault="00F56319" w:rsidP="00F56319">
            <w:pPr>
              <w:jc w:val="right"/>
            </w:pPr>
            <w:r>
              <w:t>47.30</w:t>
            </w:r>
          </w:p>
        </w:tc>
        <w:tc>
          <w:tcPr>
            <w:tcW w:w="2022" w:type="dxa"/>
          </w:tcPr>
          <w:p w14:paraId="6068D4C6" w14:textId="77777777" w:rsidR="00F56319" w:rsidRDefault="00F56319" w:rsidP="00CE080E">
            <w:pPr>
              <w:jc w:val="right"/>
            </w:pPr>
            <w:r>
              <w:t>34.48</w:t>
            </w:r>
          </w:p>
        </w:tc>
        <w:tc>
          <w:tcPr>
            <w:tcW w:w="1506" w:type="dxa"/>
          </w:tcPr>
          <w:p w14:paraId="30B78D71" w14:textId="77777777" w:rsidR="00F56319" w:rsidRDefault="00CE080E" w:rsidP="00CE080E">
            <w:pPr>
              <w:jc w:val="right"/>
            </w:pPr>
            <w:r>
              <w:t>-26.88%</w:t>
            </w:r>
          </w:p>
        </w:tc>
      </w:tr>
      <w:tr w:rsidR="00F56319" w14:paraId="4A025ECC" w14:textId="77777777" w:rsidTr="00F56319">
        <w:tc>
          <w:tcPr>
            <w:tcW w:w="1454" w:type="dxa"/>
          </w:tcPr>
          <w:p w14:paraId="551B6E31" w14:textId="77777777" w:rsidR="00F56319" w:rsidRDefault="00F56319" w:rsidP="00880AEC">
            <w:pPr>
              <w:jc w:val="center"/>
            </w:pPr>
            <w:r>
              <w:rPr>
                <w:rFonts w:hint="eastAsia"/>
              </w:rPr>
              <w:t>002624</w:t>
            </w:r>
            <w:r>
              <w:t>.SZ</w:t>
            </w:r>
          </w:p>
        </w:tc>
        <w:tc>
          <w:tcPr>
            <w:tcW w:w="1522" w:type="dxa"/>
          </w:tcPr>
          <w:p w14:paraId="185F2E63" w14:textId="77777777" w:rsidR="00F56319" w:rsidRDefault="00F56319" w:rsidP="00880AEC">
            <w:pPr>
              <w:jc w:val="center"/>
            </w:pPr>
            <w:r>
              <w:rPr>
                <w:rFonts w:hint="eastAsia"/>
              </w:rPr>
              <w:t>完美世界</w:t>
            </w:r>
          </w:p>
        </w:tc>
        <w:tc>
          <w:tcPr>
            <w:tcW w:w="2126" w:type="dxa"/>
          </w:tcPr>
          <w:p w14:paraId="1683449D" w14:textId="77777777" w:rsidR="00F56319" w:rsidRDefault="00F56319" w:rsidP="00F56319">
            <w:pPr>
              <w:jc w:val="right"/>
            </w:pPr>
            <w:r>
              <w:t>43.62</w:t>
            </w:r>
          </w:p>
        </w:tc>
        <w:tc>
          <w:tcPr>
            <w:tcW w:w="2022" w:type="dxa"/>
          </w:tcPr>
          <w:p w14:paraId="44EBFACD" w14:textId="77777777" w:rsidR="00F56319" w:rsidRDefault="00F56319" w:rsidP="00CE080E">
            <w:pPr>
              <w:jc w:val="right"/>
            </w:pPr>
            <w:r>
              <w:t>33.90</w:t>
            </w:r>
          </w:p>
        </w:tc>
        <w:tc>
          <w:tcPr>
            <w:tcW w:w="1506" w:type="dxa"/>
          </w:tcPr>
          <w:p w14:paraId="2C01540E" w14:textId="77777777" w:rsidR="00F56319" w:rsidRDefault="00CE080E" w:rsidP="00CE080E">
            <w:pPr>
              <w:jc w:val="right"/>
            </w:pPr>
            <w:r>
              <w:t>-21.97%</w:t>
            </w:r>
          </w:p>
        </w:tc>
      </w:tr>
      <w:tr w:rsidR="00F56319" w14:paraId="18455770" w14:textId="77777777" w:rsidTr="00F56319">
        <w:tc>
          <w:tcPr>
            <w:tcW w:w="1454" w:type="dxa"/>
          </w:tcPr>
          <w:p w14:paraId="57FB9D69" w14:textId="77777777" w:rsidR="00F56319" w:rsidRDefault="00F56319" w:rsidP="00880AEC">
            <w:pPr>
              <w:jc w:val="center"/>
            </w:pPr>
            <w:r>
              <w:rPr>
                <w:rFonts w:hint="eastAsia"/>
              </w:rPr>
              <w:t>002555</w:t>
            </w:r>
            <w:r>
              <w:t>.SZ</w:t>
            </w:r>
          </w:p>
        </w:tc>
        <w:tc>
          <w:tcPr>
            <w:tcW w:w="1522" w:type="dxa"/>
          </w:tcPr>
          <w:p w14:paraId="6AD2B529" w14:textId="77777777" w:rsidR="00F56319" w:rsidRDefault="00F56319" w:rsidP="00880AEC">
            <w:pPr>
              <w:jc w:val="center"/>
            </w:pPr>
            <w:r>
              <w:rPr>
                <w:rFonts w:hint="eastAsia"/>
              </w:rPr>
              <w:t>三七互娱</w:t>
            </w:r>
          </w:p>
        </w:tc>
        <w:tc>
          <w:tcPr>
            <w:tcW w:w="2126" w:type="dxa"/>
          </w:tcPr>
          <w:p w14:paraId="307CD4F1" w14:textId="77777777" w:rsidR="00F56319" w:rsidRDefault="00F56319" w:rsidP="00F56319">
            <w:pPr>
              <w:jc w:val="right"/>
            </w:pPr>
            <w:r>
              <w:t>126.47</w:t>
            </w:r>
          </w:p>
        </w:tc>
        <w:tc>
          <w:tcPr>
            <w:tcW w:w="2022" w:type="dxa"/>
          </w:tcPr>
          <w:p w14:paraId="4001DC85" w14:textId="77777777" w:rsidR="00F56319" w:rsidRDefault="00F56319" w:rsidP="00CE080E">
            <w:pPr>
              <w:jc w:val="right"/>
            </w:pPr>
            <w:r>
              <w:t>14.83</w:t>
            </w:r>
          </w:p>
        </w:tc>
        <w:tc>
          <w:tcPr>
            <w:tcW w:w="1506" w:type="dxa"/>
          </w:tcPr>
          <w:p w14:paraId="2275B249" w14:textId="77777777" w:rsidR="00F56319" w:rsidRDefault="00CE080E" w:rsidP="00CE080E">
            <w:pPr>
              <w:jc w:val="right"/>
            </w:pPr>
            <w:r>
              <w:t>-54.19%</w:t>
            </w:r>
          </w:p>
        </w:tc>
      </w:tr>
      <w:tr w:rsidR="00F56319" w14:paraId="2B1AE1E8" w14:textId="77777777" w:rsidTr="00F56319">
        <w:tc>
          <w:tcPr>
            <w:tcW w:w="1454" w:type="dxa"/>
          </w:tcPr>
          <w:p w14:paraId="37383104" w14:textId="77777777" w:rsidR="00F56319" w:rsidRDefault="00F56319" w:rsidP="00880AEC">
            <w:pPr>
              <w:jc w:val="center"/>
            </w:pPr>
            <w:r>
              <w:rPr>
                <w:rFonts w:hint="eastAsia"/>
              </w:rPr>
              <w:t>300418</w:t>
            </w:r>
            <w:r>
              <w:t>.SZ</w:t>
            </w:r>
          </w:p>
        </w:tc>
        <w:tc>
          <w:tcPr>
            <w:tcW w:w="1522" w:type="dxa"/>
          </w:tcPr>
          <w:p w14:paraId="01BD2B51" w14:textId="77777777" w:rsidR="00F56319" w:rsidRDefault="00F56319" w:rsidP="00880AEC">
            <w:pPr>
              <w:jc w:val="center"/>
            </w:pPr>
            <w:r>
              <w:rPr>
                <w:rFonts w:hint="eastAsia"/>
              </w:rPr>
              <w:t>昆仑万维</w:t>
            </w:r>
          </w:p>
        </w:tc>
        <w:tc>
          <w:tcPr>
            <w:tcW w:w="2126" w:type="dxa"/>
          </w:tcPr>
          <w:p w14:paraId="51337321" w14:textId="77777777" w:rsidR="00F56319" w:rsidRDefault="00F56319" w:rsidP="00F56319">
            <w:pPr>
              <w:jc w:val="right"/>
            </w:pPr>
            <w:r>
              <w:t>155.91</w:t>
            </w:r>
          </w:p>
        </w:tc>
        <w:tc>
          <w:tcPr>
            <w:tcW w:w="2022" w:type="dxa"/>
          </w:tcPr>
          <w:p w14:paraId="3DD49561" w14:textId="77777777" w:rsidR="00F56319" w:rsidRDefault="00F56319" w:rsidP="00CE080E">
            <w:pPr>
              <w:jc w:val="right"/>
            </w:pPr>
            <w:r>
              <w:t>21.95</w:t>
            </w:r>
          </w:p>
        </w:tc>
        <w:tc>
          <w:tcPr>
            <w:tcW w:w="1506" w:type="dxa"/>
          </w:tcPr>
          <w:p w14:paraId="1F73734C" w14:textId="77777777" w:rsidR="00F56319" w:rsidRDefault="00CE080E" w:rsidP="00CE080E">
            <w:pPr>
              <w:jc w:val="right"/>
            </w:pPr>
            <w:r>
              <w:t>-63.42%</w:t>
            </w:r>
          </w:p>
        </w:tc>
      </w:tr>
      <w:tr w:rsidR="00F56319" w14:paraId="2474E046" w14:textId="77777777" w:rsidTr="00F56319">
        <w:tc>
          <w:tcPr>
            <w:tcW w:w="1454" w:type="dxa"/>
          </w:tcPr>
          <w:p w14:paraId="41595D12" w14:textId="77777777" w:rsidR="00F56319" w:rsidRDefault="00F56319" w:rsidP="00880AEC">
            <w:pPr>
              <w:jc w:val="center"/>
            </w:pPr>
            <w:r>
              <w:rPr>
                <w:rFonts w:hint="eastAsia"/>
              </w:rPr>
              <w:t>002517</w:t>
            </w:r>
            <w:r>
              <w:t>.SZ</w:t>
            </w:r>
          </w:p>
        </w:tc>
        <w:tc>
          <w:tcPr>
            <w:tcW w:w="1522" w:type="dxa"/>
          </w:tcPr>
          <w:p w14:paraId="1C544293" w14:textId="77777777" w:rsidR="00F56319" w:rsidRDefault="00F56319" w:rsidP="00880AEC">
            <w:pPr>
              <w:jc w:val="center"/>
            </w:pPr>
            <w:r>
              <w:rPr>
                <w:rFonts w:hint="eastAsia"/>
              </w:rPr>
              <w:t>恺英网络</w:t>
            </w:r>
          </w:p>
        </w:tc>
        <w:tc>
          <w:tcPr>
            <w:tcW w:w="2126" w:type="dxa"/>
          </w:tcPr>
          <w:p w14:paraId="678ABC5E" w14:textId="77777777" w:rsidR="00F56319" w:rsidRDefault="00F56319" w:rsidP="00F56319">
            <w:pPr>
              <w:jc w:val="right"/>
            </w:pPr>
            <w:r>
              <w:t>66.60</w:t>
            </w:r>
          </w:p>
        </w:tc>
        <w:tc>
          <w:tcPr>
            <w:tcW w:w="2022" w:type="dxa"/>
          </w:tcPr>
          <w:p w14:paraId="5069607A" w14:textId="77777777" w:rsidR="00F56319" w:rsidRDefault="00F56319" w:rsidP="00CE080E">
            <w:pPr>
              <w:jc w:val="right"/>
            </w:pPr>
            <w:r>
              <w:t>14.92</w:t>
            </w:r>
          </w:p>
        </w:tc>
        <w:tc>
          <w:tcPr>
            <w:tcW w:w="1506" w:type="dxa"/>
          </w:tcPr>
          <w:p w14:paraId="75A70B99" w14:textId="77777777" w:rsidR="00F56319" w:rsidRDefault="00CE080E" w:rsidP="00CE080E">
            <w:pPr>
              <w:jc w:val="right"/>
            </w:pPr>
            <w:r>
              <w:t>-54.94%</w:t>
            </w:r>
          </w:p>
        </w:tc>
      </w:tr>
      <w:tr w:rsidR="00F56319" w14:paraId="0FCB87F9" w14:textId="77777777" w:rsidTr="00F56319">
        <w:tc>
          <w:tcPr>
            <w:tcW w:w="1454" w:type="dxa"/>
          </w:tcPr>
          <w:p w14:paraId="32CCA24A" w14:textId="77777777" w:rsidR="00F56319" w:rsidRDefault="00F56319" w:rsidP="00880AEC">
            <w:pPr>
              <w:jc w:val="center"/>
            </w:pPr>
            <w:r>
              <w:rPr>
                <w:rFonts w:hint="eastAsia"/>
              </w:rPr>
              <w:t>002174</w:t>
            </w:r>
            <w:r>
              <w:t>.SZ</w:t>
            </w:r>
          </w:p>
        </w:tc>
        <w:tc>
          <w:tcPr>
            <w:tcW w:w="1522" w:type="dxa"/>
          </w:tcPr>
          <w:p w14:paraId="6F7AC7F2" w14:textId="77777777" w:rsidR="00F56319" w:rsidRDefault="00F56319" w:rsidP="00880AEC">
            <w:pPr>
              <w:jc w:val="center"/>
            </w:pPr>
            <w:r>
              <w:rPr>
                <w:rFonts w:hint="eastAsia"/>
              </w:rPr>
              <w:t>游族网络</w:t>
            </w:r>
          </w:p>
        </w:tc>
        <w:tc>
          <w:tcPr>
            <w:tcW w:w="2126" w:type="dxa"/>
          </w:tcPr>
          <w:p w14:paraId="545591AA" w14:textId="77777777" w:rsidR="00F56319" w:rsidRDefault="00F56319" w:rsidP="00F56319">
            <w:pPr>
              <w:jc w:val="right"/>
            </w:pPr>
            <w:r>
              <w:t>152.17</w:t>
            </w:r>
          </w:p>
        </w:tc>
        <w:tc>
          <w:tcPr>
            <w:tcW w:w="2022" w:type="dxa"/>
          </w:tcPr>
          <w:p w14:paraId="71C1FF3F" w14:textId="77777777" w:rsidR="00F56319" w:rsidRDefault="00F56319" w:rsidP="00CE080E">
            <w:pPr>
              <w:jc w:val="right"/>
            </w:pPr>
            <w:r>
              <w:t>20.35</w:t>
            </w:r>
          </w:p>
        </w:tc>
        <w:tc>
          <w:tcPr>
            <w:tcW w:w="1506" w:type="dxa"/>
          </w:tcPr>
          <w:p w14:paraId="3A6A0195" w14:textId="77777777" w:rsidR="00F56319" w:rsidRDefault="00CE080E" w:rsidP="00CE080E">
            <w:pPr>
              <w:jc w:val="right"/>
            </w:pPr>
            <w:r>
              <w:t>-59.66%</w:t>
            </w:r>
          </w:p>
        </w:tc>
      </w:tr>
      <w:tr w:rsidR="00F56319" w14:paraId="2F371470" w14:textId="77777777" w:rsidTr="00F56319">
        <w:tc>
          <w:tcPr>
            <w:tcW w:w="1454" w:type="dxa"/>
          </w:tcPr>
          <w:p w14:paraId="0E2C22F1" w14:textId="77777777" w:rsidR="00F56319" w:rsidRDefault="00F56319" w:rsidP="00880AEC">
            <w:pPr>
              <w:jc w:val="center"/>
            </w:pPr>
            <w:r>
              <w:rPr>
                <w:rFonts w:hint="eastAsia"/>
              </w:rPr>
              <w:t>300315</w:t>
            </w:r>
            <w:r>
              <w:t>.SZ</w:t>
            </w:r>
          </w:p>
        </w:tc>
        <w:tc>
          <w:tcPr>
            <w:tcW w:w="1522" w:type="dxa"/>
          </w:tcPr>
          <w:p w14:paraId="4E4535F7" w14:textId="77777777" w:rsidR="00F56319" w:rsidRDefault="00F56319" w:rsidP="00880AEC">
            <w:pPr>
              <w:jc w:val="center"/>
            </w:pPr>
            <w:r>
              <w:rPr>
                <w:rFonts w:hint="eastAsia"/>
              </w:rPr>
              <w:t>掌趣科技</w:t>
            </w:r>
          </w:p>
        </w:tc>
        <w:tc>
          <w:tcPr>
            <w:tcW w:w="2126" w:type="dxa"/>
          </w:tcPr>
          <w:p w14:paraId="50342A55" w14:textId="77777777" w:rsidR="00F56319" w:rsidRDefault="00F56319" w:rsidP="00F56319">
            <w:pPr>
              <w:jc w:val="right"/>
            </w:pPr>
            <w:r>
              <w:t>41.81</w:t>
            </w:r>
          </w:p>
        </w:tc>
        <w:tc>
          <w:tcPr>
            <w:tcW w:w="2022" w:type="dxa"/>
          </w:tcPr>
          <w:p w14:paraId="7C48E467" w14:textId="77777777" w:rsidR="00F56319" w:rsidRDefault="00F56319" w:rsidP="00CE080E">
            <w:pPr>
              <w:jc w:val="right"/>
            </w:pPr>
            <w:r>
              <w:t>5.77</w:t>
            </w:r>
          </w:p>
        </w:tc>
        <w:tc>
          <w:tcPr>
            <w:tcW w:w="1506" w:type="dxa"/>
          </w:tcPr>
          <w:p w14:paraId="136F4858" w14:textId="77777777" w:rsidR="00F56319" w:rsidRDefault="00CE080E" w:rsidP="00CE080E">
            <w:pPr>
              <w:jc w:val="right"/>
            </w:pPr>
            <w:r>
              <w:t>-73.65%</w:t>
            </w:r>
          </w:p>
        </w:tc>
      </w:tr>
      <w:tr w:rsidR="00F56319" w14:paraId="0279654E" w14:textId="77777777" w:rsidTr="00F56319">
        <w:tc>
          <w:tcPr>
            <w:tcW w:w="1454" w:type="dxa"/>
          </w:tcPr>
          <w:p w14:paraId="6F17D690" w14:textId="77777777" w:rsidR="00F56319" w:rsidRDefault="00F56319" w:rsidP="00880AEC">
            <w:pPr>
              <w:jc w:val="center"/>
            </w:pPr>
            <w:r>
              <w:rPr>
                <w:rFonts w:hint="eastAsia"/>
              </w:rPr>
              <w:t>600138</w:t>
            </w:r>
            <w:r>
              <w:t>.SH</w:t>
            </w:r>
          </w:p>
        </w:tc>
        <w:tc>
          <w:tcPr>
            <w:tcW w:w="1522" w:type="dxa"/>
          </w:tcPr>
          <w:p w14:paraId="008F5644" w14:textId="77777777" w:rsidR="00F56319" w:rsidRDefault="00F56319" w:rsidP="00880AEC">
            <w:pPr>
              <w:jc w:val="center"/>
            </w:pPr>
            <w:r>
              <w:rPr>
                <w:rFonts w:hint="eastAsia"/>
              </w:rPr>
              <w:t>中青旅</w:t>
            </w:r>
          </w:p>
        </w:tc>
        <w:tc>
          <w:tcPr>
            <w:tcW w:w="2126" w:type="dxa"/>
          </w:tcPr>
          <w:p w14:paraId="15ED1D3D" w14:textId="77777777" w:rsidR="00F56319" w:rsidRDefault="00F56319" w:rsidP="00F56319">
            <w:pPr>
              <w:jc w:val="right"/>
            </w:pPr>
            <w:r>
              <w:t>29.78</w:t>
            </w:r>
          </w:p>
        </w:tc>
        <w:tc>
          <w:tcPr>
            <w:tcW w:w="2022" w:type="dxa"/>
          </w:tcPr>
          <w:p w14:paraId="448758EB" w14:textId="77777777" w:rsidR="00F56319" w:rsidRDefault="00F56319" w:rsidP="00CE080E">
            <w:pPr>
              <w:jc w:val="right"/>
            </w:pPr>
            <w:r>
              <w:t>21.19</w:t>
            </w:r>
          </w:p>
        </w:tc>
        <w:tc>
          <w:tcPr>
            <w:tcW w:w="1506" w:type="dxa"/>
          </w:tcPr>
          <w:p w14:paraId="176B17B6" w14:textId="77777777" w:rsidR="00F56319" w:rsidRDefault="00CE080E" w:rsidP="00CE080E">
            <w:pPr>
              <w:jc w:val="right"/>
            </w:pPr>
            <w:r>
              <w:t>-27.75%</w:t>
            </w:r>
          </w:p>
        </w:tc>
      </w:tr>
    </w:tbl>
    <w:p w14:paraId="0630200E" w14:textId="77777777" w:rsidR="005E5A70" w:rsidRDefault="005E5A70" w:rsidP="005E5A70"/>
    <w:p w14:paraId="7F4A6DD6" w14:textId="77777777" w:rsidR="005E5A70" w:rsidRPr="00425407" w:rsidRDefault="005E5A70" w:rsidP="005E5A70">
      <w:pPr>
        <w:rPr>
          <w:b/>
        </w:rPr>
      </w:pPr>
      <w:r w:rsidRPr="00425407">
        <w:rPr>
          <w:rFonts w:hint="eastAsia"/>
          <w:b/>
        </w:rPr>
        <w:t>2</w:t>
      </w:r>
      <w:r w:rsidRPr="00425407">
        <w:rPr>
          <w:rFonts w:hint="eastAsia"/>
          <w:b/>
        </w:rPr>
        <w:t>、世纪华通跟他们有何不同？还原世纪华通进入游戏行业的路径，写出从第一次收购游戏资产发布预案，到历次方案调整，直接交个的时点。写出后续重大</w:t>
      </w:r>
      <w:r w:rsidR="00FC4D89" w:rsidRPr="00425407">
        <w:rPr>
          <w:rFonts w:hint="eastAsia"/>
          <w:b/>
        </w:rPr>
        <w:t>收购（包括大股东收购游戏资产）的公告时点。</w:t>
      </w:r>
    </w:p>
    <w:tbl>
      <w:tblPr>
        <w:tblStyle w:val="a3"/>
        <w:tblW w:w="0" w:type="auto"/>
        <w:tblLook w:val="04A0" w:firstRow="1" w:lastRow="0" w:firstColumn="1" w:lastColumn="0" w:noHBand="0" w:noVBand="1"/>
      </w:tblPr>
      <w:tblGrid>
        <w:gridCol w:w="2126"/>
        <w:gridCol w:w="6504"/>
      </w:tblGrid>
      <w:tr w:rsidR="00F74785" w14:paraId="1AE008D9" w14:textId="77777777" w:rsidTr="00F74785">
        <w:tc>
          <w:tcPr>
            <w:tcW w:w="2126" w:type="dxa"/>
          </w:tcPr>
          <w:p w14:paraId="656496C7" w14:textId="77777777" w:rsidR="005D410B" w:rsidRDefault="005D410B" w:rsidP="00FA348E">
            <w:pPr>
              <w:jc w:val="center"/>
            </w:pPr>
            <w:r>
              <w:rPr>
                <w:rFonts w:hint="eastAsia"/>
              </w:rPr>
              <w:t>公告时间</w:t>
            </w:r>
          </w:p>
        </w:tc>
        <w:tc>
          <w:tcPr>
            <w:tcW w:w="6504" w:type="dxa"/>
          </w:tcPr>
          <w:p w14:paraId="5EF93E83" w14:textId="77777777" w:rsidR="005D410B" w:rsidRDefault="00FA348E" w:rsidP="00FA348E">
            <w:pPr>
              <w:jc w:val="center"/>
            </w:pPr>
            <w:r>
              <w:rPr>
                <w:rFonts w:hint="eastAsia"/>
              </w:rPr>
              <w:t>公告内容</w:t>
            </w:r>
          </w:p>
        </w:tc>
      </w:tr>
      <w:tr w:rsidR="00F74785" w14:paraId="79D836D2" w14:textId="77777777" w:rsidTr="00F74785">
        <w:tc>
          <w:tcPr>
            <w:tcW w:w="2126" w:type="dxa"/>
          </w:tcPr>
          <w:p w14:paraId="1FC03DD5" w14:textId="77777777" w:rsidR="005D410B" w:rsidRDefault="00AA4075" w:rsidP="005E5A70">
            <w:r>
              <w:rPr>
                <w:rFonts w:hint="eastAsia"/>
              </w:rPr>
              <w:t>2014</w:t>
            </w:r>
            <w:r>
              <w:rPr>
                <w:rFonts w:hint="eastAsia"/>
              </w:rPr>
              <w:t>年</w:t>
            </w:r>
            <w:r>
              <w:rPr>
                <w:rFonts w:hint="eastAsia"/>
              </w:rPr>
              <w:t>1</w:t>
            </w:r>
            <w:r>
              <w:rPr>
                <w:rFonts w:hint="eastAsia"/>
              </w:rPr>
              <w:t>月</w:t>
            </w:r>
            <w:r>
              <w:rPr>
                <w:rFonts w:hint="eastAsia"/>
              </w:rPr>
              <w:t>2</w:t>
            </w:r>
            <w:r>
              <w:rPr>
                <w:rFonts w:hint="eastAsia"/>
              </w:rPr>
              <w:t>日</w:t>
            </w:r>
          </w:p>
        </w:tc>
        <w:tc>
          <w:tcPr>
            <w:tcW w:w="6504" w:type="dxa"/>
          </w:tcPr>
          <w:p w14:paraId="2D10D56B" w14:textId="77777777" w:rsidR="005D410B" w:rsidRDefault="00AA4075" w:rsidP="005E5A70">
            <w:r>
              <w:rPr>
                <w:rFonts w:hint="eastAsia"/>
              </w:rPr>
              <w:t>发行股份及支付现金购买天游软件</w:t>
            </w:r>
            <w:r>
              <w:rPr>
                <w:rFonts w:hint="eastAsia"/>
              </w:rPr>
              <w:t>100%</w:t>
            </w:r>
            <w:r>
              <w:rPr>
                <w:rFonts w:hint="eastAsia"/>
              </w:rPr>
              <w:t>股权和七酷网络</w:t>
            </w:r>
            <w:r>
              <w:rPr>
                <w:rFonts w:hint="eastAsia"/>
              </w:rPr>
              <w:t>100%</w:t>
            </w:r>
            <w:r>
              <w:rPr>
                <w:rFonts w:hint="eastAsia"/>
              </w:rPr>
              <w:t>股权并募集配套资金暨关联交易预案</w:t>
            </w:r>
          </w:p>
        </w:tc>
      </w:tr>
      <w:tr w:rsidR="00F74785" w14:paraId="4C0E9B18" w14:textId="77777777" w:rsidTr="00F74785">
        <w:tc>
          <w:tcPr>
            <w:tcW w:w="2126" w:type="dxa"/>
          </w:tcPr>
          <w:p w14:paraId="76BC0508" w14:textId="77777777" w:rsidR="005D410B" w:rsidRDefault="00901119" w:rsidP="005E5A70">
            <w:r>
              <w:rPr>
                <w:rFonts w:hint="eastAsia"/>
              </w:rPr>
              <w:t>2014</w:t>
            </w:r>
            <w:r>
              <w:rPr>
                <w:rFonts w:hint="eastAsia"/>
              </w:rPr>
              <w:t>年</w:t>
            </w:r>
            <w:r>
              <w:rPr>
                <w:rFonts w:hint="eastAsia"/>
              </w:rPr>
              <w:t>3</w:t>
            </w:r>
            <w:r>
              <w:rPr>
                <w:rFonts w:hint="eastAsia"/>
              </w:rPr>
              <w:t>月</w:t>
            </w:r>
            <w:r>
              <w:rPr>
                <w:rFonts w:hint="eastAsia"/>
              </w:rPr>
              <w:t>19</w:t>
            </w:r>
            <w:r>
              <w:rPr>
                <w:rFonts w:hint="eastAsia"/>
              </w:rPr>
              <w:t>日</w:t>
            </w:r>
          </w:p>
        </w:tc>
        <w:tc>
          <w:tcPr>
            <w:tcW w:w="6504" w:type="dxa"/>
          </w:tcPr>
          <w:p w14:paraId="2619EFBB" w14:textId="77777777" w:rsidR="005D410B" w:rsidRDefault="00AA4075" w:rsidP="005E5A70">
            <w:r>
              <w:rPr>
                <w:rFonts w:hint="eastAsia"/>
              </w:rPr>
              <w:t>发行股份及支付现金购买天游软件</w:t>
            </w:r>
            <w:r>
              <w:rPr>
                <w:rFonts w:hint="eastAsia"/>
              </w:rPr>
              <w:t>100%</w:t>
            </w:r>
            <w:r>
              <w:rPr>
                <w:rFonts w:hint="eastAsia"/>
              </w:rPr>
              <w:t>股权和七酷网络</w:t>
            </w:r>
            <w:r>
              <w:rPr>
                <w:rFonts w:hint="eastAsia"/>
              </w:rPr>
              <w:t>100%</w:t>
            </w:r>
            <w:r>
              <w:rPr>
                <w:rFonts w:hint="eastAsia"/>
              </w:rPr>
              <w:t>股权并募集配套资金暨关联交易</w:t>
            </w:r>
            <w:r w:rsidR="005A73D2">
              <w:rPr>
                <w:rFonts w:hint="eastAsia"/>
              </w:rPr>
              <w:t>（</w:t>
            </w:r>
            <w:r>
              <w:rPr>
                <w:rFonts w:hint="eastAsia"/>
              </w:rPr>
              <w:t>草案</w:t>
            </w:r>
            <w:r w:rsidR="005A73D2">
              <w:rPr>
                <w:rFonts w:hint="eastAsia"/>
              </w:rPr>
              <w:t>）</w:t>
            </w:r>
          </w:p>
        </w:tc>
      </w:tr>
      <w:tr w:rsidR="00F74785" w14:paraId="5D206964" w14:textId="77777777" w:rsidTr="00F74785">
        <w:tc>
          <w:tcPr>
            <w:tcW w:w="2126" w:type="dxa"/>
          </w:tcPr>
          <w:p w14:paraId="6760D077" w14:textId="77777777" w:rsidR="005D410B" w:rsidRDefault="00A71740" w:rsidP="00A71740">
            <w:r>
              <w:rPr>
                <w:rFonts w:hint="eastAsia"/>
              </w:rPr>
              <w:t>2014</w:t>
            </w:r>
            <w:r>
              <w:rPr>
                <w:rFonts w:hint="eastAsia"/>
              </w:rPr>
              <w:t>年</w:t>
            </w:r>
            <w:r>
              <w:rPr>
                <w:rFonts w:hint="eastAsia"/>
              </w:rPr>
              <w:t>4</w:t>
            </w:r>
            <w:r>
              <w:rPr>
                <w:rFonts w:hint="eastAsia"/>
              </w:rPr>
              <w:t>月</w:t>
            </w:r>
            <w:r>
              <w:rPr>
                <w:rFonts w:hint="eastAsia"/>
              </w:rPr>
              <w:t>11</w:t>
            </w:r>
            <w:r>
              <w:rPr>
                <w:rFonts w:hint="eastAsia"/>
              </w:rPr>
              <w:t>日</w:t>
            </w:r>
          </w:p>
        </w:tc>
        <w:tc>
          <w:tcPr>
            <w:tcW w:w="6504" w:type="dxa"/>
          </w:tcPr>
          <w:p w14:paraId="082A62E4" w14:textId="77777777" w:rsidR="005D410B" w:rsidRDefault="00A71740" w:rsidP="005E5A70">
            <w:r>
              <w:rPr>
                <w:rFonts w:hint="eastAsia"/>
              </w:rPr>
              <w:t>中国证监会</w:t>
            </w:r>
            <w:r w:rsidR="007D64FA">
              <w:rPr>
                <w:rFonts w:hint="eastAsia"/>
              </w:rPr>
              <w:t>予以受理</w:t>
            </w:r>
            <w:r w:rsidR="00352DE9">
              <w:rPr>
                <w:rFonts w:hint="eastAsia"/>
              </w:rPr>
              <w:t>收购天游软件</w:t>
            </w:r>
            <w:r w:rsidR="00352DE9">
              <w:rPr>
                <w:rFonts w:hint="eastAsia"/>
              </w:rPr>
              <w:t>100%</w:t>
            </w:r>
            <w:r w:rsidR="00352DE9">
              <w:rPr>
                <w:rFonts w:hint="eastAsia"/>
              </w:rPr>
              <w:t>股权和七酷网络</w:t>
            </w:r>
            <w:r w:rsidR="00352DE9">
              <w:rPr>
                <w:rFonts w:hint="eastAsia"/>
              </w:rPr>
              <w:t>100%</w:t>
            </w:r>
            <w:r w:rsidR="00352DE9">
              <w:rPr>
                <w:rFonts w:hint="eastAsia"/>
              </w:rPr>
              <w:t>股权的</w:t>
            </w:r>
            <w:r w:rsidR="007D64FA">
              <w:rPr>
                <w:rFonts w:hint="eastAsia"/>
              </w:rPr>
              <w:t>重大</w:t>
            </w:r>
            <w:r w:rsidR="00352DE9">
              <w:rPr>
                <w:rFonts w:hint="eastAsia"/>
              </w:rPr>
              <w:t>资产重组事宜</w:t>
            </w:r>
          </w:p>
        </w:tc>
      </w:tr>
      <w:tr w:rsidR="00F74785" w14:paraId="45C42CC6" w14:textId="77777777" w:rsidTr="00F74785">
        <w:tc>
          <w:tcPr>
            <w:tcW w:w="2126" w:type="dxa"/>
          </w:tcPr>
          <w:p w14:paraId="3F7813BE" w14:textId="77777777" w:rsidR="005D410B" w:rsidRDefault="00F961ED" w:rsidP="00F961ED">
            <w:r>
              <w:rPr>
                <w:rFonts w:hint="eastAsia"/>
              </w:rPr>
              <w:t>2014</w:t>
            </w:r>
            <w:r>
              <w:rPr>
                <w:rFonts w:hint="eastAsia"/>
              </w:rPr>
              <w:t>年</w:t>
            </w:r>
            <w:r>
              <w:rPr>
                <w:rFonts w:hint="eastAsia"/>
              </w:rPr>
              <w:t>7</w:t>
            </w:r>
            <w:r>
              <w:rPr>
                <w:rFonts w:hint="eastAsia"/>
              </w:rPr>
              <w:t>月</w:t>
            </w:r>
            <w:r>
              <w:rPr>
                <w:rFonts w:hint="eastAsia"/>
              </w:rPr>
              <w:t>1</w:t>
            </w:r>
            <w:r>
              <w:rPr>
                <w:rFonts w:hint="eastAsia"/>
              </w:rPr>
              <w:t>日</w:t>
            </w:r>
          </w:p>
        </w:tc>
        <w:tc>
          <w:tcPr>
            <w:tcW w:w="6504" w:type="dxa"/>
          </w:tcPr>
          <w:p w14:paraId="7C9A47DF" w14:textId="77777777" w:rsidR="005D410B" w:rsidRDefault="00352DE9" w:rsidP="005E5A70">
            <w:r>
              <w:rPr>
                <w:rFonts w:hint="eastAsia"/>
              </w:rPr>
              <w:t>中国证监会核准收购天游软件</w:t>
            </w:r>
            <w:r>
              <w:rPr>
                <w:rFonts w:hint="eastAsia"/>
              </w:rPr>
              <w:t>100%</w:t>
            </w:r>
            <w:r>
              <w:rPr>
                <w:rFonts w:hint="eastAsia"/>
              </w:rPr>
              <w:t>股权和七酷网络</w:t>
            </w:r>
            <w:r>
              <w:rPr>
                <w:rFonts w:hint="eastAsia"/>
              </w:rPr>
              <w:t>100%</w:t>
            </w:r>
            <w:r>
              <w:rPr>
                <w:rFonts w:hint="eastAsia"/>
              </w:rPr>
              <w:t>股权的重大资产重组事宜</w:t>
            </w:r>
          </w:p>
        </w:tc>
      </w:tr>
      <w:tr w:rsidR="00352DE9" w14:paraId="0F693305" w14:textId="77777777" w:rsidTr="00F74785">
        <w:tc>
          <w:tcPr>
            <w:tcW w:w="2126" w:type="dxa"/>
          </w:tcPr>
          <w:p w14:paraId="11F67E07" w14:textId="77777777" w:rsidR="00352DE9" w:rsidRDefault="00BB57A4" w:rsidP="00BB57A4">
            <w:r>
              <w:rPr>
                <w:rFonts w:hint="eastAsia"/>
              </w:rPr>
              <w:lastRenderedPageBreak/>
              <w:t>2014</w:t>
            </w:r>
            <w:r>
              <w:rPr>
                <w:rFonts w:hint="eastAsia"/>
              </w:rPr>
              <w:t>年</w:t>
            </w:r>
            <w:r>
              <w:rPr>
                <w:rFonts w:hint="eastAsia"/>
              </w:rPr>
              <w:t>7</w:t>
            </w:r>
            <w:r>
              <w:rPr>
                <w:rFonts w:hint="eastAsia"/>
              </w:rPr>
              <w:t>月</w:t>
            </w:r>
            <w:r>
              <w:rPr>
                <w:rFonts w:hint="eastAsia"/>
              </w:rPr>
              <w:t>28</w:t>
            </w:r>
            <w:r>
              <w:rPr>
                <w:rFonts w:hint="eastAsia"/>
              </w:rPr>
              <w:t>日</w:t>
            </w:r>
          </w:p>
        </w:tc>
        <w:tc>
          <w:tcPr>
            <w:tcW w:w="6504" w:type="dxa"/>
          </w:tcPr>
          <w:p w14:paraId="384D7AB5" w14:textId="77777777" w:rsidR="00352DE9" w:rsidRDefault="00BB57A4" w:rsidP="005E5A70">
            <w:r>
              <w:rPr>
                <w:rFonts w:hint="eastAsia"/>
              </w:rPr>
              <w:t>获得中国证监会核准收购天游软件</w:t>
            </w:r>
            <w:r>
              <w:rPr>
                <w:rFonts w:hint="eastAsia"/>
              </w:rPr>
              <w:t>100%</w:t>
            </w:r>
            <w:r>
              <w:rPr>
                <w:rFonts w:hint="eastAsia"/>
              </w:rPr>
              <w:t>股权和七酷网络</w:t>
            </w:r>
            <w:r>
              <w:rPr>
                <w:rFonts w:hint="eastAsia"/>
              </w:rPr>
              <w:t>100%</w:t>
            </w:r>
            <w:r>
              <w:rPr>
                <w:rFonts w:hint="eastAsia"/>
              </w:rPr>
              <w:t>股权的重大资产重组事宜的批复</w:t>
            </w:r>
          </w:p>
        </w:tc>
      </w:tr>
      <w:tr w:rsidR="00352DE9" w14:paraId="1ACBB310" w14:textId="77777777" w:rsidTr="00F74785">
        <w:tc>
          <w:tcPr>
            <w:tcW w:w="2126" w:type="dxa"/>
          </w:tcPr>
          <w:p w14:paraId="51D7024F" w14:textId="77777777" w:rsidR="00352DE9" w:rsidRDefault="009A2B44" w:rsidP="009A2B44">
            <w:r>
              <w:rPr>
                <w:rFonts w:hint="eastAsia"/>
              </w:rPr>
              <w:t>2014</w:t>
            </w:r>
            <w:r>
              <w:rPr>
                <w:rFonts w:hint="eastAsia"/>
              </w:rPr>
              <w:t>年</w:t>
            </w:r>
            <w:r>
              <w:rPr>
                <w:rFonts w:hint="eastAsia"/>
              </w:rPr>
              <w:t>8</w:t>
            </w:r>
            <w:r>
              <w:rPr>
                <w:rFonts w:hint="eastAsia"/>
              </w:rPr>
              <w:t>月</w:t>
            </w:r>
            <w:r>
              <w:rPr>
                <w:rFonts w:hint="eastAsia"/>
              </w:rPr>
              <w:t>25</w:t>
            </w:r>
            <w:r>
              <w:rPr>
                <w:rFonts w:hint="eastAsia"/>
              </w:rPr>
              <w:t>日</w:t>
            </w:r>
          </w:p>
        </w:tc>
        <w:tc>
          <w:tcPr>
            <w:tcW w:w="6504" w:type="dxa"/>
          </w:tcPr>
          <w:p w14:paraId="40807315" w14:textId="77777777" w:rsidR="00352DE9" w:rsidRDefault="009A2B44" w:rsidP="005E5A70">
            <w:r>
              <w:rPr>
                <w:rFonts w:hint="eastAsia"/>
              </w:rPr>
              <w:t>天游软件</w:t>
            </w:r>
            <w:r>
              <w:rPr>
                <w:rFonts w:hint="eastAsia"/>
              </w:rPr>
              <w:t>100%</w:t>
            </w:r>
            <w:r>
              <w:rPr>
                <w:rFonts w:hint="eastAsia"/>
              </w:rPr>
              <w:t>股权、七酷网络</w:t>
            </w:r>
            <w:r>
              <w:rPr>
                <w:rFonts w:hint="eastAsia"/>
              </w:rPr>
              <w:t>100%</w:t>
            </w:r>
            <w:r>
              <w:rPr>
                <w:rFonts w:hint="eastAsia"/>
              </w:rPr>
              <w:t>股权完成过户</w:t>
            </w:r>
          </w:p>
        </w:tc>
      </w:tr>
      <w:tr w:rsidR="00352DE9" w14:paraId="6DE8B76D" w14:textId="77777777" w:rsidTr="00F74785">
        <w:tc>
          <w:tcPr>
            <w:tcW w:w="2126" w:type="dxa"/>
          </w:tcPr>
          <w:p w14:paraId="13A13CC4" w14:textId="77777777" w:rsidR="00352DE9" w:rsidRDefault="00750508" w:rsidP="00750508">
            <w:r>
              <w:rPr>
                <w:rFonts w:hint="eastAsia"/>
              </w:rPr>
              <w:t>2015</w:t>
            </w:r>
            <w:r>
              <w:rPr>
                <w:rFonts w:hint="eastAsia"/>
              </w:rPr>
              <w:t>年</w:t>
            </w:r>
            <w:r>
              <w:rPr>
                <w:rFonts w:hint="eastAsia"/>
              </w:rPr>
              <w:t>12</w:t>
            </w:r>
            <w:r>
              <w:rPr>
                <w:rFonts w:hint="eastAsia"/>
              </w:rPr>
              <w:t>月</w:t>
            </w:r>
            <w:r>
              <w:rPr>
                <w:rFonts w:hint="eastAsia"/>
              </w:rPr>
              <w:t>1</w:t>
            </w:r>
            <w:r>
              <w:rPr>
                <w:rFonts w:hint="eastAsia"/>
              </w:rPr>
              <w:t>日</w:t>
            </w:r>
          </w:p>
        </w:tc>
        <w:tc>
          <w:tcPr>
            <w:tcW w:w="6504" w:type="dxa"/>
          </w:tcPr>
          <w:p w14:paraId="2BA4D76A" w14:textId="77777777" w:rsidR="00352DE9" w:rsidRDefault="00750508" w:rsidP="00750508">
            <w:r>
              <w:rPr>
                <w:rFonts w:hint="eastAsia"/>
              </w:rPr>
              <w:t>发行股份及支付现金购买中手游移动科技</w:t>
            </w:r>
            <w:r>
              <w:rPr>
                <w:rFonts w:hint="eastAsia"/>
              </w:rPr>
              <w:t>100%</w:t>
            </w:r>
            <w:r>
              <w:rPr>
                <w:rFonts w:hint="eastAsia"/>
              </w:rPr>
              <w:t>股权、菁尧国际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sidR="00DA0101">
              <w:rPr>
                <w:rFonts w:hint="eastAsia"/>
              </w:rPr>
              <w:t>40</w:t>
            </w:r>
            <w:r>
              <w:rPr>
                <w:rFonts w:hint="eastAsia"/>
              </w:rPr>
              <w:t>%</w:t>
            </w:r>
            <w:r>
              <w:rPr>
                <w:rFonts w:hint="eastAsia"/>
              </w:rPr>
              <w:t>股权并募集配套资金暨关联交易</w:t>
            </w:r>
            <w:r w:rsidR="00D367E5">
              <w:rPr>
                <w:rFonts w:hint="eastAsia"/>
              </w:rPr>
              <w:t>预案</w:t>
            </w:r>
          </w:p>
        </w:tc>
      </w:tr>
      <w:tr w:rsidR="00D367E5" w14:paraId="115481F7" w14:textId="77777777" w:rsidTr="00F74785">
        <w:tc>
          <w:tcPr>
            <w:tcW w:w="2126" w:type="dxa"/>
          </w:tcPr>
          <w:p w14:paraId="13D1BA1A" w14:textId="77777777" w:rsidR="00D367E5" w:rsidRDefault="00D367E5" w:rsidP="00D367E5">
            <w:r>
              <w:rPr>
                <w:rFonts w:hint="eastAsia"/>
              </w:rPr>
              <w:t>2016</w:t>
            </w:r>
            <w:r>
              <w:rPr>
                <w:rFonts w:hint="eastAsia"/>
              </w:rPr>
              <w:t>年</w:t>
            </w:r>
            <w:r>
              <w:rPr>
                <w:rFonts w:hint="eastAsia"/>
              </w:rPr>
              <w:t>4</w:t>
            </w:r>
            <w:r>
              <w:rPr>
                <w:rFonts w:hint="eastAsia"/>
              </w:rPr>
              <w:t>月</w:t>
            </w:r>
            <w:r>
              <w:rPr>
                <w:rFonts w:hint="eastAsia"/>
              </w:rPr>
              <w:t>14</w:t>
            </w:r>
            <w:r>
              <w:rPr>
                <w:rFonts w:hint="eastAsia"/>
              </w:rPr>
              <w:t>日</w:t>
            </w:r>
          </w:p>
        </w:tc>
        <w:tc>
          <w:tcPr>
            <w:tcW w:w="6504" w:type="dxa"/>
          </w:tcPr>
          <w:p w14:paraId="6FDD2154" w14:textId="77777777" w:rsidR="00D367E5" w:rsidRDefault="00D367E5" w:rsidP="00D367E5">
            <w:r>
              <w:rPr>
                <w:rFonts w:hint="eastAsia"/>
              </w:rPr>
              <w:t>发行股份及支付现金购买中手游移动科技</w:t>
            </w:r>
            <w:r>
              <w:rPr>
                <w:rFonts w:hint="eastAsia"/>
              </w:rPr>
              <w:t>100%</w:t>
            </w:r>
            <w:r>
              <w:rPr>
                <w:rFonts w:hint="eastAsia"/>
              </w:rPr>
              <w:t>股权、菁尧国际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Pr>
                <w:rFonts w:hint="eastAsia"/>
              </w:rPr>
              <w:t>40%</w:t>
            </w:r>
            <w:r>
              <w:rPr>
                <w:rFonts w:hint="eastAsia"/>
              </w:rPr>
              <w:t>股权并募集配套资金暨关联交易（草案）</w:t>
            </w:r>
          </w:p>
        </w:tc>
      </w:tr>
      <w:tr w:rsidR="00D367E5" w14:paraId="6FCA7211" w14:textId="77777777" w:rsidTr="00F74785">
        <w:tc>
          <w:tcPr>
            <w:tcW w:w="2126" w:type="dxa"/>
          </w:tcPr>
          <w:p w14:paraId="720A8A50" w14:textId="77777777" w:rsidR="00D367E5" w:rsidRDefault="00173A43" w:rsidP="00173A43">
            <w:r>
              <w:rPr>
                <w:rFonts w:hint="eastAsia"/>
              </w:rPr>
              <w:t>2016</w:t>
            </w:r>
            <w:r>
              <w:rPr>
                <w:rFonts w:hint="eastAsia"/>
              </w:rPr>
              <w:t>年</w:t>
            </w:r>
            <w:r>
              <w:rPr>
                <w:rFonts w:hint="eastAsia"/>
              </w:rPr>
              <w:t>9</w:t>
            </w:r>
            <w:r>
              <w:rPr>
                <w:rFonts w:hint="eastAsia"/>
              </w:rPr>
              <w:t>月</w:t>
            </w:r>
            <w:r>
              <w:rPr>
                <w:rFonts w:hint="eastAsia"/>
              </w:rPr>
              <w:t>6</w:t>
            </w:r>
            <w:r>
              <w:rPr>
                <w:rFonts w:hint="eastAsia"/>
              </w:rPr>
              <w:t>日</w:t>
            </w:r>
          </w:p>
        </w:tc>
        <w:tc>
          <w:tcPr>
            <w:tcW w:w="6504" w:type="dxa"/>
          </w:tcPr>
          <w:p w14:paraId="19691800" w14:textId="77777777" w:rsidR="00D367E5" w:rsidRDefault="00173A43" w:rsidP="005E5A70">
            <w:r>
              <w:rPr>
                <w:rFonts w:hint="eastAsia"/>
              </w:rPr>
              <w:t>重大资产重组方案将进行调整</w:t>
            </w:r>
          </w:p>
        </w:tc>
      </w:tr>
      <w:tr w:rsidR="00D367E5" w14:paraId="18E7F692" w14:textId="77777777" w:rsidTr="00F74785">
        <w:tc>
          <w:tcPr>
            <w:tcW w:w="2126" w:type="dxa"/>
          </w:tcPr>
          <w:p w14:paraId="4486ED9D" w14:textId="77777777" w:rsidR="00D367E5" w:rsidRDefault="00E245EE" w:rsidP="00E245EE">
            <w:r>
              <w:rPr>
                <w:rFonts w:hint="eastAsia"/>
              </w:rPr>
              <w:t>2016</w:t>
            </w:r>
            <w:r>
              <w:rPr>
                <w:rFonts w:hint="eastAsia"/>
              </w:rPr>
              <w:t>年</w:t>
            </w:r>
            <w:r>
              <w:rPr>
                <w:rFonts w:hint="eastAsia"/>
              </w:rPr>
              <w:t>9</w:t>
            </w:r>
            <w:r>
              <w:rPr>
                <w:rFonts w:hint="eastAsia"/>
              </w:rPr>
              <w:t>月</w:t>
            </w:r>
            <w:r>
              <w:rPr>
                <w:rFonts w:hint="eastAsia"/>
              </w:rPr>
              <w:t>21</w:t>
            </w:r>
            <w:r>
              <w:rPr>
                <w:rFonts w:hint="eastAsia"/>
              </w:rPr>
              <w:t>日</w:t>
            </w:r>
          </w:p>
        </w:tc>
        <w:tc>
          <w:tcPr>
            <w:tcW w:w="6504" w:type="dxa"/>
          </w:tcPr>
          <w:p w14:paraId="07566832" w14:textId="77777777" w:rsidR="00D367E5" w:rsidRDefault="00E245EE" w:rsidP="00E245EE">
            <w:r>
              <w:rPr>
                <w:rFonts w:hint="eastAsia"/>
              </w:rPr>
              <w:t>发行股份及支付现金购买菁尧国际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Pr>
                <w:rFonts w:hint="eastAsia"/>
              </w:rPr>
              <w:t>40%</w:t>
            </w:r>
            <w:r>
              <w:rPr>
                <w:rFonts w:hint="eastAsia"/>
              </w:rPr>
              <w:t>股权并募集配套资金暨关联交易（草案）</w:t>
            </w:r>
          </w:p>
        </w:tc>
      </w:tr>
      <w:tr w:rsidR="00D367E5" w14:paraId="78B0637D" w14:textId="77777777" w:rsidTr="00F74785">
        <w:tc>
          <w:tcPr>
            <w:tcW w:w="2126" w:type="dxa"/>
          </w:tcPr>
          <w:p w14:paraId="15EAFF8E" w14:textId="77777777" w:rsidR="00D367E5" w:rsidRDefault="00F74785" w:rsidP="00F74785">
            <w:r>
              <w:rPr>
                <w:rFonts w:hint="eastAsia"/>
              </w:rPr>
              <w:t>2016</w:t>
            </w:r>
            <w:r>
              <w:rPr>
                <w:rFonts w:hint="eastAsia"/>
              </w:rPr>
              <w:t>年</w:t>
            </w:r>
            <w:r>
              <w:rPr>
                <w:rFonts w:hint="eastAsia"/>
              </w:rPr>
              <w:t>10</w:t>
            </w:r>
            <w:r>
              <w:rPr>
                <w:rFonts w:hint="eastAsia"/>
              </w:rPr>
              <w:t>月</w:t>
            </w:r>
            <w:r>
              <w:rPr>
                <w:rFonts w:hint="eastAsia"/>
              </w:rPr>
              <w:t>19</w:t>
            </w:r>
            <w:r>
              <w:rPr>
                <w:rFonts w:hint="eastAsia"/>
              </w:rPr>
              <w:t>日</w:t>
            </w:r>
          </w:p>
        </w:tc>
        <w:tc>
          <w:tcPr>
            <w:tcW w:w="6504" w:type="dxa"/>
          </w:tcPr>
          <w:p w14:paraId="735AAD1F" w14:textId="77777777" w:rsidR="00D367E5" w:rsidRDefault="00F74785" w:rsidP="00F74785">
            <w:r>
              <w:rPr>
                <w:rFonts w:hint="eastAsia"/>
              </w:rPr>
              <w:t>证监会受理发行股份及支付现金购买菁尧国际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Pr>
                <w:rFonts w:hint="eastAsia"/>
              </w:rPr>
              <w:t>40%</w:t>
            </w:r>
            <w:r>
              <w:rPr>
                <w:rFonts w:hint="eastAsia"/>
              </w:rPr>
              <w:t>股权并募集配套资金暨关联交易事宜</w:t>
            </w:r>
          </w:p>
        </w:tc>
      </w:tr>
      <w:tr w:rsidR="00D367E5" w14:paraId="2F7A2CB1" w14:textId="77777777" w:rsidTr="00F74785">
        <w:tc>
          <w:tcPr>
            <w:tcW w:w="2126" w:type="dxa"/>
          </w:tcPr>
          <w:p w14:paraId="21E59B89" w14:textId="77777777" w:rsidR="00D367E5" w:rsidRDefault="007B43A2" w:rsidP="007B43A2">
            <w:r>
              <w:rPr>
                <w:rFonts w:hint="eastAsia"/>
              </w:rPr>
              <w:t>2016</w:t>
            </w:r>
            <w:r>
              <w:rPr>
                <w:rFonts w:hint="eastAsia"/>
              </w:rPr>
              <w:t>年</w:t>
            </w:r>
            <w:r>
              <w:rPr>
                <w:rFonts w:hint="eastAsia"/>
              </w:rPr>
              <w:t>12</w:t>
            </w:r>
            <w:r>
              <w:rPr>
                <w:rFonts w:hint="eastAsia"/>
              </w:rPr>
              <w:t>月</w:t>
            </w:r>
            <w:r>
              <w:rPr>
                <w:rFonts w:hint="eastAsia"/>
              </w:rPr>
              <w:t>12</w:t>
            </w:r>
            <w:r>
              <w:rPr>
                <w:rFonts w:hint="eastAsia"/>
              </w:rPr>
              <w:t>日</w:t>
            </w:r>
          </w:p>
        </w:tc>
        <w:tc>
          <w:tcPr>
            <w:tcW w:w="6504" w:type="dxa"/>
          </w:tcPr>
          <w:p w14:paraId="008CAA9E" w14:textId="77777777" w:rsidR="00D367E5" w:rsidRDefault="007B43A2" w:rsidP="005E5A70">
            <w:r>
              <w:rPr>
                <w:rFonts w:hint="eastAsia"/>
              </w:rPr>
              <w:t>发行股份及支付现金购买菁尧国际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Pr>
                <w:rFonts w:hint="eastAsia"/>
              </w:rPr>
              <w:t>40%</w:t>
            </w:r>
            <w:r>
              <w:rPr>
                <w:rFonts w:hint="eastAsia"/>
              </w:rPr>
              <w:t>股权并募集配套资金暨关联交易获证监会有条件通过</w:t>
            </w:r>
          </w:p>
        </w:tc>
      </w:tr>
      <w:tr w:rsidR="008410AC" w14:paraId="1F3530BA" w14:textId="77777777" w:rsidTr="00F74785">
        <w:tc>
          <w:tcPr>
            <w:tcW w:w="2126" w:type="dxa"/>
          </w:tcPr>
          <w:p w14:paraId="7D114C1A" w14:textId="77777777" w:rsidR="008410AC" w:rsidRDefault="008410AC" w:rsidP="007B43A2">
            <w:r>
              <w:rPr>
                <w:rFonts w:hint="eastAsia"/>
              </w:rPr>
              <w:t>2017</w:t>
            </w:r>
            <w:r>
              <w:rPr>
                <w:rFonts w:hint="eastAsia"/>
              </w:rPr>
              <w:t>年</w:t>
            </w:r>
            <w:r>
              <w:rPr>
                <w:rFonts w:hint="eastAsia"/>
              </w:rPr>
              <w:t>2</w:t>
            </w:r>
            <w:r>
              <w:rPr>
                <w:rFonts w:hint="eastAsia"/>
              </w:rPr>
              <w:t>月</w:t>
            </w:r>
            <w:r>
              <w:rPr>
                <w:rFonts w:hint="eastAsia"/>
              </w:rPr>
              <w:t>17</w:t>
            </w:r>
            <w:r>
              <w:rPr>
                <w:rFonts w:hint="eastAsia"/>
              </w:rPr>
              <w:t>日</w:t>
            </w:r>
          </w:p>
        </w:tc>
        <w:tc>
          <w:tcPr>
            <w:tcW w:w="6504" w:type="dxa"/>
          </w:tcPr>
          <w:p w14:paraId="1BA189EE" w14:textId="77777777" w:rsidR="008410AC" w:rsidRDefault="008410AC" w:rsidP="005E5A70">
            <w:r>
              <w:rPr>
                <w:rFonts w:hint="eastAsia"/>
              </w:rPr>
              <w:t>获得发行股份及支付现金购买菁尧国际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Pr>
                <w:rFonts w:hint="eastAsia"/>
              </w:rPr>
              <w:t>40%</w:t>
            </w:r>
            <w:r>
              <w:rPr>
                <w:rFonts w:hint="eastAsia"/>
              </w:rPr>
              <w:t>股权并募集配套资金暨关联交易批复</w:t>
            </w:r>
          </w:p>
        </w:tc>
      </w:tr>
      <w:tr w:rsidR="008410AC" w14:paraId="602C0F98" w14:textId="77777777" w:rsidTr="00F74785">
        <w:tc>
          <w:tcPr>
            <w:tcW w:w="2126" w:type="dxa"/>
          </w:tcPr>
          <w:p w14:paraId="569B0B10" w14:textId="77777777" w:rsidR="008410AC" w:rsidRDefault="008410AC" w:rsidP="004441A4">
            <w:r>
              <w:rPr>
                <w:rFonts w:hint="eastAsia"/>
              </w:rPr>
              <w:t>2017</w:t>
            </w:r>
            <w:r>
              <w:rPr>
                <w:rFonts w:hint="eastAsia"/>
              </w:rPr>
              <w:t>年</w:t>
            </w:r>
            <w:r w:rsidR="004441A4">
              <w:rPr>
                <w:rFonts w:hint="eastAsia"/>
              </w:rPr>
              <w:t>6</w:t>
            </w:r>
            <w:r>
              <w:rPr>
                <w:rFonts w:hint="eastAsia"/>
              </w:rPr>
              <w:t>月</w:t>
            </w:r>
            <w:r w:rsidR="004441A4">
              <w:rPr>
                <w:rFonts w:hint="eastAsia"/>
              </w:rPr>
              <w:t>14</w:t>
            </w:r>
            <w:r>
              <w:rPr>
                <w:rFonts w:hint="eastAsia"/>
              </w:rPr>
              <w:t>日</w:t>
            </w:r>
          </w:p>
        </w:tc>
        <w:tc>
          <w:tcPr>
            <w:tcW w:w="6504" w:type="dxa"/>
          </w:tcPr>
          <w:p w14:paraId="15044732" w14:textId="77777777" w:rsidR="008410AC" w:rsidRDefault="004441A4" w:rsidP="005E5A70">
            <w:r>
              <w:rPr>
                <w:rFonts w:hint="eastAsia"/>
              </w:rPr>
              <w:t>控股股东及大股东</w:t>
            </w:r>
            <w:r w:rsidR="00F14251">
              <w:rPr>
                <w:rFonts w:hint="eastAsia"/>
              </w:rPr>
              <w:t>完成收购盛大游戏</w:t>
            </w:r>
            <w:r w:rsidR="00F14251">
              <w:rPr>
                <w:rFonts w:hint="eastAsia"/>
              </w:rPr>
              <w:t>90.92%</w:t>
            </w:r>
            <w:r w:rsidR="00F14251">
              <w:rPr>
                <w:rFonts w:hint="eastAsia"/>
              </w:rPr>
              <w:t>股权</w:t>
            </w:r>
          </w:p>
        </w:tc>
      </w:tr>
      <w:tr w:rsidR="00BA1884" w14:paraId="42008E1A" w14:textId="77777777" w:rsidTr="00F74785">
        <w:tc>
          <w:tcPr>
            <w:tcW w:w="2126" w:type="dxa"/>
          </w:tcPr>
          <w:p w14:paraId="155F3089" w14:textId="77777777" w:rsidR="00BA1884" w:rsidRDefault="00BA1884" w:rsidP="00BA1884">
            <w:r>
              <w:rPr>
                <w:rFonts w:hint="eastAsia"/>
              </w:rPr>
              <w:t>2017</w:t>
            </w:r>
            <w:r>
              <w:rPr>
                <w:rFonts w:hint="eastAsia"/>
              </w:rPr>
              <w:t>年</w:t>
            </w:r>
            <w:r>
              <w:rPr>
                <w:rFonts w:hint="eastAsia"/>
              </w:rPr>
              <w:t>8</w:t>
            </w:r>
            <w:r>
              <w:rPr>
                <w:rFonts w:hint="eastAsia"/>
              </w:rPr>
              <w:t>月</w:t>
            </w:r>
            <w:r>
              <w:rPr>
                <w:rFonts w:hint="eastAsia"/>
              </w:rPr>
              <w:t>29</w:t>
            </w:r>
            <w:r>
              <w:rPr>
                <w:rFonts w:hint="eastAsia"/>
              </w:rPr>
              <w:t>日</w:t>
            </w:r>
          </w:p>
        </w:tc>
        <w:tc>
          <w:tcPr>
            <w:tcW w:w="6504" w:type="dxa"/>
          </w:tcPr>
          <w:p w14:paraId="7FD5A3F9" w14:textId="77777777" w:rsidR="00BA1884" w:rsidRDefault="00BA1884" w:rsidP="005E5A70">
            <w:r>
              <w:rPr>
                <w:rFonts w:hint="eastAsia"/>
              </w:rPr>
              <w:t>控股股东及大股东完成收购盛大游戏剩余</w:t>
            </w:r>
            <w:r>
              <w:rPr>
                <w:rFonts w:hint="eastAsia"/>
              </w:rPr>
              <w:t>9.08%</w:t>
            </w:r>
            <w:r>
              <w:rPr>
                <w:rFonts w:hint="eastAsia"/>
              </w:rPr>
              <w:t>股权，交割手续正在办理</w:t>
            </w:r>
          </w:p>
        </w:tc>
      </w:tr>
      <w:tr w:rsidR="00BA1884" w14:paraId="5060453B" w14:textId="77777777" w:rsidTr="00F74785">
        <w:tc>
          <w:tcPr>
            <w:tcW w:w="2126" w:type="dxa"/>
          </w:tcPr>
          <w:p w14:paraId="2A586505" w14:textId="77777777" w:rsidR="00BA1884" w:rsidRDefault="007D4F3A" w:rsidP="007D4F3A">
            <w:r>
              <w:rPr>
                <w:rFonts w:hint="eastAsia"/>
              </w:rPr>
              <w:t>2017</w:t>
            </w:r>
            <w:r>
              <w:rPr>
                <w:rFonts w:hint="eastAsia"/>
              </w:rPr>
              <w:t>年</w:t>
            </w:r>
            <w:r>
              <w:rPr>
                <w:rFonts w:hint="eastAsia"/>
              </w:rPr>
              <w:t>11</w:t>
            </w:r>
            <w:r>
              <w:rPr>
                <w:rFonts w:hint="eastAsia"/>
              </w:rPr>
              <w:t>月</w:t>
            </w:r>
            <w:r>
              <w:rPr>
                <w:rFonts w:hint="eastAsia"/>
              </w:rPr>
              <w:t>14</w:t>
            </w:r>
            <w:r>
              <w:rPr>
                <w:rFonts w:hint="eastAsia"/>
              </w:rPr>
              <w:t>日</w:t>
            </w:r>
          </w:p>
        </w:tc>
        <w:tc>
          <w:tcPr>
            <w:tcW w:w="6504" w:type="dxa"/>
          </w:tcPr>
          <w:p w14:paraId="1C284809" w14:textId="77777777" w:rsidR="00BA1884" w:rsidRDefault="007D4F3A" w:rsidP="005E5A70">
            <w:r>
              <w:rPr>
                <w:rFonts w:hint="eastAsia"/>
              </w:rPr>
              <w:t>上市公司全资子公司无锡七酷投资签署《股权转让意向书》拟以</w:t>
            </w:r>
            <w:r>
              <w:rPr>
                <w:rFonts w:hint="eastAsia"/>
              </w:rPr>
              <w:t>1.5</w:t>
            </w:r>
            <w:r>
              <w:rPr>
                <w:rFonts w:hint="eastAsia"/>
              </w:rPr>
              <w:t>亿元价格受让文脉互动</w:t>
            </w:r>
            <w:r>
              <w:rPr>
                <w:rFonts w:hint="eastAsia"/>
              </w:rPr>
              <w:t>51%</w:t>
            </w:r>
            <w:r>
              <w:rPr>
                <w:rFonts w:hint="eastAsia"/>
              </w:rPr>
              <w:t>股权</w:t>
            </w:r>
          </w:p>
        </w:tc>
      </w:tr>
      <w:tr w:rsidR="00F03ACF" w14:paraId="544567F0" w14:textId="77777777" w:rsidTr="00F74785">
        <w:tc>
          <w:tcPr>
            <w:tcW w:w="2126" w:type="dxa"/>
          </w:tcPr>
          <w:p w14:paraId="184CB89C" w14:textId="77777777" w:rsidR="00F03ACF" w:rsidRDefault="00F03ACF" w:rsidP="00F03ACF">
            <w:r>
              <w:rPr>
                <w:rFonts w:hint="eastAsia"/>
              </w:rPr>
              <w:lastRenderedPageBreak/>
              <w:t>2018</w:t>
            </w:r>
            <w:r>
              <w:rPr>
                <w:rFonts w:hint="eastAsia"/>
              </w:rPr>
              <w:t>年</w:t>
            </w:r>
            <w:r>
              <w:rPr>
                <w:rFonts w:hint="eastAsia"/>
              </w:rPr>
              <w:t>1</w:t>
            </w:r>
            <w:r>
              <w:rPr>
                <w:rFonts w:hint="eastAsia"/>
              </w:rPr>
              <w:t>月</w:t>
            </w:r>
            <w:r>
              <w:rPr>
                <w:rFonts w:hint="eastAsia"/>
              </w:rPr>
              <w:t>22</w:t>
            </w:r>
            <w:r>
              <w:rPr>
                <w:rFonts w:hint="eastAsia"/>
              </w:rPr>
              <w:t>日</w:t>
            </w:r>
          </w:p>
        </w:tc>
        <w:tc>
          <w:tcPr>
            <w:tcW w:w="6504" w:type="dxa"/>
          </w:tcPr>
          <w:p w14:paraId="5252F9C9" w14:textId="77777777" w:rsidR="00F03ACF" w:rsidRDefault="00F03ACF" w:rsidP="005E5A70">
            <w:r>
              <w:rPr>
                <w:rFonts w:hint="eastAsia"/>
              </w:rPr>
              <w:t>发行股份及支付现金购买菁尧国际</w:t>
            </w:r>
            <w:r>
              <w:rPr>
                <w:rFonts w:hint="eastAsia"/>
              </w:rPr>
              <w:t>100%</w:t>
            </w:r>
            <w:r>
              <w:rPr>
                <w:rFonts w:hint="eastAsia"/>
              </w:rPr>
              <w:t>股权、华聪国际</w:t>
            </w:r>
            <w:r>
              <w:rPr>
                <w:rFonts w:hint="eastAsia"/>
              </w:rPr>
              <w:t>100%</w:t>
            </w:r>
            <w:r>
              <w:rPr>
                <w:rFonts w:hint="eastAsia"/>
              </w:rPr>
              <w:t>股权、华毓国际</w:t>
            </w:r>
            <w:r>
              <w:rPr>
                <w:rFonts w:hint="eastAsia"/>
              </w:rPr>
              <w:t>100%</w:t>
            </w:r>
            <w:r>
              <w:rPr>
                <w:rFonts w:hint="eastAsia"/>
              </w:rPr>
              <w:t>股权、点点北京</w:t>
            </w:r>
            <w:r>
              <w:rPr>
                <w:rFonts w:hint="eastAsia"/>
              </w:rPr>
              <w:t>100%</w:t>
            </w:r>
            <w:r>
              <w:rPr>
                <w:rFonts w:hint="eastAsia"/>
              </w:rPr>
              <w:t>股权及点点开曼</w:t>
            </w:r>
            <w:r>
              <w:rPr>
                <w:rFonts w:hint="eastAsia"/>
              </w:rPr>
              <w:t>40%</w:t>
            </w:r>
            <w:r>
              <w:rPr>
                <w:rFonts w:hint="eastAsia"/>
              </w:rPr>
              <w:t>股权并募集配套资金暨关联交易的标的资产过户完成</w:t>
            </w:r>
          </w:p>
        </w:tc>
      </w:tr>
      <w:tr w:rsidR="00F03ACF" w14:paraId="112380E2" w14:textId="77777777" w:rsidTr="00F74785">
        <w:tc>
          <w:tcPr>
            <w:tcW w:w="2126" w:type="dxa"/>
          </w:tcPr>
          <w:p w14:paraId="05B14CD0" w14:textId="77777777" w:rsidR="00F03ACF" w:rsidRDefault="00D13B80" w:rsidP="00D13B80">
            <w:r>
              <w:rPr>
                <w:rFonts w:hint="eastAsia"/>
              </w:rPr>
              <w:t>2018</w:t>
            </w:r>
            <w:r>
              <w:rPr>
                <w:rFonts w:hint="eastAsia"/>
              </w:rPr>
              <w:t>年</w:t>
            </w:r>
            <w:r>
              <w:rPr>
                <w:rFonts w:hint="eastAsia"/>
              </w:rPr>
              <w:t>3</w:t>
            </w:r>
            <w:r>
              <w:rPr>
                <w:rFonts w:hint="eastAsia"/>
              </w:rPr>
              <w:t>月</w:t>
            </w:r>
            <w:r>
              <w:rPr>
                <w:rFonts w:hint="eastAsia"/>
              </w:rPr>
              <w:t>30</w:t>
            </w:r>
            <w:r>
              <w:rPr>
                <w:rFonts w:hint="eastAsia"/>
              </w:rPr>
              <w:t>日</w:t>
            </w:r>
          </w:p>
        </w:tc>
        <w:tc>
          <w:tcPr>
            <w:tcW w:w="6504" w:type="dxa"/>
          </w:tcPr>
          <w:p w14:paraId="7DDC8D3E" w14:textId="77777777" w:rsidR="00F03ACF" w:rsidRDefault="00D13B80" w:rsidP="005E5A70">
            <w:r>
              <w:rPr>
                <w:rFonts w:hint="eastAsia"/>
              </w:rPr>
              <w:t>公司全资子公司点点互动投资韩国</w:t>
            </w:r>
            <w:proofErr w:type="spellStart"/>
            <w:r>
              <w:t>Kakao</w:t>
            </w:r>
            <w:proofErr w:type="spellEnd"/>
            <w:r>
              <w:t xml:space="preserve"> Games Corp10,000,121,487</w:t>
            </w:r>
            <w:r>
              <w:rPr>
                <w:rFonts w:hint="eastAsia"/>
              </w:rPr>
              <w:t>韩元，占标的公司总股份的</w:t>
            </w:r>
            <w:r>
              <w:rPr>
                <w:rFonts w:hint="eastAsia"/>
              </w:rPr>
              <w:t>1.19%</w:t>
            </w:r>
          </w:p>
        </w:tc>
      </w:tr>
    </w:tbl>
    <w:p w14:paraId="1A140D3C" w14:textId="77777777" w:rsidR="00FC4D89" w:rsidRDefault="00FC4D89" w:rsidP="005E5A70"/>
    <w:p w14:paraId="0E4C73F1" w14:textId="77777777" w:rsidR="00FC4D89" w:rsidRDefault="00FC4D89" w:rsidP="005E5A70">
      <w:pPr>
        <w:rPr>
          <w:b/>
        </w:rPr>
      </w:pPr>
      <w:r w:rsidRPr="00425407">
        <w:rPr>
          <w:rFonts w:hint="eastAsia"/>
          <w:b/>
        </w:rPr>
        <w:t>3</w:t>
      </w:r>
      <w:r w:rsidRPr="00425407">
        <w:rPr>
          <w:rFonts w:hint="eastAsia"/>
          <w:b/>
        </w:rPr>
        <w:t>、列举第一题的</w:t>
      </w:r>
      <w:r w:rsidRPr="00425407">
        <w:rPr>
          <w:rFonts w:hint="eastAsia"/>
          <w:b/>
        </w:rPr>
        <w:t>9</w:t>
      </w:r>
      <w:r w:rsidRPr="00425407">
        <w:rPr>
          <w:rFonts w:hint="eastAsia"/>
          <w:b/>
        </w:rPr>
        <w:t>家公司，</w:t>
      </w:r>
      <w:r w:rsidRPr="00425407">
        <w:rPr>
          <w:rFonts w:hint="eastAsia"/>
          <w:b/>
        </w:rPr>
        <w:t>2017Q1-2018Q1</w:t>
      </w:r>
      <w:r w:rsidRPr="00425407">
        <w:rPr>
          <w:rFonts w:hint="eastAsia"/>
          <w:b/>
        </w:rPr>
        <w:t>五个季度的营收和净利的同比增速（使用九斗服务号查询），当前的估值（市盈率），并写下你的分析。</w:t>
      </w:r>
    </w:p>
    <w:p w14:paraId="2608A06C" w14:textId="6EA610BA" w:rsidR="007D2638" w:rsidRPr="007D2638" w:rsidRDefault="00436A6D" w:rsidP="00E70BEA">
      <w:pPr>
        <w:jc w:val="left"/>
      </w:pPr>
      <w:r w:rsidRPr="00436A6D">
        <w:rPr>
          <w:noProof/>
        </w:rPr>
        <w:drawing>
          <wp:inline distT="0" distB="0" distL="0" distR="0" wp14:anchorId="73DCACB3" wp14:editId="5317E562">
            <wp:extent cx="5486400" cy="17792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779270"/>
                    </a:xfrm>
                    <a:prstGeom prst="rect">
                      <a:avLst/>
                    </a:prstGeom>
                  </pic:spPr>
                </pic:pic>
              </a:graphicData>
            </a:graphic>
          </wp:inline>
        </w:drawing>
      </w:r>
    </w:p>
    <w:p w14:paraId="642EFFE7" w14:textId="654FB469" w:rsidR="00FC4D89" w:rsidRPr="00A6410D" w:rsidRDefault="00436A6D" w:rsidP="005E5A70">
      <w:r>
        <w:rPr>
          <w:rFonts w:hint="eastAsia"/>
        </w:rPr>
        <w:t xml:space="preserve">    </w:t>
      </w:r>
      <w:r>
        <w:rPr>
          <w:rFonts w:hint="eastAsia"/>
        </w:rPr>
        <w:t>当前游戏行业的估值普遍不高，上述</w:t>
      </w:r>
      <w:r>
        <w:rPr>
          <w:rFonts w:hint="eastAsia"/>
        </w:rPr>
        <w:t>9</w:t>
      </w:r>
      <w:r>
        <w:rPr>
          <w:rFonts w:hint="eastAsia"/>
        </w:rPr>
        <w:t>家公司的平均市盈率为</w:t>
      </w:r>
      <w:r>
        <w:rPr>
          <w:rFonts w:hint="eastAsia"/>
        </w:rPr>
        <w:t>33.73</w:t>
      </w:r>
      <w:r>
        <w:rPr>
          <w:rFonts w:hint="eastAsia"/>
        </w:rPr>
        <w:t>倍，</w:t>
      </w:r>
      <w:r w:rsidR="00776FF2">
        <w:rPr>
          <w:rFonts w:hint="eastAsia"/>
        </w:rPr>
        <w:t>整体估值不是很高。从财务数据上看，各家公司的发展不一，其原因主要有两个：</w:t>
      </w:r>
      <w:r w:rsidR="00776FF2">
        <w:rPr>
          <w:rFonts w:hint="eastAsia"/>
        </w:rPr>
        <w:t>1</w:t>
      </w:r>
      <w:r w:rsidR="005527EF">
        <w:rPr>
          <w:rFonts w:hint="eastAsia"/>
        </w:rPr>
        <w:t>）</w:t>
      </w:r>
      <w:r w:rsidR="00EC4654">
        <w:rPr>
          <w:rFonts w:hint="eastAsia"/>
        </w:rPr>
        <w:t>前期监管趋紧，监管层对游戏行业的兼并收购类项目趋于收紧状态，前期游戏行业的过热形势受到一定的降温；</w:t>
      </w:r>
      <w:r w:rsidR="00EC4654">
        <w:rPr>
          <w:rFonts w:hint="eastAsia"/>
        </w:rPr>
        <w:t>2</w:t>
      </w:r>
      <w:r w:rsidR="00EC4654">
        <w:rPr>
          <w:rFonts w:hint="eastAsia"/>
        </w:rPr>
        <w:t>）</w:t>
      </w:r>
      <w:r w:rsidR="005527EF">
        <w:rPr>
          <w:rFonts w:hint="eastAsia"/>
        </w:rPr>
        <w:t>行业整体处于较低估值水平，多数上市公司处于</w:t>
      </w:r>
      <w:r w:rsidR="0039617F">
        <w:rPr>
          <w:rFonts w:hint="eastAsia"/>
        </w:rPr>
        <w:t>前期审核通过的相关</w:t>
      </w:r>
      <w:r w:rsidR="005527EF">
        <w:rPr>
          <w:rFonts w:hint="eastAsia"/>
        </w:rPr>
        <w:t>收购兼并</w:t>
      </w:r>
      <w:r w:rsidR="0039617F">
        <w:rPr>
          <w:rFonts w:hint="eastAsia"/>
        </w:rPr>
        <w:t>活动</w:t>
      </w:r>
      <w:r w:rsidR="005527EF">
        <w:rPr>
          <w:rFonts w:hint="eastAsia"/>
        </w:rPr>
        <w:t>的整合期，</w:t>
      </w:r>
      <w:r w:rsidR="00EC4654">
        <w:rPr>
          <w:rFonts w:hint="eastAsia"/>
        </w:rPr>
        <w:t>多数上市公司也积极布局海外，</w:t>
      </w:r>
      <w:r w:rsidR="005527EF">
        <w:rPr>
          <w:rFonts w:hint="eastAsia"/>
        </w:rPr>
        <w:t>造成业绩的大幅波动。</w:t>
      </w:r>
    </w:p>
    <w:p w14:paraId="7A1C3474" w14:textId="77777777" w:rsidR="00FC4D89" w:rsidRPr="00425407" w:rsidRDefault="00FC4D89" w:rsidP="005E5A70">
      <w:pPr>
        <w:rPr>
          <w:b/>
        </w:rPr>
      </w:pPr>
      <w:r w:rsidRPr="00425407">
        <w:rPr>
          <w:rFonts w:hint="eastAsia"/>
          <w:b/>
        </w:rPr>
        <w:t>4</w:t>
      </w:r>
      <w:r w:rsidRPr="00425407">
        <w:rPr>
          <w:rFonts w:hint="eastAsia"/>
          <w:b/>
        </w:rPr>
        <w:t>、</w:t>
      </w:r>
      <w:r w:rsidR="00F675F3" w:rsidRPr="00425407">
        <w:rPr>
          <w:rFonts w:hint="eastAsia"/>
          <w:b/>
        </w:rPr>
        <w:t>掌趣科技去年公告获得腾讯投资，翻看掌趣上市后的估值变化（</w:t>
      </w:r>
      <w:r w:rsidR="00F675F3" w:rsidRPr="00425407">
        <w:rPr>
          <w:rFonts w:hint="eastAsia"/>
          <w:b/>
        </w:rPr>
        <w:t>PE band</w:t>
      </w:r>
      <w:r w:rsidR="00F675F3" w:rsidRPr="00425407">
        <w:rPr>
          <w:rFonts w:hint="eastAsia"/>
          <w:b/>
        </w:rPr>
        <w:t>），业绩增速变动，增长和衰落的模式，对比当下的世纪华通，你看到了什么？</w:t>
      </w:r>
    </w:p>
    <w:p w14:paraId="271549CB" w14:textId="77777777" w:rsidR="00F93110" w:rsidRDefault="00BF770B" w:rsidP="009C1654">
      <w:pPr>
        <w:jc w:val="center"/>
      </w:pPr>
      <w:r>
        <w:rPr>
          <w:noProof/>
        </w:rPr>
        <w:drawing>
          <wp:inline distT="0" distB="0" distL="0" distR="0" wp14:anchorId="22AF7609" wp14:editId="67F8B088">
            <wp:extent cx="4826350" cy="1522973"/>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p w14:paraId="76BCA9C3" w14:textId="15E167EF" w:rsidR="00F675F3" w:rsidRDefault="003F1B4E" w:rsidP="005E5A70">
      <w:r>
        <w:rPr>
          <w:rFonts w:hint="eastAsia"/>
        </w:rPr>
        <w:lastRenderedPageBreak/>
        <w:t xml:space="preserve">    </w:t>
      </w:r>
      <w:r w:rsidR="00B6421A">
        <w:rPr>
          <w:rFonts w:hint="eastAsia"/>
        </w:rPr>
        <w:t>掌趣科技于</w:t>
      </w:r>
      <w:r w:rsidR="00B6421A">
        <w:rPr>
          <w:rFonts w:hint="eastAsia"/>
        </w:rPr>
        <w:t>2012</w:t>
      </w:r>
      <w:r w:rsidR="00B6421A">
        <w:rPr>
          <w:rFonts w:hint="eastAsia"/>
        </w:rPr>
        <w:t>年</w:t>
      </w:r>
      <w:r w:rsidR="00C15A42">
        <w:rPr>
          <w:rFonts w:hint="eastAsia"/>
        </w:rPr>
        <w:t>5</w:t>
      </w:r>
      <w:r w:rsidR="00C15A42">
        <w:rPr>
          <w:rFonts w:hint="eastAsia"/>
        </w:rPr>
        <w:t>月</w:t>
      </w:r>
      <w:r w:rsidR="00B6421A">
        <w:rPr>
          <w:rFonts w:hint="eastAsia"/>
        </w:rPr>
        <w:t>上市，</w:t>
      </w:r>
      <w:r w:rsidR="00C15A42">
        <w:rPr>
          <w:rFonts w:hint="eastAsia"/>
        </w:rPr>
        <w:t>正好为移动游戏市场高速发展的时候。自</w:t>
      </w:r>
      <w:r w:rsidR="00665760">
        <w:rPr>
          <w:rFonts w:hint="eastAsia"/>
        </w:rPr>
        <w:t>2013</w:t>
      </w:r>
      <w:r w:rsidR="00665760">
        <w:rPr>
          <w:rFonts w:hint="eastAsia"/>
        </w:rPr>
        <w:t>年</w:t>
      </w:r>
      <w:r w:rsidR="00C15A42">
        <w:rPr>
          <w:rFonts w:hint="eastAsia"/>
        </w:rPr>
        <w:t>起，</w:t>
      </w:r>
      <w:r w:rsidR="002239BA">
        <w:rPr>
          <w:rFonts w:hint="eastAsia"/>
        </w:rPr>
        <w:t>公司</w:t>
      </w:r>
      <w:r w:rsidR="00D754F2">
        <w:rPr>
          <w:rFonts w:hint="eastAsia"/>
        </w:rPr>
        <w:t>通过收购布局网游行业</w:t>
      </w:r>
      <w:r w:rsidR="00C15A42">
        <w:rPr>
          <w:rFonts w:hint="eastAsia"/>
        </w:rPr>
        <w:t>。</w:t>
      </w:r>
      <w:r w:rsidR="00C15A42">
        <w:rPr>
          <w:rFonts w:hint="eastAsia"/>
        </w:rPr>
        <w:t>2013</w:t>
      </w:r>
      <w:r w:rsidR="00C15A42">
        <w:rPr>
          <w:rFonts w:hint="eastAsia"/>
        </w:rPr>
        <w:t>年，公司</w:t>
      </w:r>
      <w:r w:rsidR="00665760">
        <w:rPr>
          <w:rFonts w:hint="eastAsia"/>
        </w:rPr>
        <w:t>以</w:t>
      </w:r>
      <w:r w:rsidR="00665760">
        <w:rPr>
          <w:rFonts w:hint="eastAsia"/>
        </w:rPr>
        <w:t>8</w:t>
      </w:r>
      <w:r w:rsidR="00665760">
        <w:t>.1</w:t>
      </w:r>
      <w:r w:rsidR="00665760">
        <w:rPr>
          <w:rFonts w:hint="eastAsia"/>
        </w:rPr>
        <w:t>亿元收购动网先锋</w:t>
      </w:r>
      <w:r w:rsidR="006C2729">
        <w:rPr>
          <w:rFonts w:hint="eastAsia"/>
        </w:rPr>
        <w:t>、</w:t>
      </w:r>
      <w:r w:rsidR="00665760">
        <w:t>17.39</w:t>
      </w:r>
      <w:r w:rsidR="006C2729">
        <w:rPr>
          <w:rFonts w:hint="eastAsia"/>
        </w:rPr>
        <w:t>亿元收购玩蟹科技</w:t>
      </w:r>
      <w:r w:rsidR="00CC1C8A">
        <w:rPr>
          <w:rFonts w:hint="eastAsia"/>
        </w:rPr>
        <w:t>100%</w:t>
      </w:r>
      <w:r w:rsidR="00CC1C8A">
        <w:rPr>
          <w:rFonts w:hint="eastAsia"/>
        </w:rPr>
        <w:t>股权</w:t>
      </w:r>
      <w:r w:rsidR="00CF0937">
        <w:t>、</w:t>
      </w:r>
      <w:r w:rsidR="009F4CDE">
        <w:rPr>
          <w:rFonts w:hint="eastAsia"/>
        </w:rPr>
        <w:t>8.14</w:t>
      </w:r>
      <w:r w:rsidR="00CC1C8A">
        <w:rPr>
          <w:rFonts w:hint="eastAsia"/>
        </w:rPr>
        <w:t>亿元收购</w:t>
      </w:r>
      <w:r w:rsidR="009F4CDE">
        <w:rPr>
          <w:rFonts w:hint="eastAsia"/>
        </w:rPr>
        <w:t>上游信息</w:t>
      </w:r>
      <w:r w:rsidR="00CC1C8A">
        <w:rPr>
          <w:rFonts w:hint="eastAsia"/>
        </w:rPr>
        <w:t>70%</w:t>
      </w:r>
      <w:r w:rsidR="00CC1C8A">
        <w:rPr>
          <w:rFonts w:hint="eastAsia"/>
        </w:rPr>
        <w:t>股权，</w:t>
      </w:r>
      <w:r w:rsidR="0025799D">
        <w:rPr>
          <w:rFonts w:hint="eastAsia"/>
        </w:rPr>
        <w:t>2014</w:t>
      </w:r>
      <w:r w:rsidR="0025799D">
        <w:rPr>
          <w:rFonts w:hint="eastAsia"/>
        </w:rPr>
        <w:t>年以</w:t>
      </w:r>
      <w:r w:rsidR="0025799D">
        <w:rPr>
          <w:rFonts w:hint="eastAsia"/>
        </w:rPr>
        <w:t>2200</w:t>
      </w:r>
      <w:r w:rsidR="0025799D">
        <w:rPr>
          <w:rFonts w:hint="eastAsia"/>
        </w:rPr>
        <w:t>万元获得北京筑巢新游</w:t>
      </w:r>
      <w:r w:rsidR="0025799D">
        <w:rPr>
          <w:rFonts w:hint="eastAsia"/>
        </w:rPr>
        <w:t>35%</w:t>
      </w:r>
      <w:r w:rsidR="0025799D">
        <w:rPr>
          <w:rFonts w:hint="eastAsia"/>
        </w:rPr>
        <w:t>股权</w:t>
      </w:r>
      <w:r w:rsidR="00D947C3">
        <w:rPr>
          <w:rFonts w:hint="eastAsia"/>
        </w:rPr>
        <w:t>，</w:t>
      </w:r>
      <w:r w:rsidR="00D947C3">
        <w:rPr>
          <w:rFonts w:hint="eastAsia"/>
        </w:rPr>
        <w:t>2015</w:t>
      </w:r>
      <w:r w:rsidR="00D947C3">
        <w:rPr>
          <w:rFonts w:hint="eastAsia"/>
        </w:rPr>
        <w:t>年以</w:t>
      </w:r>
      <w:r w:rsidR="00D947C3">
        <w:rPr>
          <w:rFonts w:hint="eastAsia"/>
        </w:rPr>
        <w:t>18</w:t>
      </w:r>
      <w:r w:rsidR="00D947C3">
        <w:rPr>
          <w:rFonts w:hint="eastAsia"/>
        </w:rPr>
        <w:t>亿购买天马时空</w:t>
      </w:r>
      <w:r w:rsidR="00D947C3">
        <w:rPr>
          <w:rFonts w:hint="eastAsia"/>
        </w:rPr>
        <w:t>80%</w:t>
      </w:r>
      <w:r w:rsidR="00D947C3">
        <w:rPr>
          <w:rFonts w:hint="eastAsia"/>
        </w:rPr>
        <w:t>股权、</w:t>
      </w:r>
      <w:r w:rsidR="00D947C3">
        <w:rPr>
          <w:rFonts w:hint="eastAsia"/>
        </w:rPr>
        <w:t>3</w:t>
      </w:r>
      <w:r w:rsidR="00D947C3">
        <w:t>.66</w:t>
      </w:r>
      <w:r w:rsidR="00D947C3">
        <w:rPr>
          <w:rFonts w:hint="eastAsia"/>
        </w:rPr>
        <w:t>亿购买上游信息剩余</w:t>
      </w:r>
      <w:r w:rsidR="00D947C3">
        <w:rPr>
          <w:rFonts w:hint="eastAsia"/>
        </w:rPr>
        <w:t>30%</w:t>
      </w:r>
      <w:r w:rsidR="00D947C3">
        <w:rPr>
          <w:rFonts w:hint="eastAsia"/>
        </w:rPr>
        <w:t>股权</w:t>
      </w:r>
      <w:r w:rsidR="007B022D">
        <w:rPr>
          <w:rFonts w:hint="eastAsia"/>
        </w:rPr>
        <w:t>。频繁地收购给掌趣科技带来了亮眼的业绩</w:t>
      </w:r>
      <w:r w:rsidR="00B20DE4">
        <w:rPr>
          <w:rFonts w:hint="eastAsia"/>
        </w:rPr>
        <w:t>，</w:t>
      </w:r>
      <w:r w:rsidR="00B20DE4">
        <w:rPr>
          <w:rFonts w:hint="eastAsia"/>
        </w:rPr>
        <w:t>2013</w:t>
      </w:r>
      <w:r w:rsidR="00B20DE4">
        <w:rPr>
          <w:rFonts w:hint="eastAsia"/>
        </w:rPr>
        <w:t>、</w:t>
      </w:r>
      <w:r w:rsidR="00B20DE4">
        <w:rPr>
          <w:rFonts w:hint="eastAsia"/>
        </w:rPr>
        <w:t>2014</w:t>
      </w:r>
      <w:r w:rsidR="00B20DE4">
        <w:rPr>
          <w:rFonts w:hint="eastAsia"/>
        </w:rPr>
        <w:t>、</w:t>
      </w:r>
      <w:r w:rsidR="00B20DE4">
        <w:rPr>
          <w:rFonts w:hint="eastAsia"/>
        </w:rPr>
        <w:t>2015</w:t>
      </w:r>
      <w:r w:rsidR="00B20DE4">
        <w:rPr>
          <w:rFonts w:hint="eastAsia"/>
        </w:rPr>
        <w:t>年业绩增长迅猛，同时</w:t>
      </w:r>
      <w:r w:rsidR="00D754F2">
        <w:rPr>
          <w:rFonts w:hint="eastAsia"/>
        </w:rPr>
        <w:t>估值也水涨船高，</w:t>
      </w:r>
      <w:r w:rsidR="00D754F2">
        <w:rPr>
          <w:rFonts w:hint="eastAsia"/>
        </w:rPr>
        <w:t>2014</w:t>
      </w:r>
      <w:r w:rsidR="00D754F2">
        <w:rPr>
          <w:rFonts w:hint="eastAsia"/>
        </w:rPr>
        <w:t>年初一度突破</w:t>
      </w:r>
      <w:r w:rsidR="00D754F2">
        <w:rPr>
          <w:rFonts w:hint="eastAsia"/>
        </w:rPr>
        <w:t>200</w:t>
      </w:r>
      <w:r w:rsidR="00D754F2">
        <w:rPr>
          <w:rFonts w:hint="eastAsia"/>
        </w:rPr>
        <w:t>倍</w:t>
      </w:r>
      <w:r w:rsidR="00D754F2">
        <w:t>PE</w:t>
      </w:r>
      <w:r w:rsidR="007B022D">
        <w:rPr>
          <w:rFonts w:hint="eastAsia"/>
        </w:rPr>
        <w:t>，</w:t>
      </w:r>
      <w:r w:rsidR="009F4CDE">
        <w:rPr>
          <w:rFonts w:hint="eastAsia"/>
        </w:rPr>
        <w:t>市值</w:t>
      </w:r>
      <w:r w:rsidR="007B022D">
        <w:rPr>
          <w:rFonts w:hint="eastAsia"/>
        </w:rPr>
        <w:t>也</w:t>
      </w:r>
      <w:r w:rsidR="009F4CDE">
        <w:rPr>
          <w:rFonts w:hint="eastAsia"/>
        </w:rPr>
        <w:t>一度达到</w:t>
      </w:r>
      <w:r w:rsidR="00B20DE4">
        <w:rPr>
          <w:rFonts w:hint="eastAsia"/>
        </w:rPr>
        <w:t>最高</w:t>
      </w:r>
      <w:r w:rsidR="001576FC">
        <w:rPr>
          <w:rFonts w:hint="eastAsia"/>
        </w:rPr>
        <w:t>540</w:t>
      </w:r>
      <w:r w:rsidR="001576FC">
        <w:rPr>
          <w:rFonts w:hint="eastAsia"/>
        </w:rPr>
        <w:t>亿元，</w:t>
      </w:r>
      <w:r w:rsidR="007B022D">
        <w:rPr>
          <w:rFonts w:hint="eastAsia"/>
        </w:rPr>
        <w:t>但是伴随着</w:t>
      </w:r>
      <w:r w:rsidR="00B20DE4">
        <w:rPr>
          <w:rFonts w:hint="eastAsia"/>
        </w:rPr>
        <w:t>游戏行业整体估值的回调、</w:t>
      </w:r>
      <w:r w:rsidR="007B022D">
        <w:rPr>
          <w:rFonts w:hint="eastAsia"/>
        </w:rPr>
        <w:t>标的公司业绩</w:t>
      </w:r>
      <w:r w:rsidR="00952485">
        <w:rPr>
          <w:rFonts w:hint="eastAsia"/>
        </w:rPr>
        <w:t>持续不及承诺业绩</w:t>
      </w:r>
      <w:r w:rsidR="00B20DE4">
        <w:rPr>
          <w:rFonts w:hint="eastAsia"/>
        </w:rPr>
        <w:t>、高管频繁减持、管理层动荡等问题，掌趣科技市值一路直下，截止</w:t>
      </w:r>
      <w:r w:rsidR="00B20DE4">
        <w:rPr>
          <w:rFonts w:hint="eastAsia"/>
        </w:rPr>
        <w:t>2018</w:t>
      </w:r>
      <w:r w:rsidR="00B20DE4">
        <w:rPr>
          <w:rFonts w:hint="eastAsia"/>
        </w:rPr>
        <w:t>年</w:t>
      </w:r>
      <w:r w:rsidR="00B20DE4">
        <w:rPr>
          <w:rFonts w:hint="eastAsia"/>
        </w:rPr>
        <w:t>4</w:t>
      </w:r>
      <w:r w:rsidR="00B20DE4">
        <w:rPr>
          <w:rFonts w:hint="eastAsia"/>
        </w:rPr>
        <w:t>月</w:t>
      </w:r>
      <w:r w:rsidR="00B20DE4">
        <w:rPr>
          <w:rFonts w:hint="eastAsia"/>
        </w:rPr>
        <w:t>20</w:t>
      </w:r>
      <w:r w:rsidR="00B20DE4">
        <w:rPr>
          <w:rFonts w:hint="eastAsia"/>
        </w:rPr>
        <w:t>日，市值</w:t>
      </w:r>
      <w:r w:rsidR="00AC0172">
        <w:rPr>
          <w:rFonts w:hint="eastAsia"/>
        </w:rPr>
        <w:t>仅</w:t>
      </w:r>
      <w:r w:rsidR="00AC0172">
        <w:rPr>
          <w:rFonts w:hint="eastAsia"/>
        </w:rPr>
        <w:t>156</w:t>
      </w:r>
      <w:r w:rsidR="00AC0172">
        <w:rPr>
          <w:rFonts w:hint="eastAsia"/>
        </w:rPr>
        <w:t>亿。</w:t>
      </w:r>
    </w:p>
    <w:p w14:paraId="033327B9" w14:textId="181BC590" w:rsidR="00E5497C" w:rsidRPr="00665760" w:rsidRDefault="00E5497C" w:rsidP="005E5A70">
      <w:r>
        <w:rPr>
          <w:rFonts w:hint="eastAsia"/>
        </w:rPr>
        <w:t xml:space="preserve">    </w:t>
      </w:r>
      <w:r>
        <w:rPr>
          <w:rFonts w:hint="eastAsia"/>
        </w:rPr>
        <w:t>世纪华通</w:t>
      </w:r>
      <w:r w:rsidR="0089289C">
        <w:rPr>
          <w:rFonts w:hint="eastAsia"/>
        </w:rPr>
        <w:t>于</w:t>
      </w:r>
      <w:r w:rsidR="0089289C">
        <w:rPr>
          <w:rFonts w:hint="eastAsia"/>
        </w:rPr>
        <w:t>2011</w:t>
      </w:r>
      <w:r w:rsidR="0089289C">
        <w:rPr>
          <w:rFonts w:hint="eastAsia"/>
        </w:rPr>
        <w:t>年</w:t>
      </w:r>
      <w:r w:rsidR="0089289C">
        <w:rPr>
          <w:rFonts w:hint="eastAsia"/>
        </w:rPr>
        <w:t>7</w:t>
      </w:r>
      <w:r w:rsidR="0089289C">
        <w:rPr>
          <w:rFonts w:hint="eastAsia"/>
        </w:rPr>
        <w:t>月上市，主营业务为汽车零部件二级供应商</w:t>
      </w:r>
      <w:r w:rsidR="007A23B3">
        <w:rPr>
          <w:rFonts w:hint="eastAsia"/>
        </w:rPr>
        <w:t>，</w:t>
      </w:r>
      <w:r w:rsidR="0089289C">
        <w:rPr>
          <w:rFonts w:hint="eastAsia"/>
        </w:rPr>
        <w:t>在经历上市</w:t>
      </w:r>
      <w:r w:rsidR="00AB3F40">
        <w:rPr>
          <w:rFonts w:hint="eastAsia"/>
        </w:rPr>
        <w:t>持续下滑</w:t>
      </w:r>
      <w:r w:rsidR="0089289C">
        <w:rPr>
          <w:rFonts w:hint="eastAsia"/>
        </w:rPr>
        <w:t>的局面后开始</w:t>
      </w:r>
      <w:r w:rsidR="00AB3F40">
        <w:rPr>
          <w:rFonts w:hint="eastAsia"/>
        </w:rPr>
        <w:t>随后谋求业务转型。</w:t>
      </w:r>
      <w:r w:rsidR="0089289C">
        <w:rPr>
          <w:rFonts w:hint="eastAsia"/>
        </w:rPr>
        <w:t>2014</w:t>
      </w:r>
      <w:r w:rsidR="00D04A49">
        <w:rPr>
          <w:rFonts w:hint="eastAsia"/>
        </w:rPr>
        <w:t>年，公司</w:t>
      </w:r>
      <w:r w:rsidR="00D04A49">
        <w:rPr>
          <w:rFonts w:hint="eastAsia"/>
        </w:rPr>
        <w:t>9.5</w:t>
      </w:r>
      <w:r w:rsidR="00D04A49">
        <w:rPr>
          <w:rFonts w:hint="eastAsia"/>
        </w:rPr>
        <w:t>亿元收购</w:t>
      </w:r>
      <w:r w:rsidR="0089289C">
        <w:rPr>
          <w:rFonts w:hint="eastAsia"/>
        </w:rPr>
        <w:t>天游软件</w:t>
      </w:r>
      <w:r w:rsidR="0089289C">
        <w:rPr>
          <w:rFonts w:hint="eastAsia"/>
        </w:rPr>
        <w:t>100%</w:t>
      </w:r>
      <w:r w:rsidR="00D04A49">
        <w:rPr>
          <w:rFonts w:hint="eastAsia"/>
        </w:rPr>
        <w:t>股权、</w:t>
      </w:r>
      <w:r w:rsidR="00D04A49">
        <w:rPr>
          <w:rFonts w:hint="eastAsia"/>
        </w:rPr>
        <w:t>8.5</w:t>
      </w:r>
      <w:r w:rsidR="00D04A49">
        <w:rPr>
          <w:rFonts w:hint="eastAsia"/>
        </w:rPr>
        <w:t>亿元收购</w:t>
      </w:r>
      <w:r w:rsidR="0089289C">
        <w:rPr>
          <w:rFonts w:hint="eastAsia"/>
        </w:rPr>
        <w:t>七酷网络</w:t>
      </w:r>
      <w:r w:rsidR="0089289C">
        <w:rPr>
          <w:rFonts w:hint="eastAsia"/>
        </w:rPr>
        <w:t>100%</w:t>
      </w:r>
      <w:r w:rsidR="0089289C">
        <w:rPr>
          <w:rFonts w:hint="eastAsia"/>
        </w:rPr>
        <w:t>股权</w:t>
      </w:r>
      <w:r w:rsidR="00D04A49">
        <w:rPr>
          <w:rFonts w:hint="eastAsia"/>
        </w:rPr>
        <w:t>，</w:t>
      </w:r>
      <w:r w:rsidR="00412ADC">
        <w:rPr>
          <w:rFonts w:hint="eastAsia"/>
        </w:rPr>
        <w:t>2017</w:t>
      </w:r>
      <w:r w:rsidR="00412ADC">
        <w:rPr>
          <w:rFonts w:hint="eastAsia"/>
        </w:rPr>
        <w:t>年，公司以</w:t>
      </w:r>
      <w:r w:rsidR="00412ADC">
        <w:rPr>
          <w:rFonts w:hint="eastAsia"/>
        </w:rPr>
        <w:t>69.39</w:t>
      </w:r>
      <w:r w:rsidR="00412ADC">
        <w:rPr>
          <w:rFonts w:hint="eastAsia"/>
        </w:rPr>
        <w:t>亿元完成收购点点互动</w:t>
      </w:r>
      <w:r w:rsidR="00412ADC">
        <w:rPr>
          <w:rFonts w:hint="eastAsia"/>
        </w:rPr>
        <w:t>100%</w:t>
      </w:r>
      <w:r w:rsidR="00412ADC">
        <w:rPr>
          <w:rFonts w:hint="eastAsia"/>
        </w:rPr>
        <w:t>股权</w:t>
      </w:r>
      <w:r w:rsidR="00B84DFC">
        <w:rPr>
          <w:rFonts w:hint="eastAsia"/>
        </w:rPr>
        <w:t>，</w:t>
      </w:r>
      <w:r w:rsidR="00B84DFC">
        <w:rPr>
          <w:rFonts w:hint="eastAsia"/>
        </w:rPr>
        <w:t>2017</w:t>
      </w:r>
      <w:r w:rsidR="00B84DFC">
        <w:rPr>
          <w:rFonts w:hint="eastAsia"/>
        </w:rPr>
        <w:t>年其股东也完成了对盛大游戏</w:t>
      </w:r>
      <w:r w:rsidR="00B84DFC">
        <w:rPr>
          <w:rFonts w:hint="eastAsia"/>
        </w:rPr>
        <w:t>100%</w:t>
      </w:r>
      <w:r w:rsidR="00B84DFC">
        <w:rPr>
          <w:rFonts w:hint="eastAsia"/>
        </w:rPr>
        <w:t>股权的收购</w:t>
      </w:r>
      <w:r w:rsidR="00412ADC">
        <w:rPr>
          <w:rFonts w:hint="eastAsia"/>
        </w:rPr>
        <w:t>。</w:t>
      </w:r>
      <w:r w:rsidR="007A23B3">
        <w:rPr>
          <w:rFonts w:hint="eastAsia"/>
        </w:rPr>
        <w:t>通过</w:t>
      </w:r>
      <w:r>
        <w:rPr>
          <w:rFonts w:hint="eastAsia"/>
        </w:rPr>
        <w:t>收购</w:t>
      </w:r>
      <w:r w:rsidR="007A23B3">
        <w:rPr>
          <w:rFonts w:hint="eastAsia"/>
        </w:rPr>
        <w:t>，实际华通的业绩实现了</w:t>
      </w:r>
      <w:r w:rsidR="00AB3F40">
        <w:rPr>
          <w:rFonts w:hint="eastAsia"/>
        </w:rPr>
        <w:t>持续快速上涨</w:t>
      </w:r>
      <w:r w:rsidR="001C3BB2">
        <w:rPr>
          <w:rFonts w:hint="eastAsia"/>
        </w:rPr>
        <w:t>，</w:t>
      </w:r>
      <w:r w:rsidR="004F1E69">
        <w:rPr>
          <w:rFonts w:hint="eastAsia"/>
        </w:rPr>
        <w:t>其估值也一度高达</w:t>
      </w:r>
      <w:r w:rsidR="004F1E69">
        <w:rPr>
          <w:rFonts w:hint="eastAsia"/>
        </w:rPr>
        <w:t>120</w:t>
      </w:r>
      <w:r w:rsidR="004F1E69">
        <w:rPr>
          <w:rFonts w:hint="eastAsia"/>
        </w:rPr>
        <w:t>多倍</w:t>
      </w:r>
      <w:r w:rsidR="004F1E69">
        <w:t>PE</w:t>
      </w:r>
      <w:r w:rsidR="004F1E69">
        <w:rPr>
          <w:rFonts w:hint="eastAsia"/>
        </w:rPr>
        <w:t>。</w:t>
      </w:r>
    </w:p>
    <w:p w14:paraId="5C87918A" w14:textId="4AABF92F" w:rsidR="00595F78" w:rsidRPr="001C3BB2" w:rsidRDefault="00057FC7" w:rsidP="005E5A70">
      <w:r>
        <w:rPr>
          <w:rFonts w:hint="eastAsia"/>
        </w:rPr>
        <w:t xml:space="preserve">    </w:t>
      </w:r>
      <w:r w:rsidR="000E3D88">
        <w:rPr>
          <w:rFonts w:hint="eastAsia"/>
        </w:rPr>
        <w:t>世纪华通的转型之路与掌趣科技的横向并购类似</w:t>
      </w:r>
      <w:r>
        <w:rPr>
          <w:rFonts w:hint="eastAsia"/>
        </w:rPr>
        <w:t>，</w:t>
      </w:r>
      <w:r w:rsidR="000E3D88">
        <w:rPr>
          <w:rFonts w:hint="eastAsia"/>
        </w:rPr>
        <w:t>均是依靠大量的资本运作以及伴随着高业绩对赌。</w:t>
      </w:r>
      <w:r w:rsidR="003B3347">
        <w:rPr>
          <w:rFonts w:hint="eastAsia"/>
        </w:rPr>
        <w:t>若收购的标的公司能保持持续的</w:t>
      </w:r>
      <w:r w:rsidR="00691DA4">
        <w:rPr>
          <w:rFonts w:hint="eastAsia"/>
        </w:rPr>
        <w:t>游戏</w:t>
      </w:r>
      <w:r w:rsidR="003B3347">
        <w:rPr>
          <w:rFonts w:hint="eastAsia"/>
        </w:rPr>
        <w:t>研发能力，积极开发新</w:t>
      </w:r>
      <w:r w:rsidR="003B3347">
        <w:t>IP</w:t>
      </w:r>
      <w:r w:rsidR="00691DA4">
        <w:rPr>
          <w:rFonts w:hint="eastAsia"/>
        </w:rPr>
        <w:t>以增加用户流量、用户粘性，则世纪华通的发展势头能持续保持；若无法做到，可能会步掌趣科技的后尘。</w:t>
      </w:r>
    </w:p>
    <w:p w14:paraId="57E730DA" w14:textId="77777777" w:rsidR="00595F78" w:rsidRDefault="00595F78" w:rsidP="005E5A70"/>
    <w:p w14:paraId="5B4A043E" w14:textId="77777777" w:rsidR="00F675F3" w:rsidRDefault="00F675F3" w:rsidP="005E5A70">
      <w:pPr>
        <w:rPr>
          <w:b/>
        </w:rPr>
      </w:pPr>
      <w:r w:rsidRPr="00425407">
        <w:rPr>
          <w:rFonts w:hint="eastAsia"/>
          <w:b/>
        </w:rPr>
        <w:t>5</w:t>
      </w:r>
      <w:r w:rsidRPr="00425407">
        <w:rPr>
          <w:rFonts w:hint="eastAsia"/>
          <w:b/>
        </w:rPr>
        <w:t>、手游</w:t>
      </w:r>
      <w:r w:rsidRPr="00425407">
        <w:rPr>
          <w:rFonts w:hint="eastAsia"/>
          <w:b/>
        </w:rPr>
        <w:t>2018</w:t>
      </w:r>
      <w:r w:rsidRPr="00425407">
        <w:rPr>
          <w:rFonts w:hint="eastAsia"/>
          <w:b/>
        </w:rPr>
        <w:t>和手游</w:t>
      </w:r>
      <w:r w:rsidRPr="00425407">
        <w:rPr>
          <w:rFonts w:hint="eastAsia"/>
          <w:b/>
        </w:rPr>
        <w:t>2013</w:t>
      </w:r>
      <w:r w:rsidRPr="00425407">
        <w:rPr>
          <w:rFonts w:hint="eastAsia"/>
          <w:b/>
        </w:rPr>
        <w:t>，发生了什么变化？</w:t>
      </w:r>
    </w:p>
    <w:p w14:paraId="4191B1B0" w14:textId="77777777" w:rsidR="003F59B1" w:rsidRDefault="00077FB9" w:rsidP="005E5A70">
      <w:r>
        <w:rPr>
          <w:rFonts w:hint="eastAsia"/>
        </w:rPr>
        <w:t xml:space="preserve">    </w:t>
      </w:r>
      <w:r w:rsidR="003F59B1" w:rsidRPr="003F59B1">
        <w:rPr>
          <w:rFonts w:hint="eastAsia"/>
        </w:rPr>
        <w:t>近年来，中国手游行业</w:t>
      </w:r>
      <w:r w:rsidR="003F59B1">
        <w:rPr>
          <w:rFonts w:hint="eastAsia"/>
        </w:rPr>
        <w:t>的发展呈现以下几个</w:t>
      </w:r>
      <w:r>
        <w:rPr>
          <w:rFonts w:hint="eastAsia"/>
        </w:rPr>
        <w:t>变化</w:t>
      </w:r>
      <w:r w:rsidR="003F59B1">
        <w:rPr>
          <w:rFonts w:hint="eastAsia"/>
        </w:rPr>
        <w:t>：</w:t>
      </w:r>
    </w:p>
    <w:p w14:paraId="0D5A8DC0" w14:textId="2A14E72D" w:rsidR="003F59B1" w:rsidRDefault="003F59B1" w:rsidP="005E5A70">
      <w:r>
        <w:rPr>
          <w:rFonts w:hint="eastAsia"/>
        </w:rPr>
        <w:t xml:space="preserve">    1</w:t>
      </w:r>
      <w:r>
        <w:rPr>
          <w:rFonts w:hint="eastAsia"/>
        </w:rPr>
        <w:t>）</w:t>
      </w:r>
      <w:r w:rsidR="00516FE2">
        <w:rPr>
          <w:rFonts w:hint="eastAsia"/>
        </w:rPr>
        <w:t>用户红利逐步消退</w:t>
      </w:r>
      <w:r w:rsidR="00303B7F">
        <w:rPr>
          <w:rFonts w:hint="eastAsia"/>
        </w:rPr>
        <w:t>，提升游戏质量增加成新方向</w:t>
      </w:r>
    </w:p>
    <w:p w14:paraId="2876C1F4" w14:textId="72C90F3E" w:rsidR="00077FB9" w:rsidRPr="00303B7F" w:rsidRDefault="00077FB9" w:rsidP="00303B7F">
      <w:r>
        <w:rPr>
          <w:rFonts w:hint="eastAsia"/>
        </w:rPr>
        <w:t xml:space="preserve">    </w:t>
      </w:r>
      <w:r w:rsidR="00C11419">
        <w:rPr>
          <w:rFonts w:hint="eastAsia"/>
        </w:rPr>
        <w:t>随着智能手机的普及，</w:t>
      </w:r>
      <w:r w:rsidR="000B78B0">
        <w:rPr>
          <w:rFonts w:hint="eastAsia"/>
        </w:rPr>
        <w:t>手游用户规模出现爆发式增长，</w:t>
      </w:r>
      <w:r w:rsidR="00DE1C97">
        <w:rPr>
          <w:rFonts w:hint="eastAsia"/>
        </w:rPr>
        <w:t>根据</w:t>
      </w:r>
      <w:r w:rsidR="00F63311" w:rsidRPr="00F63311">
        <w:rPr>
          <w:rFonts w:hint="eastAsia"/>
        </w:rPr>
        <w:t>中国音数协游戏工委（</w:t>
      </w:r>
      <w:r w:rsidR="00F63311" w:rsidRPr="00F63311">
        <w:rPr>
          <w:rFonts w:hint="eastAsia"/>
        </w:rPr>
        <w:t>GPC</w:t>
      </w:r>
      <w:r w:rsidR="00F63311" w:rsidRPr="00F63311">
        <w:rPr>
          <w:rFonts w:hint="eastAsia"/>
        </w:rPr>
        <w:t>）</w:t>
      </w:r>
      <w:r w:rsidR="00F63311" w:rsidRPr="00F63311">
        <w:rPr>
          <w:rFonts w:hint="eastAsia"/>
        </w:rPr>
        <w:t>&amp;</w:t>
      </w:r>
      <w:r w:rsidR="00F63311" w:rsidRPr="00F63311">
        <w:rPr>
          <w:rFonts w:hint="eastAsia"/>
        </w:rPr>
        <w:t>伽马数据（</w:t>
      </w:r>
      <w:r w:rsidR="00F63311" w:rsidRPr="00F63311">
        <w:rPr>
          <w:rFonts w:hint="eastAsia"/>
        </w:rPr>
        <w:t>CNG</w:t>
      </w:r>
      <w:r w:rsidR="00F63311" w:rsidRPr="00F63311">
        <w:rPr>
          <w:rFonts w:hint="eastAsia"/>
        </w:rPr>
        <w:t>）</w:t>
      </w:r>
      <w:r w:rsidR="00F63311" w:rsidRPr="00F63311">
        <w:rPr>
          <w:rFonts w:hint="eastAsia"/>
        </w:rPr>
        <w:t>&amp;</w:t>
      </w:r>
      <w:r w:rsidR="00F63311" w:rsidRPr="00F63311">
        <w:rPr>
          <w:rFonts w:hint="eastAsia"/>
        </w:rPr>
        <w:t>国际数据公司（</w:t>
      </w:r>
      <w:r w:rsidR="00F63311" w:rsidRPr="00F63311">
        <w:rPr>
          <w:rFonts w:hint="eastAsia"/>
        </w:rPr>
        <w:t>IDC</w:t>
      </w:r>
      <w:r w:rsidR="00F63311" w:rsidRPr="00F63311">
        <w:rPr>
          <w:rFonts w:hint="eastAsia"/>
        </w:rPr>
        <w:t>）</w:t>
      </w:r>
      <w:r w:rsidR="00CA2870">
        <w:rPr>
          <w:rFonts w:hint="eastAsia"/>
        </w:rPr>
        <w:t>的数据</w:t>
      </w:r>
      <w:r w:rsidR="00F63311">
        <w:rPr>
          <w:rFonts w:hint="eastAsia"/>
        </w:rPr>
        <w:t>，中国移动用户规模</w:t>
      </w:r>
      <w:r w:rsidR="003F59B1">
        <w:rPr>
          <w:rFonts w:hint="eastAsia"/>
        </w:rPr>
        <w:t>在</w:t>
      </w:r>
      <w:r w:rsidR="003F59B1">
        <w:rPr>
          <w:rFonts w:hint="eastAsia"/>
        </w:rPr>
        <w:t>2013</w:t>
      </w:r>
      <w:r w:rsidR="003F59B1">
        <w:rPr>
          <w:rFonts w:hint="eastAsia"/>
        </w:rPr>
        <w:t>年迎来爆发式增长后，增速开始减缓，</w:t>
      </w:r>
      <w:r w:rsidR="00516FE2">
        <w:rPr>
          <w:rFonts w:hint="eastAsia"/>
        </w:rPr>
        <w:t>至</w:t>
      </w:r>
      <w:r w:rsidR="003F59B1">
        <w:rPr>
          <w:rFonts w:hint="eastAsia"/>
        </w:rPr>
        <w:t>2017</w:t>
      </w:r>
      <w:r w:rsidR="003F59B1">
        <w:rPr>
          <w:rFonts w:hint="eastAsia"/>
        </w:rPr>
        <w:t>年</w:t>
      </w:r>
      <w:r w:rsidR="00516FE2">
        <w:rPr>
          <w:rFonts w:hint="eastAsia"/>
        </w:rPr>
        <w:t>末，</w:t>
      </w:r>
      <w:r w:rsidR="000403F1">
        <w:rPr>
          <w:rFonts w:hint="eastAsia"/>
        </w:rPr>
        <w:t>移动</w:t>
      </w:r>
      <w:r w:rsidR="003F59B1">
        <w:rPr>
          <w:rFonts w:hint="eastAsia"/>
        </w:rPr>
        <w:t>用户规模</w:t>
      </w:r>
      <w:r w:rsidR="000403F1">
        <w:rPr>
          <w:rFonts w:hint="eastAsia"/>
        </w:rPr>
        <w:t>达到</w:t>
      </w:r>
      <w:r w:rsidR="000403F1">
        <w:rPr>
          <w:rFonts w:hint="eastAsia"/>
        </w:rPr>
        <w:t>5.54</w:t>
      </w:r>
      <w:r w:rsidR="000403F1">
        <w:rPr>
          <w:rFonts w:hint="eastAsia"/>
        </w:rPr>
        <w:t>亿人，</w:t>
      </w:r>
      <w:r w:rsidR="003F59B1">
        <w:rPr>
          <w:rFonts w:hint="eastAsia"/>
        </w:rPr>
        <w:t>同比</w:t>
      </w:r>
      <w:r w:rsidR="000403F1">
        <w:rPr>
          <w:rFonts w:hint="eastAsia"/>
        </w:rPr>
        <w:t>仅增长</w:t>
      </w:r>
      <w:r w:rsidR="003F59B1">
        <w:rPr>
          <w:rFonts w:hint="eastAsia"/>
        </w:rPr>
        <w:t>4.9%</w:t>
      </w:r>
      <w:r w:rsidR="000403F1">
        <w:rPr>
          <w:rFonts w:hint="eastAsia"/>
        </w:rPr>
        <w:t>，</w:t>
      </w:r>
      <w:r w:rsidR="00303B7F">
        <w:rPr>
          <w:rFonts w:hint="eastAsia"/>
        </w:rPr>
        <w:t>手游行业面临着用户红利逐步</w:t>
      </w:r>
      <w:r w:rsidR="00516FE2">
        <w:rPr>
          <w:rFonts w:hint="eastAsia"/>
        </w:rPr>
        <w:t>消退</w:t>
      </w:r>
      <w:r w:rsidR="00303B7F">
        <w:rPr>
          <w:rFonts w:hint="eastAsia"/>
        </w:rPr>
        <w:t>的局面，移动用户规模将见顶。由此，手游公司单纯依靠</w:t>
      </w:r>
      <w:r w:rsidR="00303B7F" w:rsidRPr="00303B7F">
        <w:rPr>
          <w:rFonts w:hint="eastAsia"/>
        </w:rPr>
        <w:t>买流量的方式提高游戏收入的</w:t>
      </w:r>
      <w:r w:rsidR="00303B7F">
        <w:rPr>
          <w:rFonts w:hint="eastAsia"/>
        </w:rPr>
        <w:t>模式可能</w:t>
      </w:r>
      <w:r w:rsidR="00303B7F" w:rsidRPr="00303B7F">
        <w:rPr>
          <w:rFonts w:hint="eastAsia"/>
        </w:rPr>
        <w:t>渐渐</w:t>
      </w:r>
      <w:r w:rsidR="00303B7F">
        <w:rPr>
          <w:rFonts w:hint="eastAsia"/>
        </w:rPr>
        <w:t>成为过去，通过提升游戏</w:t>
      </w:r>
      <w:r w:rsidR="00303B7F" w:rsidRPr="00303B7F">
        <w:rPr>
          <w:rFonts w:hint="eastAsia"/>
        </w:rPr>
        <w:t>质量、追求玩法创新、</w:t>
      </w:r>
      <w:r w:rsidR="00303B7F">
        <w:rPr>
          <w:rFonts w:hint="eastAsia"/>
        </w:rPr>
        <w:t>积极开发新</w:t>
      </w:r>
      <w:r w:rsidR="00303B7F">
        <w:t>IP</w:t>
      </w:r>
      <w:r w:rsidR="00303B7F">
        <w:rPr>
          <w:rFonts w:hint="eastAsia"/>
        </w:rPr>
        <w:t>等方式</w:t>
      </w:r>
      <w:r w:rsidR="00303B7F" w:rsidRPr="00303B7F">
        <w:rPr>
          <w:rFonts w:hint="eastAsia"/>
        </w:rPr>
        <w:t>来提升</w:t>
      </w:r>
      <w:r w:rsidR="00303B7F">
        <w:rPr>
          <w:rFonts w:hint="eastAsia"/>
        </w:rPr>
        <w:t>游戏月活跃用户数、付费用户数、月活跃用户付费率、</w:t>
      </w:r>
      <w:r w:rsidR="00303B7F">
        <w:t>ARPPU</w:t>
      </w:r>
      <w:r w:rsidR="00303B7F">
        <w:rPr>
          <w:rFonts w:hint="eastAsia"/>
        </w:rPr>
        <w:t>值等</w:t>
      </w:r>
      <w:r w:rsidR="00303B7F" w:rsidRPr="00303B7F">
        <w:rPr>
          <w:rFonts w:hint="eastAsia"/>
        </w:rPr>
        <w:t>是未来的新方向。</w:t>
      </w:r>
    </w:p>
    <w:p w14:paraId="248D2D89" w14:textId="77777777" w:rsidR="008C2D22" w:rsidRPr="008C2D22" w:rsidRDefault="00077FB9" w:rsidP="005E5A70">
      <w:pPr>
        <w:rPr>
          <w:b/>
        </w:rPr>
      </w:pPr>
      <w:r>
        <w:rPr>
          <w:rFonts w:hint="eastAsia"/>
          <w:b/>
        </w:rPr>
        <w:t xml:space="preserve">                   </w:t>
      </w:r>
      <w:r w:rsidR="008C2D22" w:rsidRPr="008C2D22">
        <w:rPr>
          <w:rFonts w:hint="eastAsia"/>
          <w:b/>
        </w:rPr>
        <w:t>2008-2017</w:t>
      </w:r>
      <w:r w:rsidR="008C2D22" w:rsidRPr="008C2D22">
        <w:rPr>
          <w:rFonts w:hint="eastAsia"/>
          <w:b/>
        </w:rPr>
        <w:t>年</w:t>
      </w:r>
      <w:r w:rsidR="000403F1">
        <w:rPr>
          <w:rFonts w:hint="eastAsia"/>
          <w:b/>
        </w:rPr>
        <w:t>中国移动游戏</w:t>
      </w:r>
      <w:r w:rsidR="008C2D22" w:rsidRPr="008C2D22">
        <w:rPr>
          <w:rFonts w:hint="eastAsia"/>
          <w:b/>
        </w:rPr>
        <w:t>用户规模</w:t>
      </w:r>
    </w:p>
    <w:p w14:paraId="5718B00B" w14:textId="77777777" w:rsidR="00F63311" w:rsidRDefault="000403F1" w:rsidP="000403F1">
      <w:pPr>
        <w:jc w:val="center"/>
      </w:pPr>
      <w:r>
        <w:rPr>
          <w:rFonts w:ascii="微软雅黑" w:eastAsia="微软雅黑" w:hAnsi="微软雅黑" w:cstheme="minorEastAsia" w:hint="eastAsia"/>
          <w:noProof/>
        </w:rPr>
        <w:lastRenderedPageBreak/>
        <w:drawing>
          <wp:inline distT="0" distB="0" distL="114300" distR="114300" wp14:anchorId="1206C21C" wp14:editId="28515CF4">
            <wp:extent cx="3905186" cy="2608894"/>
            <wp:effectExtent l="0" t="0" r="0" b="0"/>
            <wp:docPr id="3"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4BA8D0" w14:textId="2E673E1C" w:rsidR="00184FD3" w:rsidRPr="00472D6B" w:rsidRDefault="00077FB9" w:rsidP="005E5A70">
      <w:pPr>
        <w:rPr>
          <w:sz w:val="18"/>
        </w:rPr>
      </w:pPr>
      <w:r>
        <w:rPr>
          <w:rFonts w:hint="eastAsia"/>
          <w:sz w:val="18"/>
        </w:rPr>
        <w:t xml:space="preserve">             </w:t>
      </w:r>
      <w:r w:rsidR="00F63311" w:rsidRPr="00F63311">
        <w:rPr>
          <w:rFonts w:hint="eastAsia"/>
          <w:sz w:val="18"/>
        </w:rPr>
        <w:t>数据来源：中国音数协游戏工委（</w:t>
      </w:r>
      <w:r w:rsidR="00F63311" w:rsidRPr="00F63311">
        <w:rPr>
          <w:rFonts w:hint="eastAsia"/>
          <w:sz w:val="18"/>
        </w:rPr>
        <w:t>GPC</w:t>
      </w:r>
      <w:r w:rsidR="00F63311" w:rsidRPr="00F63311">
        <w:rPr>
          <w:rFonts w:hint="eastAsia"/>
          <w:sz w:val="18"/>
        </w:rPr>
        <w:t>）</w:t>
      </w:r>
      <w:r w:rsidR="00F63311" w:rsidRPr="00F63311">
        <w:rPr>
          <w:rFonts w:hint="eastAsia"/>
          <w:sz w:val="18"/>
        </w:rPr>
        <w:t>&amp;</w:t>
      </w:r>
      <w:r w:rsidR="00F63311" w:rsidRPr="00F63311">
        <w:rPr>
          <w:rFonts w:hint="eastAsia"/>
          <w:sz w:val="18"/>
        </w:rPr>
        <w:t>伽马数据（</w:t>
      </w:r>
      <w:r w:rsidR="00F63311" w:rsidRPr="00F63311">
        <w:rPr>
          <w:rFonts w:hint="eastAsia"/>
          <w:sz w:val="18"/>
        </w:rPr>
        <w:t>CNG</w:t>
      </w:r>
      <w:r w:rsidR="00F63311" w:rsidRPr="00F63311">
        <w:rPr>
          <w:rFonts w:hint="eastAsia"/>
          <w:sz w:val="18"/>
        </w:rPr>
        <w:t>）</w:t>
      </w:r>
      <w:r w:rsidR="00F63311" w:rsidRPr="00F63311">
        <w:rPr>
          <w:rFonts w:hint="eastAsia"/>
          <w:sz w:val="18"/>
        </w:rPr>
        <w:t>&amp;</w:t>
      </w:r>
      <w:r w:rsidR="00F63311" w:rsidRPr="00F63311">
        <w:rPr>
          <w:rFonts w:hint="eastAsia"/>
          <w:sz w:val="18"/>
        </w:rPr>
        <w:t>国际数据公司（</w:t>
      </w:r>
      <w:r w:rsidR="00F63311" w:rsidRPr="00F63311">
        <w:rPr>
          <w:rFonts w:hint="eastAsia"/>
          <w:sz w:val="18"/>
        </w:rPr>
        <w:t>IDC</w:t>
      </w:r>
      <w:r w:rsidR="00F63311" w:rsidRPr="00F63311">
        <w:rPr>
          <w:rFonts w:hint="eastAsia"/>
          <w:sz w:val="18"/>
        </w:rPr>
        <w:t>）</w:t>
      </w:r>
    </w:p>
    <w:p w14:paraId="00100F42" w14:textId="0AD847B9" w:rsidR="006140F5" w:rsidRDefault="00472D6B" w:rsidP="00B148C0">
      <w:r>
        <w:rPr>
          <w:rFonts w:hint="eastAsia"/>
        </w:rPr>
        <w:t xml:space="preserve">   </w:t>
      </w:r>
      <w:r w:rsidR="00C5129F">
        <w:rPr>
          <w:rFonts w:hint="eastAsia"/>
        </w:rPr>
        <w:t xml:space="preserve"> </w:t>
      </w:r>
      <w:r w:rsidR="00B148C0">
        <w:rPr>
          <w:rFonts w:hint="eastAsia"/>
        </w:rPr>
        <w:t>2</w:t>
      </w:r>
      <w:r w:rsidR="00976C2E" w:rsidRPr="00C5129F">
        <w:rPr>
          <w:rFonts w:hint="eastAsia"/>
        </w:rPr>
        <w:t>）</w:t>
      </w:r>
      <w:r w:rsidR="007E4CEA">
        <w:rPr>
          <w:rFonts w:hint="eastAsia"/>
        </w:rPr>
        <w:t>手游</w:t>
      </w:r>
      <w:r w:rsidR="006140F5">
        <w:rPr>
          <w:rFonts w:hint="eastAsia"/>
        </w:rPr>
        <w:t>积极出海，海外业务成新增长点</w:t>
      </w:r>
    </w:p>
    <w:p w14:paraId="12EB620C" w14:textId="6B60B5D7" w:rsidR="001C3BB2" w:rsidRDefault="00B07BEB" w:rsidP="00976C2E">
      <w:pPr>
        <w:jc w:val="left"/>
      </w:pPr>
      <w:r>
        <w:rPr>
          <w:rFonts w:hint="eastAsia"/>
        </w:rPr>
        <w:t xml:space="preserve">    </w:t>
      </w:r>
      <w:r w:rsidR="007E4CEA">
        <w:rPr>
          <w:rFonts w:hint="eastAsia"/>
        </w:rPr>
        <w:t>不同于</w:t>
      </w:r>
      <w:r w:rsidR="007E4CEA">
        <w:rPr>
          <w:rFonts w:hint="eastAsia"/>
        </w:rPr>
        <w:t>2013</w:t>
      </w:r>
      <w:r w:rsidR="007E4CEA">
        <w:rPr>
          <w:rFonts w:hint="eastAsia"/>
        </w:rPr>
        <w:t>年手游兴起时，中国游戏公司纷纷积极引入国外优秀</w:t>
      </w:r>
      <w:r w:rsidR="007E4CEA">
        <w:t>IP</w:t>
      </w:r>
      <w:r w:rsidR="007E4CEA">
        <w:rPr>
          <w:rFonts w:hint="eastAsia"/>
        </w:rPr>
        <w:t>、爆款游戏以快速扎根手游市场建立市场地位，</w:t>
      </w:r>
      <w:r w:rsidR="007E4CEA">
        <w:rPr>
          <w:rFonts w:hint="eastAsia"/>
        </w:rPr>
        <w:t>2018</w:t>
      </w:r>
      <w:r w:rsidR="007E4CEA">
        <w:rPr>
          <w:rFonts w:hint="eastAsia"/>
        </w:rPr>
        <w:t>年中国自主研发的游戏也将继续积极出海。</w:t>
      </w:r>
      <w:r w:rsidR="001C3BB2" w:rsidRPr="001C3BB2">
        <w:rPr>
          <w:rFonts w:hint="eastAsia"/>
        </w:rPr>
        <w:t>2017</w:t>
      </w:r>
      <w:r w:rsidR="007E4CEA">
        <w:rPr>
          <w:rFonts w:hint="eastAsia"/>
        </w:rPr>
        <w:t>年，中国自主研发网络</w:t>
      </w:r>
      <w:r w:rsidR="001C3BB2" w:rsidRPr="001C3BB2">
        <w:rPr>
          <w:rFonts w:hint="eastAsia"/>
        </w:rPr>
        <w:t>游戏海外市场实际销售收入同比增长</w:t>
      </w:r>
      <w:r w:rsidR="001C3BB2" w:rsidRPr="001C3BB2">
        <w:rPr>
          <w:rFonts w:hint="eastAsia"/>
        </w:rPr>
        <w:t>14.5%</w:t>
      </w:r>
      <w:r w:rsidR="006140F5">
        <w:rPr>
          <w:rFonts w:hint="eastAsia"/>
        </w:rPr>
        <w:t>，</w:t>
      </w:r>
      <w:r w:rsidR="006140F5" w:rsidRPr="001C3BB2">
        <w:rPr>
          <w:rFonts w:hint="eastAsia"/>
        </w:rPr>
        <w:t>达</w:t>
      </w:r>
      <w:r w:rsidR="006140F5">
        <w:rPr>
          <w:rFonts w:hint="eastAsia"/>
        </w:rPr>
        <w:t>到</w:t>
      </w:r>
      <w:r w:rsidR="006140F5" w:rsidRPr="001C3BB2">
        <w:rPr>
          <w:rFonts w:hint="eastAsia"/>
        </w:rPr>
        <w:t>82.8</w:t>
      </w:r>
      <w:r w:rsidR="006140F5" w:rsidRPr="001C3BB2">
        <w:rPr>
          <w:rFonts w:hint="eastAsia"/>
        </w:rPr>
        <w:t>亿美元</w:t>
      </w:r>
      <w:r w:rsidR="006140F5">
        <w:rPr>
          <w:rFonts w:hint="eastAsia"/>
        </w:rPr>
        <w:t>，该数据在</w:t>
      </w:r>
      <w:r w:rsidR="006140F5">
        <w:rPr>
          <w:rFonts w:hint="eastAsia"/>
        </w:rPr>
        <w:t>2013</w:t>
      </w:r>
      <w:r w:rsidR="006140F5">
        <w:rPr>
          <w:rFonts w:hint="eastAsia"/>
        </w:rPr>
        <w:t>年仅</w:t>
      </w:r>
      <w:r w:rsidR="006140F5">
        <w:rPr>
          <w:rFonts w:hint="eastAsia"/>
        </w:rPr>
        <w:t>18.2</w:t>
      </w:r>
      <w:r w:rsidR="006140F5">
        <w:rPr>
          <w:rFonts w:hint="eastAsia"/>
        </w:rPr>
        <w:t>亿美元，</w:t>
      </w:r>
      <w:r w:rsidR="007E4CEA">
        <w:rPr>
          <w:rFonts w:hint="eastAsia"/>
        </w:rPr>
        <w:t xml:space="preserve"> </w:t>
      </w:r>
      <w:r w:rsidR="001C3BB2" w:rsidRPr="001C3BB2">
        <w:rPr>
          <w:rFonts w:hint="eastAsia"/>
        </w:rPr>
        <w:t>中国自主研发移动游戏海外影响力提升，产品品牌地位显著提升。目前，中国已经成为游戏输出大国，东南亚、日、韩排名靠前的进口游戏多为中国</w:t>
      </w:r>
      <w:r w:rsidR="007E4CEA">
        <w:rPr>
          <w:rFonts w:hint="eastAsia"/>
        </w:rPr>
        <w:t>自主研发游戏</w:t>
      </w:r>
      <w:r w:rsidR="001C3BB2" w:rsidRPr="001C3BB2">
        <w:rPr>
          <w:rFonts w:hint="eastAsia"/>
        </w:rPr>
        <w:t>。</w:t>
      </w:r>
    </w:p>
    <w:p w14:paraId="6B1D2F0A" w14:textId="77777777" w:rsidR="001C3BB2" w:rsidRDefault="001C3BB2" w:rsidP="00976C2E">
      <w:pPr>
        <w:jc w:val="left"/>
      </w:pPr>
      <w:r>
        <w:rPr>
          <w:rFonts w:hint="eastAsia"/>
        </w:rPr>
        <w:t xml:space="preserve">           2008-2017</w:t>
      </w:r>
      <w:r>
        <w:rPr>
          <w:rFonts w:hint="eastAsia"/>
        </w:rPr>
        <w:t>年</w:t>
      </w:r>
      <w:r w:rsidRPr="001C3BB2">
        <w:rPr>
          <w:rFonts w:hint="eastAsia"/>
        </w:rPr>
        <w:t>中国自主研发网络游戏海外市场实际销售收入</w:t>
      </w:r>
    </w:p>
    <w:p w14:paraId="59A273D0" w14:textId="77777777" w:rsidR="00F60A4F" w:rsidRDefault="001C3BB2" w:rsidP="001C3BB2">
      <w:pPr>
        <w:jc w:val="center"/>
      </w:pPr>
      <w:r>
        <w:rPr>
          <w:rFonts w:hint="eastAsia"/>
          <w:noProof/>
        </w:rPr>
        <w:drawing>
          <wp:inline distT="0" distB="0" distL="114300" distR="114300" wp14:anchorId="5467B9A2" wp14:editId="2A495026">
            <wp:extent cx="4265930" cy="2879725"/>
            <wp:effectExtent l="4445" t="4445" r="15875" b="11430"/>
            <wp:docPr id="13"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41E308" w14:textId="77777777" w:rsidR="001C3BB2" w:rsidRDefault="001C3BB2" w:rsidP="001C3BB2">
      <w:pPr>
        <w:jc w:val="center"/>
        <w:rPr>
          <w:sz w:val="18"/>
        </w:rPr>
      </w:pPr>
      <w:r w:rsidRPr="001C3BB2">
        <w:rPr>
          <w:rFonts w:hint="eastAsia"/>
          <w:sz w:val="18"/>
        </w:rPr>
        <w:lastRenderedPageBreak/>
        <w:t>数据来源：中国音数协游戏工委（</w:t>
      </w:r>
      <w:r w:rsidRPr="001C3BB2">
        <w:rPr>
          <w:rFonts w:hint="eastAsia"/>
          <w:sz w:val="18"/>
        </w:rPr>
        <w:t>GPC</w:t>
      </w:r>
      <w:r w:rsidRPr="001C3BB2">
        <w:rPr>
          <w:rFonts w:hint="eastAsia"/>
          <w:sz w:val="18"/>
        </w:rPr>
        <w:t>）</w:t>
      </w:r>
      <w:r w:rsidRPr="001C3BB2">
        <w:rPr>
          <w:rFonts w:hint="eastAsia"/>
          <w:sz w:val="18"/>
        </w:rPr>
        <w:t>&amp;</w:t>
      </w:r>
      <w:r w:rsidRPr="001C3BB2">
        <w:rPr>
          <w:rFonts w:hint="eastAsia"/>
          <w:sz w:val="18"/>
        </w:rPr>
        <w:t>伽马数据（</w:t>
      </w:r>
      <w:r w:rsidRPr="001C3BB2">
        <w:rPr>
          <w:rFonts w:hint="eastAsia"/>
          <w:sz w:val="18"/>
        </w:rPr>
        <w:t>CNG</w:t>
      </w:r>
      <w:r w:rsidRPr="001C3BB2">
        <w:rPr>
          <w:rFonts w:hint="eastAsia"/>
          <w:sz w:val="18"/>
        </w:rPr>
        <w:t>）</w:t>
      </w:r>
      <w:r w:rsidRPr="001C3BB2">
        <w:rPr>
          <w:rFonts w:hint="eastAsia"/>
          <w:sz w:val="18"/>
        </w:rPr>
        <w:t>&amp;</w:t>
      </w:r>
      <w:r w:rsidRPr="001C3BB2">
        <w:rPr>
          <w:rFonts w:hint="eastAsia"/>
          <w:sz w:val="18"/>
        </w:rPr>
        <w:t>国际数据公司（</w:t>
      </w:r>
      <w:r w:rsidRPr="001C3BB2">
        <w:rPr>
          <w:rFonts w:hint="eastAsia"/>
          <w:sz w:val="18"/>
        </w:rPr>
        <w:t>IDC</w:t>
      </w:r>
      <w:r w:rsidRPr="001C3BB2">
        <w:rPr>
          <w:rFonts w:hint="eastAsia"/>
          <w:sz w:val="18"/>
        </w:rPr>
        <w:t>）</w:t>
      </w:r>
    </w:p>
    <w:p w14:paraId="26443104" w14:textId="1ADC3A0F" w:rsidR="00B148C0" w:rsidRDefault="00B148C0" w:rsidP="00B148C0">
      <w:pPr>
        <w:jc w:val="left"/>
      </w:pPr>
      <w:r>
        <w:rPr>
          <w:rFonts w:hint="eastAsia"/>
        </w:rPr>
        <w:t xml:space="preserve">    </w:t>
      </w:r>
      <w:r w:rsidRPr="00B148C0">
        <w:t>3</w:t>
      </w:r>
      <w:r w:rsidRPr="00B148C0">
        <w:t>）</w:t>
      </w:r>
      <w:r w:rsidRPr="00B148C0">
        <w:t xml:space="preserve"> IP</w:t>
      </w:r>
      <w:r w:rsidR="0052678A">
        <w:rPr>
          <w:rFonts w:hint="eastAsia"/>
        </w:rPr>
        <w:t>与游戏融合成当下趋势</w:t>
      </w:r>
    </w:p>
    <w:p w14:paraId="0DAC2213" w14:textId="3157BE9B" w:rsidR="0052678A" w:rsidRPr="0052678A" w:rsidRDefault="0052678A" w:rsidP="00B148C0">
      <w:pPr>
        <w:jc w:val="left"/>
      </w:pPr>
      <w:r>
        <w:rPr>
          <w:rFonts w:hint="eastAsia"/>
        </w:rPr>
        <w:t xml:space="preserve">    </w:t>
      </w:r>
      <w:r>
        <w:rPr>
          <w:rFonts w:hint="eastAsia"/>
        </w:rPr>
        <w:t>根据伽马数据的统计，</w:t>
      </w:r>
      <w:r>
        <w:rPr>
          <w:rFonts w:hint="eastAsia"/>
        </w:rPr>
        <w:t>2017</w:t>
      </w:r>
      <w:r>
        <w:rPr>
          <w:rFonts w:hint="eastAsia"/>
        </w:rPr>
        <w:t>年</w:t>
      </w:r>
      <w:r>
        <w:t>IP</w:t>
      </w:r>
      <w:r>
        <w:rPr>
          <w:rFonts w:hint="eastAsia"/>
        </w:rPr>
        <w:t>移动游戏市场实际销售收入达到</w:t>
      </w:r>
      <w:r>
        <w:rPr>
          <w:rFonts w:hint="eastAsia"/>
        </w:rPr>
        <w:t>745.6</w:t>
      </w:r>
      <w:r>
        <w:rPr>
          <w:rFonts w:hint="eastAsia"/>
        </w:rPr>
        <w:t>亿元，同比增长</w:t>
      </w:r>
      <w:r>
        <w:rPr>
          <w:rFonts w:hint="eastAsia"/>
        </w:rPr>
        <w:t>36.2%</w:t>
      </w:r>
      <w:r>
        <w:rPr>
          <w:rFonts w:hint="eastAsia"/>
        </w:rPr>
        <w:t>，</w:t>
      </w:r>
      <w:r>
        <w:t>IP</w:t>
      </w:r>
      <w:r>
        <w:rPr>
          <w:rFonts w:hint="eastAsia"/>
        </w:rPr>
        <w:t>移动游戏收入在总移动游戏收入的比例达到</w:t>
      </w:r>
      <w:r>
        <w:rPr>
          <w:rFonts w:hint="eastAsia"/>
        </w:rPr>
        <w:t>64.2%</w:t>
      </w:r>
      <w:r>
        <w:rPr>
          <w:rFonts w:hint="eastAsia"/>
        </w:rPr>
        <w:t>，由此可以看出</w:t>
      </w:r>
      <w:r>
        <w:t>IP</w:t>
      </w:r>
      <w:r>
        <w:rPr>
          <w:rFonts w:hint="eastAsia"/>
        </w:rPr>
        <w:t>游戏是当下手游产品的主力。</w:t>
      </w:r>
      <w:r w:rsidR="00A87F56" w:rsidRPr="00A87F56">
        <w:rPr>
          <w:rFonts w:hint="eastAsia"/>
        </w:rPr>
        <w:t>IP</w:t>
      </w:r>
      <w:r w:rsidR="00A87F56" w:rsidRPr="00A87F56">
        <w:rPr>
          <w:rFonts w:hint="eastAsia"/>
        </w:rPr>
        <w:t>游戏不仅能为游戏带来新增内容，提高玩家的活跃度，还能挖掘更多的潜在用户，刺激用户进行消费行为</w:t>
      </w:r>
      <w:r w:rsidR="00A87F56">
        <w:rPr>
          <w:rFonts w:hint="eastAsia"/>
        </w:rPr>
        <w:t>，</w:t>
      </w:r>
      <w:r w:rsidR="00A87F56">
        <w:t>IP</w:t>
      </w:r>
      <w:r w:rsidR="00A87F56">
        <w:rPr>
          <w:rFonts w:hint="eastAsia"/>
        </w:rPr>
        <w:t>对于游戏的价值将会越来越大。</w:t>
      </w:r>
    </w:p>
    <w:sectPr w:rsidR="0052678A" w:rsidRPr="0052678A" w:rsidSect="00E4681F">
      <w:pgSz w:w="12240" w:h="15840"/>
      <w:pgMar w:top="1440" w:right="1800" w:bottom="1440" w:left="1800" w:header="720" w:footer="720" w:gutter="0"/>
      <w:cols w:space="720"/>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495806" w14:textId="77777777" w:rsidR="001011A5" w:rsidRDefault="001011A5" w:rsidP="00A871B2">
      <w:r>
        <w:separator/>
      </w:r>
    </w:p>
  </w:endnote>
  <w:endnote w:type="continuationSeparator" w:id="0">
    <w:p w14:paraId="311E22E9" w14:textId="77777777" w:rsidR="001011A5" w:rsidRDefault="001011A5" w:rsidP="00A8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FDE51" w14:textId="77777777" w:rsidR="001011A5" w:rsidRDefault="001011A5" w:rsidP="00A871B2">
      <w:r>
        <w:separator/>
      </w:r>
    </w:p>
  </w:footnote>
  <w:footnote w:type="continuationSeparator" w:id="0">
    <w:p w14:paraId="04F45A7C" w14:textId="77777777" w:rsidR="001011A5" w:rsidRDefault="001011A5" w:rsidP="00A871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A6A50"/>
    <w:rsid w:val="0000161F"/>
    <w:rsid w:val="00001FDE"/>
    <w:rsid w:val="00025003"/>
    <w:rsid w:val="000330AE"/>
    <w:rsid w:val="000403F1"/>
    <w:rsid w:val="000421FC"/>
    <w:rsid w:val="000501A1"/>
    <w:rsid w:val="00057FC7"/>
    <w:rsid w:val="000728A0"/>
    <w:rsid w:val="00077FB9"/>
    <w:rsid w:val="0009618C"/>
    <w:rsid w:val="000A3709"/>
    <w:rsid w:val="000B58BB"/>
    <w:rsid w:val="000B78B0"/>
    <w:rsid w:val="000E1603"/>
    <w:rsid w:val="000E3D88"/>
    <w:rsid w:val="000E5CD7"/>
    <w:rsid w:val="000F0A7E"/>
    <w:rsid w:val="001011A5"/>
    <w:rsid w:val="00111C92"/>
    <w:rsid w:val="00134A1B"/>
    <w:rsid w:val="001429DE"/>
    <w:rsid w:val="00144129"/>
    <w:rsid w:val="001450DB"/>
    <w:rsid w:val="001461AF"/>
    <w:rsid w:val="00147FA1"/>
    <w:rsid w:val="001576FC"/>
    <w:rsid w:val="00173A43"/>
    <w:rsid w:val="00173EAE"/>
    <w:rsid w:val="001807F9"/>
    <w:rsid w:val="00184FD3"/>
    <w:rsid w:val="00186D36"/>
    <w:rsid w:val="00190BAD"/>
    <w:rsid w:val="0019115A"/>
    <w:rsid w:val="001A007C"/>
    <w:rsid w:val="001A1CDE"/>
    <w:rsid w:val="001A2780"/>
    <w:rsid w:val="001B7503"/>
    <w:rsid w:val="001C2721"/>
    <w:rsid w:val="001C3BB2"/>
    <w:rsid w:val="001E2946"/>
    <w:rsid w:val="001E3DC9"/>
    <w:rsid w:val="001E6F40"/>
    <w:rsid w:val="0020300E"/>
    <w:rsid w:val="00205F46"/>
    <w:rsid w:val="00206B8D"/>
    <w:rsid w:val="0020732D"/>
    <w:rsid w:val="002239BA"/>
    <w:rsid w:val="00231A4F"/>
    <w:rsid w:val="00234F22"/>
    <w:rsid w:val="00236C8E"/>
    <w:rsid w:val="00250A4F"/>
    <w:rsid w:val="0025799D"/>
    <w:rsid w:val="002615EB"/>
    <w:rsid w:val="00265D14"/>
    <w:rsid w:val="00276F1E"/>
    <w:rsid w:val="002851DE"/>
    <w:rsid w:val="00285AEB"/>
    <w:rsid w:val="002A06D5"/>
    <w:rsid w:val="002B4025"/>
    <w:rsid w:val="002C630B"/>
    <w:rsid w:val="002C6F90"/>
    <w:rsid w:val="002E260F"/>
    <w:rsid w:val="002F1881"/>
    <w:rsid w:val="002F621D"/>
    <w:rsid w:val="002F6871"/>
    <w:rsid w:val="002F7D47"/>
    <w:rsid w:val="00303B7F"/>
    <w:rsid w:val="00316346"/>
    <w:rsid w:val="00316576"/>
    <w:rsid w:val="00332DDE"/>
    <w:rsid w:val="00337F50"/>
    <w:rsid w:val="00347944"/>
    <w:rsid w:val="00352DE9"/>
    <w:rsid w:val="003666B7"/>
    <w:rsid w:val="00370CDB"/>
    <w:rsid w:val="003750F0"/>
    <w:rsid w:val="00380108"/>
    <w:rsid w:val="00386A54"/>
    <w:rsid w:val="00386A60"/>
    <w:rsid w:val="0039617F"/>
    <w:rsid w:val="003A012C"/>
    <w:rsid w:val="003A11DF"/>
    <w:rsid w:val="003A1B5B"/>
    <w:rsid w:val="003A718D"/>
    <w:rsid w:val="003B3347"/>
    <w:rsid w:val="003C0E59"/>
    <w:rsid w:val="003C3783"/>
    <w:rsid w:val="003D3606"/>
    <w:rsid w:val="003E0277"/>
    <w:rsid w:val="003E64D6"/>
    <w:rsid w:val="003E6CDE"/>
    <w:rsid w:val="003F1B4E"/>
    <w:rsid w:val="003F1C1C"/>
    <w:rsid w:val="003F59B1"/>
    <w:rsid w:val="00403819"/>
    <w:rsid w:val="00405F05"/>
    <w:rsid w:val="00412424"/>
    <w:rsid w:val="00412A22"/>
    <w:rsid w:val="00412ADC"/>
    <w:rsid w:val="0042023F"/>
    <w:rsid w:val="00425407"/>
    <w:rsid w:val="00436A6D"/>
    <w:rsid w:val="004441A4"/>
    <w:rsid w:val="00447C9F"/>
    <w:rsid w:val="00453BBB"/>
    <w:rsid w:val="00460806"/>
    <w:rsid w:val="00472D6B"/>
    <w:rsid w:val="00474240"/>
    <w:rsid w:val="004927FB"/>
    <w:rsid w:val="004A3E77"/>
    <w:rsid w:val="004B3240"/>
    <w:rsid w:val="004C077D"/>
    <w:rsid w:val="004D07B7"/>
    <w:rsid w:val="004E3B43"/>
    <w:rsid w:val="004F1E69"/>
    <w:rsid w:val="005024D3"/>
    <w:rsid w:val="005146D7"/>
    <w:rsid w:val="00515E73"/>
    <w:rsid w:val="00516FE2"/>
    <w:rsid w:val="0051707E"/>
    <w:rsid w:val="0052678A"/>
    <w:rsid w:val="005324B6"/>
    <w:rsid w:val="00537591"/>
    <w:rsid w:val="00544132"/>
    <w:rsid w:val="00545062"/>
    <w:rsid w:val="005527EF"/>
    <w:rsid w:val="00556925"/>
    <w:rsid w:val="005663D6"/>
    <w:rsid w:val="00576D07"/>
    <w:rsid w:val="00580A49"/>
    <w:rsid w:val="00582B45"/>
    <w:rsid w:val="00587939"/>
    <w:rsid w:val="00595F78"/>
    <w:rsid w:val="005A12F8"/>
    <w:rsid w:val="005A3633"/>
    <w:rsid w:val="005A6350"/>
    <w:rsid w:val="005A73D2"/>
    <w:rsid w:val="005C5892"/>
    <w:rsid w:val="005D410B"/>
    <w:rsid w:val="005E5A70"/>
    <w:rsid w:val="005E7805"/>
    <w:rsid w:val="005E7980"/>
    <w:rsid w:val="005F5245"/>
    <w:rsid w:val="005F7E1E"/>
    <w:rsid w:val="006140F5"/>
    <w:rsid w:val="006171FB"/>
    <w:rsid w:val="00617575"/>
    <w:rsid w:val="00627CC3"/>
    <w:rsid w:val="00631DA3"/>
    <w:rsid w:val="00643E71"/>
    <w:rsid w:val="00665760"/>
    <w:rsid w:val="006737C2"/>
    <w:rsid w:val="00687870"/>
    <w:rsid w:val="00691DA4"/>
    <w:rsid w:val="00693A91"/>
    <w:rsid w:val="006A19CB"/>
    <w:rsid w:val="006A3C84"/>
    <w:rsid w:val="006A538B"/>
    <w:rsid w:val="006C06E3"/>
    <w:rsid w:val="006C2729"/>
    <w:rsid w:val="006D5B91"/>
    <w:rsid w:val="006D6C4D"/>
    <w:rsid w:val="006F026B"/>
    <w:rsid w:val="006F1AD9"/>
    <w:rsid w:val="0071025A"/>
    <w:rsid w:val="00732AD6"/>
    <w:rsid w:val="007409A5"/>
    <w:rsid w:val="00740EAD"/>
    <w:rsid w:val="0074313B"/>
    <w:rsid w:val="00750508"/>
    <w:rsid w:val="00754AC1"/>
    <w:rsid w:val="007626D7"/>
    <w:rsid w:val="00762DA0"/>
    <w:rsid w:val="007644C7"/>
    <w:rsid w:val="007723D5"/>
    <w:rsid w:val="00776FF2"/>
    <w:rsid w:val="00780F41"/>
    <w:rsid w:val="00793377"/>
    <w:rsid w:val="007A23B3"/>
    <w:rsid w:val="007A6A50"/>
    <w:rsid w:val="007A787C"/>
    <w:rsid w:val="007B022D"/>
    <w:rsid w:val="007B43A2"/>
    <w:rsid w:val="007C0222"/>
    <w:rsid w:val="007D05ED"/>
    <w:rsid w:val="007D2638"/>
    <w:rsid w:val="007D3460"/>
    <w:rsid w:val="007D4F3A"/>
    <w:rsid w:val="007D64FA"/>
    <w:rsid w:val="007E4CEA"/>
    <w:rsid w:val="00802058"/>
    <w:rsid w:val="00807E6A"/>
    <w:rsid w:val="0081077D"/>
    <w:rsid w:val="0081471A"/>
    <w:rsid w:val="0082415A"/>
    <w:rsid w:val="00824319"/>
    <w:rsid w:val="008410AC"/>
    <w:rsid w:val="00845032"/>
    <w:rsid w:val="00845871"/>
    <w:rsid w:val="0084640F"/>
    <w:rsid w:val="00860DBA"/>
    <w:rsid w:val="00873796"/>
    <w:rsid w:val="00880AEC"/>
    <w:rsid w:val="008915D0"/>
    <w:rsid w:val="0089289C"/>
    <w:rsid w:val="008B1452"/>
    <w:rsid w:val="008C19C4"/>
    <w:rsid w:val="008C2D22"/>
    <w:rsid w:val="008C4D02"/>
    <w:rsid w:val="008D20CF"/>
    <w:rsid w:val="008D26A5"/>
    <w:rsid w:val="008D3C2E"/>
    <w:rsid w:val="008E5E2B"/>
    <w:rsid w:val="008F5A45"/>
    <w:rsid w:val="00901119"/>
    <w:rsid w:val="009065C2"/>
    <w:rsid w:val="009327A3"/>
    <w:rsid w:val="0093290F"/>
    <w:rsid w:val="00937144"/>
    <w:rsid w:val="00940814"/>
    <w:rsid w:val="00946EE1"/>
    <w:rsid w:val="00952485"/>
    <w:rsid w:val="009578BA"/>
    <w:rsid w:val="00962E29"/>
    <w:rsid w:val="00965D29"/>
    <w:rsid w:val="00971B6F"/>
    <w:rsid w:val="009755E5"/>
    <w:rsid w:val="00976C2E"/>
    <w:rsid w:val="0099259E"/>
    <w:rsid w:val="00993033"/>
    <w:rsid w:val="009958B7"/>
    <w:rsid w:val="009A1672"/>
    <w:rsid w:val="009A2B44"/>
    <w:rsid w:val="009A5067"/>
    <w:rsid w:val="009A611E"/>
    <w:rsid w:val="009B17E9"/>
    <w:rsid w:val="009C1654"/>
    <w:rsid w:val="009C75F6"/>
    <w:rsid w:val="009D474B"/>
    <w:rsid w:val="009D59E8"/>
    <w:rsid w:val="009F4591"/>
    <w:rsid w:val="009F4CDE"/>
    <w:rsid w:val="00A0008D"/>
    <w:rsid w:val="00A0261E"/>
    <w:rsid w:val="00A03693"/>
    <w:rsid w:val="00A054E1"/>
    <w:rsid w:val="00A06D00"/>
    <w:rsid w:val="00A15781"/>
    <w:rsid w:val="00A21586"/>
    <w:rsid w:val="00A21684"/>
    <w:rsid w:val="00A34FD4"/>
    <w:rsid w:val="00A37D5A"/>
    <w:rsid w:val="00A47A6B"/>
    <w:rsid w:val="00A551C9"/>
    <w:rsid w:val="00A56C84"/>
    <w:rsid w:val="00A6006F"/>
    <w:rsid w:val="00A603A2"/>
    <w:rsid w:val="00A60798"/>
    <w:rsid w:val="00A60A6C"/>
    <w:rsid w:val="00A6410D"/>
    <w:rsid w:val="00A641D6"/>
    <w:rsid w:val="00A71740"/>
    <w:rsid w:val="00A72A86"/>
    <w:rsid w:val="00A871B2"/>
    <w:rsid w:val="00A87F56"/>
    <w:rsid w:val="00A908CD"/>
    <w:rsid w:val="00A9554E"/>
    <w:rsid w:val="00AA143F"/>
    <w:rsid w:val="00AA4075"/>
    <w:rsid w:val="00AA460F"/>
    <w:rsid w:val="00AB0223"/>
    <w:rsid w:val="00AB2DA7"/>
    <w:rsid w:val="00AB3F40"/>
    <w:rsid w:val="00AB4098"/>
    <w:rsid w:val="00AC0172"/>
    <w:rsid w:val="00AC3517"/>
    <w:rsid w:val="00AC3951"/>
    <w:rsid w:val="00AD6B90"/>
    <w:rsid w:val="00B07BEB"/>
    <w:rsid w:val="00B10304"/>
    <w:rsid w:val="00B148C0"/>
    <w:rsid w:val="00B17BF0"/>
    <w:rsid w:val="00B20C69"/>
    <w:rsid w:val="00B20DE4"/>
    <w:rsid w:val="00B215E3"/>
    <w:rsid w:val="00B305B2"/>
    <w:rsid w:val="00B6421A"/>
    <w:rsid w:val="00B73DCB"/>
    <w:rsid w:val="00B84DFC"/>
    <w:rsid w:val="00BA09C1"/>
    <w:rsid w:val="00BA1405"/>
    <w:rsid w:val="00BA167C"/>
    <w:rsid w:val="00BA1884"/>
    <w:rsid w:val="00BB57A4"/>
    <w:rsid w:val="00BB6EE5"/>
    <w:rsid w:val="00BC2841"/>
    <w:rsid w:val="00BC433F"/>
    <w:rsid w:val="00BD6D4C"/>
    <w:rsid w:val="00BE50B3"/>
    <w:rsid w:val="00BF770B"/>
    <w:rsid w:val="00C03D66"/>
    <w:rsid w:val="00C04ECB"/>
    <w:rsid w:val="00C11419"/>
    <w:rsid w:val="00C12134"/>
    <w:rsid w:val="00C15A42"/>
    <w:rsid w:val="00C22DF7"/>
    <w:rsid w:val="00C37E06"/>
    <w:rsid w:val="00C42858"/>
    <w:rsid w:val="00C44D99"/>
    <w:rsid w:val="00C5129F"/>
    <w:rsid w:val="00C769A2"/>
    <w:rsid w:val="00CA2870"/>
    <w:rsid w:val="00CA7379"/>
    <w:rsid w:val="00CC0E16"/>
    <w:rsid w:val="00CC16E9"/>
    <w:rsid w:val="00CC1C8A"/>
    <w:rsid w:val="00CC4A03"/>
    <w:rsid w:val="00CC706D"/>
    <w:rsid w:val="00CE080E"/>
    <w:rsid w:val="00CF0937"/>
    <w:rsid w:val="00CF6582"/>
    <w:rsid w:val="00D01024"/>
    <w:rsid w:val="00D04A49"/>
    <w:rsid w:val="00D13B80"/>
    <w:rsid w:val="00D367E5"/>
    <w:rsid w:val="00D40BA6"/>
    <w:rsid w:val="00D43F0D"/>
    <w:rsid w:val="00D544BC"/>
    <w:rsid w:val="00D57A61"/>
    <w:rsid w:val="00D61A15"/>
    <w:rsid w:val="00D74C56"/>
    <w:rsid w:val="00D7516A"/>
    <w:rsid w:val="00D754F2"/>
    <w:rsid w:val="00D814F0"/>
    <w:rsid w:val="00D85C68"/>
    <w:rsid w:val="00D91C7E"/>
    <w:rsid w:val="00D920B5"/>
    <w:rsid w:val="00D92CF4"/>
    <w:rsid w:val="00D947C3"/>
    <w:rsid w:val="00D9495D"/>
    <w:rsid w:val="00D951A6"/>
    <w:rsid w:val="00DA0101"/>
    <w:rsid w:val="00DA3A37"/>
    <w:rsid w:val="00DB2C3B"/>
    <w:rsid w:val="00DE1C97"/>
    <w:rsid w:val="00DE6EA8"/>
    <w:rsid w:val="00DF181E"/>
    <w:rsid w:val="00DF56E5"/>
    <w:rsid w:val="00E01B90"/>
    <w:rsid w:val="00E021CD"/>
    <w:rsid w:val="00E11FCB"/>
    <w:rsid w:val="00E12820"/>
    <w:rsid w:val="00E245EE"/>
    <w:rsid w:val="00E30E92"/>
    <w:rsid w:val="00E35D00"/>
    <w:rsid w:val="00E4681F"/>
    <w:rsid w:val="00E4743C"/>
    <w:rsid w:val="00E5497C"/>
    <w:rsid w:val="00E62F91"/>
    <w:rsid w:val="00E70BEA"/>
    <w:rsid w:val="00E81F09"/>
    <w:rsid w:val="00E94480"/>
    <w:rsid w:val="00EC4654"/>
    <w:rsid w:val="00EC5F62"/>
    <w:rsid w:val="00ED56F6"/>
    <w:rsid w:val="00EE1796"/>
    <w:rsid w:val="00EE727F"/>
    <w:rsid w:val="00EF2987"/>
    <w:rsid w:val="00EF6DDD"/>
    <w:rsid w:val="00F03ACF"/>
    <w:rsid w:val="00F14251"/>
    <w:rsid w:val="00F21222"/>
    <w:rsid w:val="00F21D56"/>
    <w:rsid w:val="00F24494"/>
    <w:rsid w:val="00F30F33"/>
    <w:rsid w:val="00F36C6D"/>
    <w:rsid w:val="00F56319"/>
    <w:rsid w:val="00F56FD7"/>
    <w:rsid w:val="00F60A4F"/>
    <w:rsid w:val="00F63311"/>
    <w:rsid w:val="00F675F3"/>
    <w:rsid w:val="00F74785"/>
    <w:rsid w:val="00F850B3"/>
    <w:rsid w:val="00F9140C"/>
    <w:rsid w:val="00F93110"/>
    <w:rsid w:val="00F961ED"/>
    <w:rsid w:val="00FA348E"/>
    <w:rsid w:val="00FB29C2"/>
    <w:rsid w:val="00FB7A93"/>
    <w:rsid w:val="00FC4D89"/>
    <w:rsid w:val="00FD174C"/>
    <w:rsid w:val="00FD4039"/>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B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1025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E29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A871B2"/>
    <w:rPr>
      <w:sz w:val="18"/>
      <w:szCs w:val="18"/>
    </w:rPr>
  </w:style>
  <w:style w:type="character" w:customStyle="1" w:styleId="a5">
    <w:name w:val="批注框文本字符"/>
    <w:basedOn w:val="a0"/>
    <w:link w:val="a4"/>
    <w:uiPriority w:val="99"/>
    <w:semiHidden/>
    <w:rsid w:val="00A871B2"/>
    <w:rPr>
      <w:sz w:val="18"/>
      <w:szCs w:val="18"/>
    </w:rPr>
  </w:style>
  <w:style w:type="paragraph" w:styleId="a6">
    <w:name w:val="header"/>
    <w:basedOn w:val="a"/>
    <w:link w:val="a7"/>
    <w:uiPriority w:val="99"/>
    <w:semiHidden/>
    <w:unhideWhenUsed/>
    <w:rsid w:val="00A871B2"/>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semiHidden/>
    <w:rsid w:val="00A871B2"/>
    <w:rPr>
      <w:sz w:val="18"/>
      <w:szCs w:val="18"/>
    </w:rPr>
  </w:style>
  <w:style w:type="paragraph" w:styleId="a8">
    <w:name w:val="footer"/>
    <w:basedOn w:val="a"/>
    <w:link w:val="a9"/>
    <w:uiPriority w:val="99"/>
    <w:semiHidden/>
    <w:unhideWhenUsed/>
    <w:rsid w:val="00A871B2"/>
    <w:pPr>
      <w:tabs>
        <w:tab w:val="center" w:pos="4153"/>
        <w:tab w:val="right" w:pos="8306"/>
      </w:tabs>
      <w:snapToGrid w:val="0"/>
      <w:jc w:val="left"/>
    </w:pPr>
    <w:rPr>
      <w:sz w:val="18"/>
      <w:szCs w:val="18"/>
    </w:rPr>
  </w:style>
  <w:style w:type="character" w:customStyle="1" w:styleId="a9">
    <w:name w:val="页脚字符"/>
    <w:basedOn w:val="a0"/>
    <w:link w:val="a8"/>
    <w:uiPriority w:val="99"/>
    <w:semiHidden/>
    <w:rsid w:val="00A871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0320">
      <w:bodyDiv w:val="1"/>
      <w:marLeft w:val="0"/>
      <w:marRight w:val="0"/>
      <w:marTop w:val="0"/>
      <w:marBottom w:val="0"/>
      <w:divBdr>
        <w:top w:val="none" w:sz="0" w:space="0" w:color="auto"/>
        <w:left w:val="none" w:sz="0" w:space="0" w:color="auto"/>
        <w:bottom w:val="none" w:sz="0" w:space="0" w:color="auto"/>
        <w:right w:val="none" w:sz="0" w:space="0" w:color="auto"/>
      </w:divBdr>
    </w:div>
    <w:div w:id="21324297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Prince/Desktop/pe.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obernick\Desktop\&#8251;2017&#24180;&#24230;&#25253;&#21578;&#25968;&#25454;11.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v>PE_TTM</c:v>
          </c:tx>
          <c:spPr>
            <a:ln w="25400">
              <a:solidFill>
                <a:srgbClr val="4279B5"/>
              </a:solidFill>
              <a:prstDash val="solid"/>
            </a:ln>
          </c:spPr>
          <c:marker>
            <c:symbol val="none"/>
          </c:marker>
          <c:cat>
            <c:numRef>
              <c:f>'PE-Band(A股)'!$D$33:$D$103</c:f>
              <c:numCache>
                <c:formatCode>yyyy\-mm\-dd</c:formatCode>
                <c:ptCount val="71"/>
                <c:pt idx="0">
                  <c:v>41060.0</c:v>
                </c:pt>
                <c:pt idx="1">
                  <c:v>41089.0</c:v>
                </c:pt>
                <c:pt idx="2">
                  <c:v>41121.0</c:v>
                </c:pt>
                <c:pt idx="3">
                  <c:v>41152.0</c:v>
                </c:pt>
                <c:pt idx="4">
                  <c:v>41180.0</c:v>
                </c:pt>
                <c:pt idx="5">
                  <c:v>41213.0</c:v>
                </c:pt>
                <c:pt idx="6">
                  <c:v>41243.0</c:v>
                </c:pt>
                <c:pt idx="7">
                  <c:v>41274.0</c:v>
                </c:pt>
                <c:pt idx="8">
                  <c:v>41305.0</c:v>
                </c:pt>
                <c:pt idx="9">
                  <c:v>41333.0</c:v>
                </c:pt>
                <c:pt idx="10">
                  <c:v>41362.0</c:v>
                </c:pt>
                <c:pt idx="11">
                  <c:v>41390.0</c:v>
                </c:pt>
                <c:pt idx="12">
                  <c:v>41425.0</c:v>
                </c:pt>
                <c:pt idx="13">
                  <c:v>41453.0</c:v>
                </c:pt>
                <c:pt idx="14">
                  <c:v>41486.0</c:v>
                </c:pt>
                <c:pt idx="15">
                  <c:v>41516.0</c:v>
                </c:pt>
                <c:pt idx="16">
                  <c:v>41547.0</c:v>
                </c:pt>
                <c:pt idx="17">
                  <c:v>41578.0</c:v>
                </c:pt>
                <c:pt idx="18">
                  <c:v>41607.0</c:v>
                </c:pt>
                <c:pt idx="19">
                  <c:v>41639.0</c:v>
                </c:pt>
                <c:pt idx="20">
                  <c:v>41669.0</c:v>
                </c:pt>
                <c:pt idx="21">
                  <c:v>41698.0</c:v>
                </c:pt>
                <c:pt idx="22">
                  <c:v>41729.0</c:v>
                </c:pt>
                <c:pt idx="23">
                  <c:v>41759.0</c:v>
                </c:pt>
                <c:pt idx="24">
                  <c:v>41789.0</c:v>
                </c:pt>
                <c:pt idx="25">
                  <c:v>41820.0</c:v>
                </c:pt>
                <c:pt idx="26">
                  <c:v>41851.0</c:v>
                </c:pt>
                <c:pt idx="27">
                  <c:v>41880.0</c:v>
                </c:pt>
                <c:pt idx="28">
                  <c:v>41912.0</c:v>
                </c:pt>
                <c:pt idx="29">
                  <c:v>41943.0</c:v>
                </c:pt>
                <c:pt idx="30">
                  <c:v>41971.0</c:v>
                </c:pt>
                <c:pt idx="31">
                  <c:v>42004.0</c:v>
                </c:pt>
                <c:pt idx="32">
                  <c:v>42034.0</c:v>
                </c:pt>
                <c:pt idx="33">
                  <c:v>42062.0</c:v>
                </c:pt>
                <c:pt idx="34">
                  <c:v>42094.0</c:v>
                </c:pt>
                <c:pt idx="35">
                  <c:v>42124.0</c:v>
                </c:pt>
                <c:pt idx="36">
                  <c:v>42153.0</c:v>
                </c:pt>
                <c:pt idx="37">
                  <c:v>42185.0</c:v>
                </c:pt>
                <c:pt idx="38">
                  <c:v>42216.0</c:v>
                </c:pt>
                <c:pt idx="39">
                  <c:v>42247.0</c:v>
                </c:pt>
                <c:pt idx="40">
                  <c:v>42277.0</c:v>
                </c:pt>
                <c:pt idx="41">
                  <c:v>42307.0</c:v>
                </c:pt>
                <c:pt idx="42">
                  <c:v>42338.0</c:v>
                </c:pt>
                <c:pt idx="43">
                  <c:v>42369.0</c:v>
                </c:pt>
                <c:pt idx="44">
                  <c:v>42398.0</c:v>
                </c:pt>
                <c:pt idx="45">
                  <c:v>42429.0</c:v>
                </c:pt>
                <c:pt idx="46">
                  <c:v>42460.0</c:v>
                </c:pt>
                <c:pt idx="47">
                  <c:v>42489.0</c:v>
                </c:pt>
                <c:pt idx="48">
                  <c:v>42521.0</c:v>
                </c:pt>
                <c:pt idx="49">
                  <c:v>42551.0</c:v>
                </c:pt>
                <c:pt idx="50">
                  <c:v>42580.0</c:v>
                </c:pt>
                <c:pt idx="51">
                  <c:v>42613.0</c:v>
                </c:pt>
                <c:pt idx="52">
                  <c:v>42643.0</c:v>
                </c:pt>
                <c:pt idx="53">
                  <c:v>42674.0</c:v>
                </c:pt>
                <c:pt idx="54">
                  <c:v>42704.0</c:v>
                </c:pt>
                <c:pt idx="55">
                  <c:v>42734.0</c:v>
                </c:pt>
                <c:pt idx="56">
                  <c:v>42761.0</c:v>
                </c:pt>
                <c:pt idx="57">
                  <c:v>42794.0</c:v>
                </c:pt>
                <c:pt idx="58">
                  <c:v>42825.0</c:v>
                </c:pt>
                <c:pt idx="59">
                  <c:v>42853.0</c:v>
                </c:pt>
                <c:pt idx="60">
                  <c:v>42886.0</c:v>
                </c:pt>
                <c:pt idx="61">
                  <c:v>42916.0</c:v>
                </c:pt>
                <c:pt idx="62">
                  <c:v>42947.0</c:v>
                </c:pt>
                <c:pt idx="63">
                  <c:v>42978.0</c:v>
                </c:pt>
                <c:pt idx="64">
                  <c:v>43007.0</c:v>
                </c:pt>
                <c:pt idx="65">
                  <c:v>43039.0</c:v>
                </c:pt>
                <c:pt idx="66">
                  <c:v>43069.0</c:v>
                </c:pt>
                <c:pt idx="67">
                  <c:v>43098.0</c:v>
                </c:pt>
                <c:pt idx="68">
                  <c:v>43131.0</c:v>
                </c:pt>
                <c:pt idx="69">
                  <c:v>43159.0</c:v>
                </c:pt>
                <c:pt idx="70">
                  <c:v>43189.0</c:v>
                </c:pt>
              </c:numCache>
            </c:numRef>
          </c:cat>
          <c:val>
            <c:numRef>
              <c:f>'PE-Band(A股)'!$E$33:$E$103</c:f>
              <c:numCache>
                <c:formatCode>0.0000</c:formatCode>
                <c:ptCount val="71"/>
                <c:pt idx="0">
                  <c:v>0.0</c:v>
                </c:pt>
                <c:pt idx="1">
                  <c:v>57.37588500976559</c:v>
                </c:pt>
                <c:pt idx="2">
                  <c:v>52.01236724853515</c:v>
                </c:pt>
                <c:pt idx="3">
                  <c:v>65.19480133056634</c:v>
                </c:pt>
                <c:pt idx="4">
                  <c:v>62.0200538635254</c:v>
                </c:pt>
                <c:pt idx="5">
                  <c:v>56.32159805297852</c:v>
                </c:pt>
                <c:pt idx="6">
                  <c:v>54.17034530639648</c:v>
                </c:pt>
                <c:pt idx="7">
                  <c:v>52.31660842895508</c:v>
                </c:pt>
                <c:pt idx="8">
                  <c:v>52.31660842895508</c:v>
                </c:pt>
                <c:pt idx="9">
                  <c:v>69.91841125488281</c:v>
                </c:pt>
                <c:pt idx="10">
                  <c:v>72.8416213989258</c:v>
                </c:pt>
                <c:pt idx="11">
                  <c:v>102.134521484375</c:v>
                </c:pt>
                <c:pt idx="12">
                  <c:v>142.6511535644531</c:v>
                </c:pt>
                <c:pt idx="13">
                  <c:v>134.4181365966797</c:v>
                </c:pt>
                <c:pt idx="14">
                  <c:v>166.9426116943359</c:v>
                </c:pt>
                <c:pt idx="15">
                  <c:v>168.1868743896484</c:v>
                </c:pt>
                <c:pt idx="16">
                  <c:v>168.2197265625</c:v>
                </c:pt>
                <c:pt idx="17">
                  <c:v>185.2202911376953</c:v>
                </c:pt>
                <c:pt idx="18">
                  <c:v>215.6879425048828</c:v>
                </c:pt>
                <c:pt idx="19">
                  <c:v>164.8702087402344</c:v>
                </c:pt>
                <c:pt idx="20">
                  <c:v>238.2225036621094</c:v>
                </c:pt>
                <c:pt idx="21">
                  <c:v>149.5948486328125</c:v>
                </c:pt>
                <c:pt idx="22">
                  <c:v>147.44140625</c:v>
                </c:pt>
                <c:pt idx="23">
                  <c:v>113.7752532958984</c:v>
                </c:pt>
                <c:pt idx="24">
                  <c:v>120.3516159057617</c:v>
                </c:pt>
                <c:pt idx="25">
                  <c:v>129.0940856933593</c:v>
                </c:pt>
                <c:pt idx="26">
                  <c:v>114.4210205078125</c:v>
                </c:pt>
                <c:pt idx="27">
                  <c:v>93.7802734375</c:v>
                </c:pt>
                <c:pt idx="28">
                  <c:v>93.7802734375</c:v>
                </c:pt>
                <c:pt idx="29">
                  <c:v>77.41098022460937</c:v>
                </c:pt>
                <c:pt idx="30">
                  <c:v>77.41098022460937</c:v>
                </c:pt>
                <c:pt idx="31">
                  <c:v>77.41098022460937</c:v>
                </c:pt>
                <c:pt idx="32">
                  <c:v>77.41098022460937</c:v>
                </c:pt>
                <c:pt idx="33">
                  <c:v>124.6986770629883</c:v>
                </c:pt>
                <c:pt idx="34">
                  <c:v>110.6574935913086</c:v>
                </c:pt>
                <c:pt idx="35">
                  <c:v>113.8528594970703</c:v>
                </c:pt>
                <c:pt idx="36">
                  <c:v>131.4360504150391</c:v>
                </c:pt>
                <c:pt idx="37">
                  <c:v>91.36402893066405</c:v>
                </c:pt>
                <c:pt idx="38">
                  <c:v>106.7374649047852</c:v>
                </c:pt>
                <c:pt idx="39">
                  <c:v>71.23760986328124</c:v>
                </c:pt>
                <c:pt idx="40">
                  <c:v>69.71380615234375</c:v>
                </c:pt>
                <c:pt idx="41">
                  <c:v>85.10251617431641</c:v>
                </c:pt>
                <c:pt idx="42">
                  <c:v>83.92826080322265</c:v>
                </c:pt>
                <c:pt idx="43">
                  <c:v>93.21314239501953</c:v>
                </c:pt>
                <c:pt idx="44">
                  <c:v>77.74020385742185</c:v>
                </c:pt>
                <c:pt idx="45">
                  <c:v>56.06341934204101</c:v>
                </c:pt>
                <c:pt idx="46">
                  <c:v>70.02135467529296</c:v>
                </c:pt>
                <c:pt idx="47">
                  <c:v>50.9510612487793</c:v>
                </c:pt>
                <c:pt idx="48">
                  <c:v>48.2837028503418</c:v>
                </c:pt>
                <c:pt idx="49">
                  <c:v>47.42472457885739</c:v>
                </c:pt>
                <c:pt idx="50">
                  <c:v>46.79179000854492</c:v>
                </c:pt>
                <c:pt idx="51">
                  <c:v>39.2691764831543</c:v>
                </c:pt>
                <c:pt idx="52">
                  <c:v>36.23072052001953</c:v>
                </c:pt>
                <c:pt idx="53">
                  <c:v>34.7314567565918</c:v>
                </c:pt>
                <c:pt idx="54">
                  <c:v>40.4347267150879</c:v>
                </c:pt>
                <c:pt idx="55">
                  <c:v>33.78091049194335</c:v>
                </c:pt>
                <c:pt idx="56">
                  <c:v>32.31853485107422</c:v>
                </c:pt>
                <c:pt idx="57">
                  <c:v>47.16726684570312</c:v>
                </c:pt>
                <c:pt idx="58">
                  <c:v>47.16726684570312</c:v>
                </c:pt>
                <c:pt idx="59">
                  <c:v>54.54341506958008</c:v>
                </c:pt>
                <c:pt idx="60">
                  <c:v>54.54341506958008</c:v>
                </c:pt>
                <c:pt idx="61">
                  <c:v>50.3477668762207</c:v>
                </c:pt>
                <c:pt idx="62">
                  <c:v>46.46062469482422</c:v>
                </c:pt>
                <c:pt idx="63">
                  <c:v>60.76470947265624</c:v>
                </c:pt>
                <c:pt idx="64">
                  <c:v>57.67628479003906</c:v>
                </c:pt>
                <c:pt idx="65">
                  <c:v>54.96212768554687</c:v>
                </c:pt>
                <c:pt idx="66">
                  <c:v>48.2927474975586</c:v>
                </c:pt>
                <c:pt idx="67">
                  <c:v>44.67681884765625</c:v>
                </c:pt>
                <c:pt idx="68">
                  <c:v>48.69451904296877</c:v>
                </c:pt>
                <c:pt idx="69">
                  <c:v>66.248291015625</c:v>
                </c:pt>
                <c:pt idx="70">
                  <c:v>70.09170532226561</c:v>
                </c:pt>
              </c:numCache>
            </c:numRef>
          </c:val>
          <c:smooth val="0"/>
        </c:ser>
        <c:dLbls>
          <c:showLegendKey val="0"/>
          <c:showVal val="0"/>
          <c:showCatName val="0"/>
          <c:showSerName val="0"/>
          <c:showPercent val="0"/>
          <c:showBubbleSize val="0"/>
        </c:dLbls>
        <c:smooth val="0"/>
        <c:axId val="-135502672"/>
        <c:axId val="-136273440"/>
      </c:lineChart>
      <c:dateAx>
        <c:axId val="-135502672"/>
        <c:scaling>
          <c:orientation val="minMax"/>
        </c:scaling>
        <c:delete val="0"/>
        <c:axPos val="b"/>
        <c:numFmt formatCode="yyyy\-mm\-dd" sourceLinked="0"/>
        <c:majorTickMark val="out"/>
        <c:minorTickMark val="none"/>
        <c:tickLblPos val="nextTo"/>
        <c:spPr>
          <a:ln w="3175">
            <a:solidFill>
              <a:srgbClr val="808080"/>
            </a:solidFill>
            <a:prstDash val="solid"/>
          </a:ln>
        </c:spPr>
        <c:txPr>
          <a:bodyPr/>
          <a:lstStyle/>
          <a:p>
            <a:pPr>
              <a:defRPr sz="980" baseline="0"/>
            </a:pPr>
            <a:endParaRPr lang="zh-CN"/>
          </a:p>
        </c:txPr>
        <c:crossAx val="-136273440"/>
        <c:crosses val="autoZero"/>
        <c:auto val="1"/>
        <c:lblOffset val="100"/>
        <c:baseTimeUnit val="days"/>
      </c:dateAx>
      <c:valAx>
        <c:axId val="-136273440"/>
        <c:scaling>
          <c:orientation val="minMax"/>
        </c:scaling>
        <c:delete val="0"/>
        <c:axPos val="l"/>
        <c:majorGridlines>
          <c:spPr>
            <a:ln w="3175">
              <a:solidFill>
                <a:srgbClr val="808080"/>
              </a:solidFill>
              <a:prstDash val="solid"/>
            </a:ln>
          </c:spPr>
        </c:majorGridlines>
        <c:numFmt formatCode="General" sourceLinked="1"/>
        <c:majorTickMark val="out"/>
        <c:minorTickMark val="none"/>
        <c:tickLblPos val="nextTo"/>
        <c:spPr>
          <a:ln w="3175">
            <a:solidFill>
              <a:srgbClr val="808080"/>
            </a:solidFill>
            <a:prstDash val="solid"/>
          </a:ln>
        </c:spPr>
        <c:crossAx val="-135502672"/>
        <c:crosses val="autoZero"/>
        <c:crossBetween val="between"/>
      </c:valAx>
      <c:spPr>
        <a:solidFill>
          <a:srgbClr val="FFFFFF"/>
        </a:solidFill>
        <a:ln w="25400">
          <a:noFill/>
        </a:ln>
      </c:spPr>
    </c:plotArea>
    <c:legend>
      <c:legendPos val="r"/>
      <c:layout>
        <c:manualLayout>
          <c:xMode val="edge"/>
          <c:yMode val="edge"/>
          <c:x val="0.824006823395439"/>
          <c:y val="0.44861370870117"/>
          <c:w val="0.160719597132857"/>
          <c:h val="0.0841150703814694"/>
        </c:manualLayout>
      </c:layout>
      <c:overlay val="0"/>
      <c:spPr>
        <a:noFill/>
        <a:ln w="25400">
          <a:noFill/>
        </a:ln>
      </c:spPr>
    </c:legend>
    <c:plotVisOnly val="1"/>
    <c:dispBlanksAs val="zero"/>
    <c:showDLblsOverMax val="0"/>
  </c:chart>
  <c:spPr>
    <a:solidFill>
      <a:srgbClr val="FFFFFF"/>
    </a:solidFill>
    <a:ln w="3175">
      <a:solidFill>
        <a:srgbClr val="808080"/>
      </a:solidFill>
      <a:prstDash val="soli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[※2017年度报告数据11.17.xlsx]用户规模!$B$37</c:f>
              <c:strCache>
                <c:ptCount val="1"/>
                <c:pt idx="0">
                  <c:v>中国移动游戏用户规模(亿人)</c:v>
                </c:pt>
              </c:strCache>
            </c:strRef>
          </c:tx>
          <c:spPr>
            <a:solidFill>
              <a:srgbClr val="1BBC9B"/>
            </a:solidFill>
            <a:ln>
              <a:noFill/>
            </a:ln>
            <a:effectLst/>
          </c:spPr>
          <c:invertIfNegative val="0"/>
          <c:dLbls>
            <c:dLbl>
              <c:idx val="0"/>
              <c:layout>
                <c:manualLayout>
                  <c:x val="0.0"/>
                  <c:y val="0.030429988974641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00169324114575984"/>
                  <c:y val="0.0255788313120176"/>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00155213771694653"/>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0.00155213771694653"/>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0.0"/>
                  <c:y val="0.0277839029768469"/>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0.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7"/>
              <c:layout>
                <c:manualLayout>
                  <c:x val="0.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8"/>
              <c:layout>
                <c:manualLayout>
                  <c:x val="0.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9"/>
              <c:layout>
                <c:manualLayout>
                  <c:x val="0.0"/>
                  <c:y val="0.0280044101433297"/>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[※2017年度报告数据11.17.xlsx]用户规模!$A$38:$A$47</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[※2017年度报告数据11.17.xlsx]用户规模!$B$38:$B$47</c:f>
              <c:numCache>
                <c:formatCode>0.00_ </c:formatCode>
                <c:ptCount val="10"/>
                <c:pt idx="0">
                  <c:v>0.0976</c:v>
                </c:pt>
                <c:pt idx="1">
                  <c:v>0.21</c:v>
                </c:pt>
                <c:pt idx="2">
                  <c:v>0.3015</c:v>
                </c:pt>
                <c:pt idx="3">
                  <c:v>0.5131</c:v>
                </c:pt>
                <c:pt idx="4">
                  <c:v>0.8913</c:v>
                </c:pt>
                <c:pt idx="5">
                  <c:v>3.10496</c:v>
                </c:pt>
                <c:pt idx="6">
                  <c:v>3.575</c:v>
                </c:pt>
                <c:pt idx="7">
                  <c:v>4.55328888888889</c:v>
                </c:pt>
                <c:pt idx="8">
                  <c:v>5.278443700729992</c:v>
                </c:pt>
                <c:pt idx="9">
                  <c:v>5.539708333603212</c:v>
                </c:pt>
              </c:numCache>
            </c:numRef>
          </c:val>
        </c:ser>
        <c:dLbls>
          <c:showLegendKey val="0"/>
          <c:showVal val="1"/>
          <c:showCatName val="0"/>
          <c:showSerName val="0"/>
          <c:showPercent val="0"/>
          <c:showBubbleSize val="0"/>
        </c:dLbls>
        <c:gapWidth val="150"/>
        <c:axId val="-134339008"/>
        <c:axId val="-74336272"/>
      </c:barChart>
      <c:lineChart>
        <c:grouping val="standard"/>
        <c:varyColors val="0"/>
        <c:ser>
          <c:idx val="1"/>
          <c:order val="1"/>
          <c:tx>
            <c:strRef>
              <c:f>[※2017年度报告数据11.17.xlsx]用户规模!$C$37</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100888951601524"/>
                  <c:y val="-0.020066152149944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709247565965852"/>
                  <c:y val="-0.0342222528482183"/>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18950190489629"/>
                  <c:y val="-0.00529217199558989"/>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619444052490476"/>
                  <c:y val="-0.0511576626240353"/>
                </c:manualLayout>
              </c:layout>
              <c:dLblPos val="r"/>
              <c:showLegendKey val="0"/>
              <c:showVal val="1"/>
              <c:showCatName val="0"/>
              <c:showSerName val="0"/>
              <c:showPercent val="0"/>
              <c:showBubbleSize val="0"/>
              <c:extLst>
                <c:ext xmlns:c15="http://schemas.microsoft.com/office/drawing/2012/chart" uri="{CE6537A1-D6FC-4f65-9D91-7224C49458BB}">
                  <c15:layout>
                    <c:manualLayout>
                      <c:w val="0.0904472978693382"/>
                      <c:h val="0.0330760749724366"/>
                    </c:manualLayout>
                  </c15:layout>
                </c:ext>
              </c:extLst>
            </c:dLbl>
            <c:dLbl>
              <c:idx val="4"/>
              <c:layout>
                <c:manualLayout>
                  <c:x val="-0.0163679977423451"/>
                  <c:y val="-0.00749724366041899"/>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0710244108931847"/>
                  <c:y val="-0.0392410878353548"/>
                </c:manualLayout>
              </c:layout>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0.0114293777338789"/>
                  <c:y val="0.0202866593164278"/>
                </c:manualLayout>
              </c:layout>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0.00973613658811912"/>
                  <c:y val="-0.0178610804851159"/>
                </c:manualLayout>
              </c:layout>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0.00987724001693244"/>
                  <c:y val="-0.0152149944873208"/>
                </c:manualLayout>
              </c:layout>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0.00324537886270638"/>
                  <c:y val="-0.0280044101433297"/>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[※2017年度报告数据11.17.xlsx]用户规模!$A$38:$A$47</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[※2017年度报告数据11.17.xlsx]用户规模!$C$38:$C$47</c:f>
              <c:numCache>
                <c:formatCode>0.0%</c:formatCode>
                <c:ptCount val="10"/>
                <c:pt idx="0">
                  <c:v>0.25</c:v>
                </c:pt>
                <c:pt idx="1">
                  <c:v>1.151999999999979</c:v>
                </c:pt>
                <c:pt idx="2">
                  <c:v>0.436000000000003</c:v>
                </c:pt>
                <c:pt idx="3">
                  <c:v>0.702000000000003</c:v>
                </c:pt>
                <c:pt idx="4">
                  <c:v>0.737000000000004</c:v>
                </c:pt>
                <c:pt idx="5">
                  <c:v>2.483630651856841</c:v>
                </c:pt>
                <c:pt idx="6">
                  <c:v>0.151383592703288</c:v>
                </c:pt>
                <c:pt idx="7">
                  <c:v>0.273647241647242</c:v>
                </c:pt>
                <c:pt idx="8">
                  <c:v>0.159259565895463</c:v>
                </c:pt>
                <c:pt idx="9">
                  <c:v>0.0494965273262324</c:v>
                </c:pt>
              </c:numCache>
            </c:numRef>
          </c:val>
          <c:smooth val="0"/>
        </c:ser>
        <c:dLbls>
          <c:showLegendKey val="0"/>
          <c:showVal val="1"/>
          <c:showCatName val="0"/>
          <c:showSerName val="0"/>
          <c:showPercent val="0"/>
          <c:showBubbleSize val="0"/>
        </c:dLbls>
        <c:marker val="1"/>
        <c:smooth val="0"/>
        <c:axId val="-95625968"/>
        <c:axId val="-67999904"/>
      </c:lineChart>
      <c:catAx>
        <c:axId val="-1343390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crossAx val="-74336272"/>
        <c:crosses val="autoZero"/>
        <c:auto val="1"/>
        <c:lblAlgn val="ctr"/>
        <c:lblOffset val="100"/>
        <c:noMultiLvlLbl val="0"/>
      </c:catAx>
      <c:valAx>
        <c:axId val="-74336272"/>
        <c:scaling>
          <c:orientation val="minMax"/>
        </c:scaling>
        <c:delete val="0"/>
        <c:axPos val="l"/>
        <c:numFmt formatCode="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crossAx val="-134339008"/>
        <c:crosses val="autoZero"/>
        <c:crossBetween val="between"/>
      </c:valAx>
      <c:catAx>
        <c:axId val="-95625968"/>
        <c:scaling>
          <c:orientation val="minMax"/>
        </c:scaling>
        <c:delete val="1"/>
        <c:axPos val="b"/>
        <c:numFmt formatCode="General" sourceLinked="0"/>
        <c:majorTickMark val="none"/>
        <c:minorTickMark val="none"/>
        <c:tickLblPos val="none"/>
        <c:crossAx val="-67999904"/>
        <c:crosses val="autoZero"/>
        <c:auto val="1"/>
        <c:lblAlgn val="ctr"/>
        <c:lblOffset val="100"/>
        <c:noMultiLvlLbl val="0"/>
      </c:catAx>
      <c:valAx>
        <c:axId val="-67999904"/>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crossAx val="-95625968"/>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[※2017年度报告数据11.17.xlsx]市场规模!$B$73</c:f>
              <c:strCache>
                <c:ptCount val="1"/>
                <c:pt idx="0">
                  <c:v>自主研发网络游戏海外市场实际销售收入(亿美元)</c:v>
                </c:pt>
              </c:strCache>
            </c:strRef>
          </c:tx>
          <c:spPr>
            <a:solidFill>
              <a:srgbClr val="1BBC9B"/>
            </a:solidFill>
            <a:ln>
              <a:noFill/>
            </a:ln>
            <a:effectLst/>
          </c:spPr>
          <c:invertIfNegative val="0"/>
          <c:dLbls>
            <c:dLbl>
              <c:idx val="0"/>
              <c:layout>
                <c:manualLayout>
                  <c:x val="0.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0"/>
                  <c:y val="0.024255788313120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0"/>
                  <c:y val="0.026460859977949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4"/>
              <c:layout>
                <c:manualLayout>
                  <c:x val="-0.0014110342881332"/>
                  <c:y val="0.0308710033076076"/>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5"/>
              <c:layout>
                <c:manualLayout>
                  <c:x val="0.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6"/>
              <c:layout>
                <c:manualLayout>
                  <c:x val="0.0014110342881332"/>
                  <c:y val="0.0264608599779493"/>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7"/>
              <c:layout>
                <c:manualLayout>
                  <c:x val="0.0"/>
                  <c:y val="0.0286659316427784"/>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8"/>
              <c:layout>
                <c:manualLayout>
                  <c:x val="-0.0014110342881332"/>
                  <c:y val="0.024255788313120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9"/>
              <c:layout>
                <c:manualLayout>
                  <c:x val="0.0"/>
                  <c:y val="0.0264608599779493"/>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hr-HR" altLang="zh-CN"/>
                      <a:t>82.8</a:t>
                    </a:r>
                  </a:p>
                </c:rich>
              </c:tx>
              <c:spPr>
                <a:noFill/>
                <a:ln>
                  <a:noFill/>
                </a:ln>
                <a:effectLst/>
              </c:spPr>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prstDash val="solid"/>
                      <a:round/>
                    </a:ln>
                    <a:effectLst/>
                  </c:spPr>
                </c15:leaderLines>
              </c:ext>
            </c:extLst>
          </c:dLbls>
          <c:cat>
            <c:strRef>
              <c:f>[※2017年度报告数据11.17.xlsx]市场规模!$A$74:$A$83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[※2017年度报告数据11.17.xlsx]市场规模!$B$74:$B$83</c:f>
              <c:numCache>
                <c:formatCode>0.0_ </c:formatCode>
                <c:ptCount val="10"/>
                <c:pt idx="0">
                  <c:v>0.700000000000003</c:v>
                </c:pt>
                <c:pt idx="1">
                  <c:v>1.1</c:v>
                </c:pt>
                <c:pt idx="2">
                  <c:v>2.3</c:v>
                </c:pt>
                <c:pt idx="3">
                  <c:v>3.6</c:v>
                </c:pt>
                <c:pt idx="4">
                  <c:v>5.7</c:v>
                </c:pt>
                <c:pt idx="5">
                  <c:v>18.2</c:v>
                </c:pt>
                <c:pt idx="6">
                  <c:v>30.76239999999958</c:v>
                </c:pt>
                <c:pt idx="7">
                  <c:v>53.08158766915643</c:v>
                </c:pt>
                <c:pt idx="8">
                  <c:v>72.292094034803</c:v>
                </c:pt>
                <c:pt idx="9">
                  <c:v>81.59897767230888</c:v>
                </c:pt>
              </c:numCache>
            </c:numRef>
          </c:val>
        </c:ser>
        <c:dLbls>
          <c:showLegendKey val="0"/>
          <c:showVal val="1"/>
          <c:showCatName val="0"/>
          <c:showSerName val="0"/>
          <c:showPercent val="0"/>
          <c:showBubbleSize val="0"/>
        </c:dLbls>
        <c:gapWidth val="150"/>
        <c:axId val="-94569408"/>
        <c:axId val="-94567120"/>
      </c:barChart>
      <c:lineChart>
        <c:grouping val="standard"/>
        <c:varyColors val="0"/>
        <c:ser>
          <c:idx val="1"/>
          <c:order val="1"/>
          <c:tx>
            <c:strRef>
              <c:f>[※2017年度报告数据11.17.xlsx]市场规模!$C$73</c:f>
              <c:strCache>
                <c:ptCount val="1"/>
                <c:pt idx="0">
                  <c:v>增长率</c:v>
                </c:pt>
              </c:strCache>
            </c:strRef>
          </c:tx>
          <c:spPr>
            <a:ln w="12700" cap="rnd" cmpd="sng" algn="ctr">
              <a:solidFill>
                <a:srgbClr val="F1C40F"/>
              </a:solidFill>
              <a:prstDash val="solid"/>
              <a:round/>
            </a:ln>
            <a:effectLst/>
          </c:spPr>
          <c:marker>
            <c:symbol val="circle"/>
            <c:size val="5"/>
            <c:spPr>
              <a:solidFill>
                <a:srgbClr val="F1C40F"/>
              </a:solidFill>
              <a:ln w="12700" cap="flat" cmpd="sng" algn="ctr">
                <a:solidFill>
                  <a:srgbClr val="F1C40F"/>
                </a:solidFill>
                <a:prstDash val="solid"/>
                <a:round/>
              </a:ln>
              <a:effectLst/>
            </c:spPr>
          </c:marker>
          <c:dLbls>
            <c:dLbl>
              <c:idx val="0"/>
              <c:layout>
                <c:manualLayout>
                  <c:x val="-0.0691486171863977"/>
                  <c:y val="-0.04359227612397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0877657447909325"/>
                  <c:y val="-0.0420456633590593"/>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0696880438361321"/>
                  <c:y val="-0.03824421168688"/>
                </c:manualLayout>
              </c:layout>
              <c:dLblPos val="r"/>
              <c:showLegendKey val="0"/>
              <c:showVal val="1"/>
              <c:showCatName val="0"/>
              <c:showSerName val="0"/>
              <c:showPercent val="0"/>
              <c:showBubbleSize val="0"/>
              <c:extLst>
                <c:ext xmlns:c15="http://schemas.microsoft.com/office/drawing/2012/chart" uri="{CE6537A1-D6FC-4f65-9D91-7224C49458BB}"/>
              </c:extLst>
            </c:dLbl>
            <c:dLbl>
              <c:idx val="3"/>
              <c:layout>
                <c:manualLayout>
                  <c:x val="-0.0796317200507975"/>
                  <c:y val="0.0310509310302586"/>
                </c:manualLayout>
              </c:layout>
              <c:dLblPos val="r"/>
              <c:showLegendKey val="0"/>
              <c:showVal val="1"/>
              <c:showCatName val="0"/>
              <c:showSerName val="0"/>
              <c:showPercent val="0"/>
              <c:showBubbleSize val="0"/>
              <c:extLst>
                <c:ext xmlns:c15="http://schemas.microsoft.com/office/drawing/2012/chart" uri="{CE6537A1-D6FC-4f65-9D91-7224C49458BB}"/>
              </c:extLst>
            </c:dLbl>
            <c:dLbl>
              <c:idx val="4"/>
              <c:layout>
                <c:manualLayout>
                  <c:x val="-0.0625664361977341"/>
                  <c:y val="0.0316098554453024"/>
                </c:manualLayout>
              </c:layout>
              <c:dLblPos val="r"/>
              <c:showLegendKey val="0"/>
              <c:showVal val="1"/>
              <c:showCatName val="0"/>
              <c:showSerName val="0"/>
              <c:showPercent val="0"/>
              <c:showBubbleSize val="0"/>
              <c:extLst>
                <c:ext xmlns:c15="http://schemas.microsoft.com/office/drawing/2012/chart" uri="{CE6537A1-D6FC-4f65-9D91-7224C49458BB}"/>
              </c:extLst>
            </c:dLbl>
            <c:dLbl>
              <c:idx val="5"/>
              <c:layout>
                <c:manualLayout>
                  <c:x val="-0.0690157447909325"/>
                  <c:y val="-0.0321879211074366"/>
                </c:manualLayout>
              </c:layout>
              <c:dLblPos val="r"/>
              <c:showLegendKey val="0"/>
              <c:showVal val="1"/>
              <c:showCatName val="0"/>
              <c:showSerName val="0"/>
              <c:showPercent val="0"/>
              <c:showBubbleSize val="0"/>
              <c:extLst>
                <c:ext xmlns:c15="http://schemas.microsoft.com/office/drawing/2012/chart" uri="{CE6537A1-D6FC-4f65-9D91-7224C49458BB}"/>
              </c:extLst>
            </c:dLbl>
            <c:dLbl>
              <c:idx val="6"/>
              <c:layout>
                <c:manualLayout>
                  <c:x val="-0.0112882743050657"/>
                  <c:y val="0.0264608599779493"/>
                </c:manualLayout>
              </c:layout>
              <c:dLblPos val="r"/>
              <c:showLegendKey val="0"/>
              <c:showVal val="1"/>
              <c:showCatName val="0"/>
              <c:showSerName val="0"/>
              <c:showPercent val="0"/>
              <c:showBubbleSize val="0"/>
              <c:extLst>
                <c:ext xmlns:c15="http://schemas.microsoft.com/office/drawing/2012/chart" uri="{CE6537A1-D6FC-4f65-9D91-7224C49458BB}"/>
              </c:extLst>
            </c:dLbl>
            <c:dLbl>
              <c:idx val="7"/>
              <c:layout>
                <c:manualLayout>
                  <c:x val="-0.0014110342881332"/>
                  <c:y val="-0.0110253583241455"/>
                </c:manualLayout>
              </c:layout>
              <c:dLblPos val="r"/>
              <c:showLegendKey val="0"/>
              <c:showVal val="1"/>
              <c:showCatName val="0"/>
              <c:showSerName val="0"/>
              <c:showPercent val="0"/>
              <c:showBubbleSize val="0"/>
              <c:extLst>
                <c:ext xmlns:c15="http://schemas.microsoft.com/office/drawing/2012/chart" uri="{CE6537A1-D6FC-4f65-9D91-7224C49458BB}"/>
              </c:extLst>
            </c:dLbl>
            <c:dLbl>
              <c:idx val="8"/>
              <c:layout>
                <c:manualLayout>
                  <c:x val="-0.00987724001693243"/>
                  <c:y val="-0.017640573318633"/>
                </c:manualLayout>
              </c:layout>
              <c:dLblPos val="r"/>
              <c:showLegendKey val="0"/>
              <c:showVal val="1"/>
              <c:showCatName val="0"/>
              <c:showSerName val="0"/>
              <c:showPercent val="0"/>
              <c:showBubbleSize val="0"/>
              <c:extLst>
                <c:ext xmlns:c15="http://schemas.microsoft.com/office/drawing/2012/chart" uri="{CE6537A1-D6FC-4f65-9D91-7224C49458BB}"/>
              </c:extLst>
            </c:dLbl>
            <c:dLbl>
              <c:idx val="9"/>
              <c:layout>
                <c:manualLayout>
                  <c:x val="-0.00987724001693243"/>
                  <c:y val="-0.013230429988974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r>
                      <a:rPr lang="mr-IN" altLang="zh-CN"/>
                      <a:t>14.5%</a:t>
                    </a:r>
                  </a:p>
                </c:rich>
              </c:tx>
              <c:spPr>
                <a:noFill/>
                <a:ln>
                  <a:noFill/>
                </a:ln>
                <a:effectLst/>
              </c:spPr>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[※2017年度报告数据11.17.xlsx]市场规模!$A$74:$A$83</c:f>
              <c:strCache>
                <c:ptCount val="10"/>
                <c:pt idx="0">
                  <c:v>2008年</c:v>
                </c:pt>
                <c:pt idx="1">
                  <c:v>2009年</c:v>
                </c:pt>
                <c:pt idx="2">
                  <c:v>2010年</c:v>
                </c:pt>
                <c:pt idx="3">
                  <c:v>2011年</c:v>
                </c:pt>
                <c:pt idx="4">
                  <c:v>2012年</c:v>
                </c:pt>
                <c:pt idx="5">
                  <c:v>2013年</c:v>
                </c:pt>
                <c:pt idx="6">
                  <c:v>2014年</c:v>
                </c:pt>
                <c:pt idx="7">
                  <c:v>2015年</c:v>
                </c:pt>
                <c:pt idx="8">
                  <c:v>2016年</c:v>
                </c:pt>
                <c:pt idx="9">
                  <c:v>2017年</c:v>
                </c:pt>
              </c:strCache>
            </c:strRef>
          </c:cat>
          <c:val>
            <c:numRef>
              <c:f>[※2017年度报告数据11.17.xlsx]市场规模!$C$74:$C$83</c:f>
              <c:numCache>
                <c:formatCode>0.0%</c:formatCode>
                <c:ptCount val="10"/>
                <c:pt idx="0">
                  <c:v>0.286</c:v>
                </c:pt>
                <c:pt idx="1">
                  <c:v>0.557</c:v>
                </c:pt>
                <c:pt idx="2">
                  <c:v>1.11</c:v>
                </c:pt>
                <c:pt idx="3">
                  <c:v>0.565000000000002</c:v>
                </c:pt>
                <c:pt idx="4">
                  <c:v>0.575000000000003</c:v>
                </c:pt>
                <c:pt idx="5">
                  <c:v>2.19298245614035</c:v>
                </c:pt>
                <c:pt idx="6">
                  <c:v>0.690241758241758</c:v>
                </c:pt>
                <c:pt idx="7">
                  <c:v>0.724000000000004</c:v>
                </c:pt>
                <c:pt idx="8">
                  <c:v>0.361905270908232</c:v>
                </c:pt>
                <c:pt idx="9">
                  <c:v>0.128739992412253</c:v>
                </c:pt>
              </c:numCache>
            </c:numRef>
          </c:val>
          <c:smooth val="0"/>
        </c:ser>
        <c:dLbls>
          <c:showLegendKey val="0"/>
          <c:showVal val="1"/>
          <c:showCatName val="0"/>
          <c:showSerName val="0"/>
          <c:showPercent val="0"/>
          <c:showBubbleSize val="0"/>
        </c:dLbls>
        <c:marker val="1"/>
        <c:smooth val="0"/>
        <c:axId val="-95157088"/>
        <c:axId val="-95155312"/>
      </c:lineChart>
      <c:catAx>
        <c:axId val="-945694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crossAx val="-94567120"/>
        <c:crosses val="autoZero"/>
        <c:auto val="1"/>
        <c:lblAlgn val="ctr"/>
        <c:lblOffset val="100"/>
        <c:noMultiLvlLbl val="0"/>
      </c:catAx>
      <c:valAx>
        <c:axId val="-94567120"/>
        <c:scaling>
          <c:orientation val="minMax"/>
        </c:scaling>
        <c:delete val="0"/>
        <c:axPos val="l"/>
        <c:numFmt formatCode="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crossAx val="-94569408"/>
        <c:crosses val="autoZero"/>
        <c:crossBetween val="between"/>
      </c:valAx>
      <c:catAx>
        <c:axId val="-95157088"/>
        <c:scaling>
          <c:orientation val="minMax"/>
        </c:scaling>
        <c:delete val="1"/>
        <c:axPos val="b"/>
        <c:numFmt formatCode="General" sourceLinked="0"/>
        <c:majorTickMark val="none"/>
        <c:minorTickMark val="none"/>
        <c:tickLblPos val="none"/>
        <c:crossAx val="-95155312"/>
        <c:crosses val="autoZero"/>
        <c:auto val="1"/>
        <c:lblAlgn val="ctr"/>
        <c:lblOffset val="100"/>
        <c:noMultiLvlLbl val="0"/>
      </c:catAx>
      <c:valAx>
        <c:axId val="-95155312"/>
        <c:scaling>
          <c:orientation val="minMax"/>
        </c:scaling>
        <c:delete val="0"/>
        <c:axPos val="r"/>
        <c:numFmt formatCode="0.0%"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8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crossAx val="-95157088"/>
        <c:crosses val="max"/>
        <c:crossBetween val="between"/>
      </c:valAx>
      <c:spPr>
        <a:noFill/>
        <a:ln>
          <a:noFill/>
        </a:ln>
        <a:effectLst/>
      </c:spPr>
    </c:plotArea>
    <c:legend>
      <c:legendPos val="b"/>
      <c:legendEntry>
        <c:idx val="0"/>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legendEntry>
      <c:overlay val="0"/>
      <c:spPr>
        <a:noFill/>
        <a:ln>
          <a:noFill/>
        </a:ln>
        <a:effectLst/>
      </c:spPr>
      <c:txPr>
        <a:bodyPr rot="0" spcFirstLastPara="0" vertOverflow="ellipsis" vert="horz" wrap="square" anchor="ctr" anchorCtr="1"/>
        <a:lstStyle/>
        <a:p>
          <a:pPr>
            <a:defRPr lang="zh-CN" sz="900" b="0" i="0" u="none" strike="noStrike" kern="1200" baseline="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legend>
    <c:plotVisOnly val="1"/>
    <c:dispBlanksAs val="gap"/>
    <c:showDLblsOverMax val="0"/>
  </c:chart>
  <c:spPr>
    <a:solidFill>
      <a:schemeClr val="bg1"/>
    </a:solidFill>
    <a:ln w="9525" cap="flat" cmpd="sng" algn="ctr">
      <a:solidFill>
        <a:srgbClr val="1BBC9B"/>
      </a:solidFill>
      <a:prstDash val="solid"/>
      <a:round/>
    </a:ln>
    <a:effectLst/>
  </c:spPr>
  <c:txPr>
    <a:bodyPr/>
    <a:lstStyle/>
    <a:p>
      <a:pPr>
        <a:defRPr lang="zh-CN" sz="900">
          <a:solidFill>
            <a:schemeClr val="tx1"/>
          </a:solidFill>
          <a:latin typeface="微软雅黑" panose="020B0503020204020204" pitchFamily="2" charset="-122"/>
          <a:ea typeface="微软雅黑" panose="020B0503020204020204" pitchFamily="2" charset="-122"/>
          <a:cs typeface="微软雅黑" panose="020B0503020204020204" pitchFamily="2" charset="-122"/>
          <a:sym typeface="微软雅黑" panose="020B0503020204020204" pitchFamily="2" charset="-122"/>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986</TotalTime>
  <Pages>11</Pages>
  <Words>1250</Words>
  <Characters>7129</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富建市</dc:creator>
  <cp:keywords/>
  <dc:description/>
  <cp:lastModifiedBy>富 建市</cp:lastModifiedBy>
  <cp:revision>141</cp:revision>
  <dcterms:created xsi:type="dcterms:W3CDTF">2018-04-22T08:16:00Z</dcterms:created>
  <dcterms:modified xsi:type="dcterms:W3CDTF">2018-04-24T08:04:00Z</dcterms:modified>
</cp:coreProperties>
</file>