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4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3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东方财富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清仓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07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0.90</w:t>
            </w:r>
            <w:r>
              <w:rPr>
                <w:rFonts w:hint="default" w:ascii="Arial" w:hAnsi="Arial" w:cs="Arial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→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融资融券余额下降，不看好后市，等待融资融券余额到了10000亿左右再考虑购买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泰禾集团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清仓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/>
              </w:rPr>
              <w:t>15.61</w:t>
            </w: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→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妖股复活不完美，没有涨停第二天回调，微微盈利卖出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盐湖钾肥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9.13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9.59</w:t>
            </w:r>
            <w:r>
              <w:rPr>
                <w:rFonts w:hint="default" w:ascii="Arial" w:hAnsi="Arial" w:cs="Arial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→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相对昨天平稳站上一个台阶，干掉前期7月19日跌停阴线又进了一步。MACD红柱走平，KD过78，CCI上130.8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目前只有亏损的妖股，青海、西藏等扶贫地区的股票可以操作，做短线抢反弹。白马股反弹预判难以持续，继续做妖股。</w:t>
            </w: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4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0/0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0/0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1/2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6" w:name="8416-1536542303643"/>
      <w:bookmarkEnd w:id="6"/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成交量创新低1049亿，昨日融资融券余额继续下降19亿，GC001上涨-16.37%。反弹已经结束，主力资金出货做T在昨天下午就开始，今天完成。</w:t>
      </w:r>
      <w:bookmarkStart w:id="14" w:name="_GoBack"/>
      <w:bookmarkEnd w:id="14"/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9" w:name="8598-1536542303673"/>
      <w:bookmarkEnd w:id="9"/>
      <w:bookmarkStart w:id="10" w:name="8130-1536542303665"/>
      <w:bookmarkEnd w:id="10"/>
      <w:r>
        <w:rPr>
          <w:rFonts w:hint="eastAsia"/>
          <w:lang w:val="en-US" w:eastAsia="zh-CN"/>
        </w:rPr>
        <w:t>观望持仓表现，不再加仓。等待反弹时机出货。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9-17日关注股票：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岳阳兴长（-</w:t>
      </w:r>
      <w:r>
        <w:rPr>
          <w:rFonts w:hint="default"/>
          <w:lang w:val="en-US" w:eastAsia="zh-CN"/>
        </w:rPr>
        <w:t>1.07</w:t>
      </w:r>
      <w:r>
        <w:rPr>
          <w:rFonts w:hint="eastAsia"/>
          <w:lang w:val="en-US" w:eastAsia="zh-CN"/>
        </w:rPr>
        <w:t>%），中国应急（</w:t>
      </w:r>
      <w:r>
        <w:rPr>
          <w:rFonts w:hint="default"/>
          <w:lang w:val="en-US" w:eastAsia="zh-CN"/>
        </w:rPr>
        <w:t>-3.19</w:t>
      </w:r>
      <w:r>
        <w:rPr>
          <w:rFonts w:hint="eastAsia"/>
          <w:lang w:val="en-US" w:eastAsia="zh-CN"/>
        </w:rPr>
        <w:t>%）、盐湖股份（-0.</w:t>
      </w:r>
      <w:r>
        <w:rPr>
          <w:rFonts w:hint="default"/>
          <w:lang w:val="en-US" w:eastAsia="zh-CN"/>
        </w:rPr>
        <w:t>43</w:t>
      </w:r>
      <w:r>
        <w:rPr>
          <w:rFonts w:hint="eastAsia"/>
          <w:lang w:val="en-US" w:eastAsia="zh-CN"/>
        </w:rPr>
        <w:t>%）、佛燃股份（</w:t>
      </w:r>
      <w:r>
        <w:rPr>
          <w:rFonts w:hint="default"/>
          <w:lang w:val="en-US" w:eastAsia="zh-CN"/>
        </w:rPr>
        <w:t>-2.07</w:t>
      </w:r>
      <w:r>
        <w:rPr>
          <w:rFonts w:hint="eastAsia"/>
          <w:lang w:val="en-US" w:eastAsia="zh-CN"/>
        </w:rPr>
        <w:t>%）、广誉远（</w:t>
      </w:r>
      <w:r>
        <w:rPr>
          <w:rFonts w:hint="default"/>
          <w:lang w:val="en-US" w:eastAsia="zh-CN"/>
        </w:rPr>
        <w:t>-1.55</w:t>
      </w:r>
      <w:r>
        <w:rPr>
          <w:rFonts w:hint="eastAsia"/>
          <w:lang w:val="en-US" w:eastAsia="zh-CN"/>
        </w:rPr>
        <w:t>%）、凯撒旅游（</w:t>
      </w:r>
      <w:r>
        <w:rPr>
          <w:rFonts w:hint="default"/>
          <w:lang w:val="en-US" w:eastAsia="zh-CN"/>
        </w:rPr>
        <w:t>-1.20</w:t>
      </w:r>
      <w:r>
        <w:rPr>
          <w:rFonts w:hint="eastAsia"/>
          <w:lang w:val="en-US" w:eastAsia="zh-CN"/>
        </w:rPr>
        <w:t>%）、纳川股份(</w:t>
      </w:r>
      <w:r>
        <w:rPr>
          <w:rFonts w:hint="default"/>
          <w:lang w:val="en-US" w:eastAsia="zh-CN"/>
        </w:rPr>
        <w:t>-1.03</w:t>
      </w:r>
      <w:r>
        <w:rPr>
          <w:rFonts w:hint="eastAsia"/>
          <w:lang w:val="en-US" w:eastAsia="zh-CN"/>
        </w:rPr>
        <w:t>%)、置信电气(-1.</w:t>
      </w:r>
      <w:r>
        <w:rPr>
          <w:rFonts w:hint="default"/>
          <w:lang w:val="en-US" w:eastAsia="zh-CN"/>
        </w:rPr>
        <w:t>04</w:t>
      </w:r>
      <w:r>
        <w:rPr>
          <w:rFonts w:hint="eastAsia"/>
          <w:lang w:val="en-US" w:eastAsia="zh-CN"/>
        </w:rPr>
        <w:t>%)、宁波热电(</w:t>
      </w:r>
      <w:r>
        <w:rPr>
          <w:rFonts w:hint="default"/>
          <w:lang w:val="en-US" w:eastAsia="zh-CN"/>
        </w:rPr>
        <w:t>-0.58</w:t>
      </w:r>
      <w:r>
        <w:rPr>
          <w:rFonts w:hint="eastAsia"/>
          <w:lang w:val="en-US" w:eastAsia="zh-CN"/>
        </w:rPr>
        <w:t>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09-18日关注股票：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长航凤凰（</w:t>
      </w:r>
      <w:r>
        <w:rPr>
          <w:rFonts w:hint="default"/>
          <w:lang w:val="en-US" w:eastAsia="zh-CN"/>
        </w:rPr>
        <w:t>-1.47</w:t>
      </w:r>
      <w:r>
        <w:rPr>
          <w:rFonts w:hint="eastAsia"/>
          <w:lang w:val="en-US" w:eastAsia="zh-CN"/>
        </w:rPr>
        <w:t>%）、高德红外(+0.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>%)、特变电工（-0.</w:t>
      </w:r>
      <w:r>
        <w:rPr>
          <w:rFonts w:hint="default"/>
          <w:lang w:val="en-US" w:eastAsia="zh-CN"/>
        </w:rPr>
        <w:t>86</w:t>
      </w:r>
      <w:r>
        <w:rPr>
          <w:rFonts w:hint="eastAsia"/>
          <w:lang w:val="en-US" w:eastAsia="zh-CN"/>
        </w:rPr>
        <w:t>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09-19日关注股票：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安井食品（-1.04%）（海底捞概念）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09-20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5"/>
          <w:szCs w:val="25"/>
          <w:shd w:val="clear" w:fill="FFFFFF"/>
          <w:lang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E3E3E"/>
          <w:spacing w:val="8"/>
          <w:sz w:val="25"/>
          <w:szCs w:val="25"/>
          <w:shd w:val="clear" w:fill="FFFFFF"/>
        </w:rPr>
        <w:t>科恒股份、宁波韵升、银河磁体、中钢天源、鸿达兴业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5"/>
          <w:szCs w:val="25"/>
          <w:shd w:val="clear" w:fill="FFFFFF"/>
          <w:lang w:eastAsia="zh-CN"/>
        </w:rPr>
        <w:t>、</w:t>
      </w:r>
    </w:p>
    <w:p>
      <w:pPr>
        <w:spacing w:line="240" w:lineRule="auto"/>
        <w:rPr>
          <w:rFonts w:ascii="Microsoft YaHei UI" w:hAnsi="Microsoft YaHei UI" w:eastAsia="Microsoft YaHei UI" w:cs="Microsoft YaHei UI"/>
          <w:i w:val="0"/>
          <w:caps w:val="0"/>
          <w:color w:val="3E3E3E"/>
          <w:spacing w:val="8"/>
          <w:sz w:val="25"/>
          <w:szCs w:val="25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E3E3E"/>
          <w:spacing w:val="8"/>
          <w:sz w:val="25"/>
          <w:szCs w:val="25"/>
          <w:shd w:val="clear" w:fill="FFFFFF"/>
        </w:rPr>
        <w:t>德新交运、永吉股份、天成控股、东方钽业、西安饮食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5"/>
          <w:szCs w:val="25"/>
          <w:shd w:val="clear" w:fill="FFFFFF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E3E3E"/>
          <w:spacing w:val="8"/>
          <w:sz w:val="25"/>
          <w:szCs w:val="25"/>
          <w:shd w:val="clear" w:fill="FFFFFF"/>
        </w:rPr>
        <w:t>深振业A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1647B7E"/>
    <w:rsid w:val="02840E6B"/>
    <w:rsid w:val="0293307A"/>
    <w:rsid w:val="029B43B0"/>
    <w:rsid w:val="03D77D11"/>
    <w:rsid w:val="04CE0549"/>
    <w:rsid w:val="051801EF"/>
    <w:rsid w:val="05224B2F"/>
    <w:rsid w:val="0563041F"/>
    <w:rsid w:val="058E3BE7"/>
    <w:rsid w:val="059F2277"/>
    <w:rsid w:val="05DB0C89"/>
    <w:rsid w:val="05F42636"/>
    <w:rsid w:val="062D1854"/>
    <w:rsid w:val="066107E1"/>
    <w:rsid w:val="066C601E"/>
    <w:rsid w:val="067A6AFF"/>
    <w:rsid w:val="06C47C16"/>
    <w:rsid w:val="070A6F35"/>
    <w:rsid w:val="082D6981"/>
    <w:rsid w:val="084322AE"/>
    <w:rsid w:val="084C0D07"/>
    <w:rsid w:val="085E77E3"/>
    <w:rsid w:val="092D0512"/>
    <w:rsid w:val="09740E46"/>
    <w:rsid w:val="09C3792A"/>
    <w:rsid w:val="09D47958"/>
    <w:rsid w:val="0A647BE1"/>
    <w:rsid w:val="0B264614"/>
    <w:rsid w:val="0B5F4434"/>
    <w:rsid w:val="0C1A48EA"/>
    <w:rsid w:val="0C212C19"/>
    <w:rsid w:val="0C2D340E"/>
    <w:rsid w:val="0C6E045E"/>
    <w:rsid w:val="0CAA6A0A"/>
    <w:rsid w:val="0CE272BE"/>
    <w:rsid w:val="0D4C6DF5"/>
    <w:rsid w:val="0D5A65C9"/>
    <w:rsid w:val="0D5E2687"/>
    <w:rsid w:val="0D7E4FD5"/>
    <w:rsid w:val="0DE62585"/>
    <w:rsid w:val="0E6924DC"/>
    <w:rsid w:val="0EDE708A"/>
    <w:rsid w:val="0F5A3C27"/>
    <w:rsid w:val="0FE75D85"/>
    <w:rsid w:val="100B14A3"/>
    <w:rsid w:val="10214A7C"/>
    <w:rsid w:val="107A0C96"/>
    <w:rsid w:val="108E1355"/>
    <w:rsid w:val="10F71086"/>
    <w:rsid w:val="110F72C1"/>
    <w:rsid w:val="115724B6"/>
    <w:rsid w:val="11D86036"/>
    <w:rsid w:val="125C533A"/>
    <w:rsid w:val="129F0628"/>
    <w:rsid w:val="12A42AB2"/>
    <w:rsid w:val="13430B4B"/>
    <w:rsid w:val="138B4200"/>
    <w:rsid w:val="13CA5C4D"/>
    <w:rsid w:val="14244DD5"/>
    <w:rsid w:val="15120F09"/>
    <w:rsid w:val="15270E26"/>
    <w:rsid w:val="157F1CD1"/>
    <w:rsid w:val="15F51D1C"/>
    <w:rsid w:val="1640732D"/>
    <w:rsid w:val="16430633"/>
    <w:rsid w:val="167B04FF"/>
    <w:rsid w:val="16BF0588"/>
    <w:rsid w:val="16D84322"/>
    <w:rsid w:val="17186B97"/>
    <w:rsid w:val="171F7A92"/>
    <w:rsid w:val="174E190C"/>
    <w:rsid w:val="17816124"/>
    <w:rsid w:val="17C32C1C"/>
    <w:rsid w:val="17C42329"/>
    <w:rsid w:val="1879447F"/>
    <w:rsid w:val="18A422C2"/>
    <w:rsid w:val="19552F51"/>
    <w:rsid w:val="1A6B657D"/>
    <w:rsid w:val="1ABA7984"/>
    <w:rsid w:val="1ACB3375"/>
    <w:rsid w:val="1AD9601A"/>
    <w:rsid w:val="1B4367F4"/>
    <w:rsid w:val="1B747074"/>
    <w:rsid w:val="1B9149EE"/>
    <w:rsid w:val="1BD2095A"/>
    <w:rsid w:val="1C036B4B"/>
    <w:rsid w:val="1CB0205B"/>
    <w:rsid w:val="1D1046F8"/>
    <w:rsid w:val="1D88197B"/>
    <w:rsid w:val="1D9C1A16"/>
    <w:rsid w:val="1DE368CE"/>
    <w:rsid w:val="1E716A79"/>
    <w:rsid w:val="1FD239CE"/>
    <w:rsid w:val="202F2459"/>
    <w:rsid w:val="203568E0"/>
    <w:rsid w:val="20BF12E3"/>
    <w:rsid w:val="211853CD"/>
    <w:rsid w:val="215C5CA2"/>
    <w:rsid w:val="2184486A"/>
    <w:rsid w:val="21980957"/>
    <w:rsid w:val="219D3E29"/>
    <w:rsid w:val="21F9403C"/>
    <w:rsid w:val="22333AA1"/>
    <w:rsid w:val="22D05A47"/>
    <w:rsid w:val="22EB6D0C"/>
    <w:rsid w:val="23887625"/>
    <w:rsid w:val="23D55828"/>
    <w:rsid w:val="241C417A"/>
    <w:rsid w:val="24680AE8"/>
    <w:rsid w:val="249433B6"/>
    <w:rsid w:val="24D421CB"/>
    <w:rsid w:val="24D4787D"/>
    <w:rsid w:val="24DE5BF2"/>
    <w:rsid w:val="24EE5C15"/>
    <w:rsid w:val="250235F1"/>
    <w:rsid w:val="25590CC6"/>
    <w:rsid w:val="257229A7"/>
    <w:rsid w:val="26745E1B"/>
    <w:rsid w:val="26D85EDD"/>
    <w:rsid w:val="2721255F"/>
    <w:rsid w:val="27E92A96"/>
    <w:rsid w:val="28022CC6"/>
    <w:rsid w:val="28DA7E14"/>
    <w:rsid w:val="28DC7F94"/>
    <w:rsid w:val="29474E9E"/>
    <w:rsid w:val="29901482"/>
    <w:rsid w:val="2B021229"/>
    <w:rsid w:val="2B715FF9"/>
    <w:rsid w:val="2B8B0140"/>
    <w:rsid w:val="2B9C3E2A"/>
    <w:rsid w:val="2BB83060"/>
    <w:rsid w:val="2BE546C3"/>
    <w:rsid w:val="2BE7784D"/>
    <w:rsid w:val="2C36468A"/>
    <w:rsid w:val="2C517FCF"/>
    <w:rsid w:val="2CF63F14"/>
    <w:rsid w:val="2D0C0D09"/>
    <w:rsid w:val="2D3904C5"/>
    <w:rsid w:val="2D430572"/>
    <w:rsid w:val="2D5E3ABF"/>
    <w:rsid w:val="2D9E4763"/>
    <w:rsid w:val="2DA45761"/>
    <w:rsid w:val="2E251C9D"/>
    <w:rsid w:val="2E5D7A1B"/>
    <w:rsid w:val="2E6922D6"/>
    <w:rsid w:val="2EA15342"/>
    <w:rsid w:val="2EB84CFE"/>
    <w:rsid w:val="2EFA7779"/>
    <w:rsid w:val="2F6C637F"/>
    <w:rsid w:val="2F6E3251"/>
    <w:rsid w:val="2FC1718F"/>
    <w:rsid w:val="2FD53C66"/>
    <w:rsid w:val="2FD57AE6"/>
    <w:rsid w:val="302A76D8"/>
    <w:rsid w:val="308927E7"/>
    <w:rsid w:val="30D22C4D"/>
    <w:rsid w:val="30E8604C"/>
    <w:rsid w:val="31832045"/>
    <w:rsid w:val="31BC324A"/>
    <w:rsid w:val="31DD1A19"/>
    <w:rsid w:val="31E32CEF"/>
    <w:rsid w:val="322319DA"/>
    <w:rsid w:val="32A068E9"/>
    <w:rsid w:val="32A23292"/>
    <w:rsid w:val="34E038B6"/>
    <w:rsid w:val="351241C6"/>
    <w:rsid w:val="351F02B8"/>
    <w:rsid w:val="35784769"/>
    <w:rsid w:val="36974B8F"/>
    <w:rsid w:val="369B37BE"/>
    <w:rsid w:val="36B409CC"/>
    <w:rsid w:val="36CC20D7"/>
    <w:rsid w:val="36DC2A3B"/>
    <w:rsid w:val="36DF2AB3"/>
    <w:rsid w:val="37370121"/>
    <w:rsid w:val="37866BA0"/>
    <w:rsid w:val="37D65746"/>
    <w:rsid w:val="382E3032"/>
    <w:rsid w:val="38753B9D"/>
    <w:rsid w:val="389A2C3B"/>
    <w:rsid w:val="38A356B6"/>
    <w:rsid w:val="38B6134F"/>
    <w:rsid w:val="38B94A25"/>
    <w:rsid w:val="38F335E0"/>
    <w:rsid w:val="38FE3638"/>
    <w:rsid w:val="391A03B8"/>
    <w:rsid w:val="39710EB7"/>
    <w:rsid w:val="3A336219"/>
    <w:rsid w:val="3AF87CF3"/>
    <w:rsid w:val="3B5318A0"/>
    <w:rsid w:val="3BB57FF7"/>
    <w:rsid w:val="3BF674FE"/>
    <w:rsid w:val="3C461A3C"/>
    <w:rsid w:val="3CBF2113"/>
    <w:rsid w:val="3CC5059F"/>
    <w:rsid w:val="3CE109FF"/>
    <w:rsid w:val="3CF6320B"/>
    <w:rsid w:val="3D4D2885"/>
    <w:rsid w:val="3DCC6E48"/>
    <w:rsid w:val="3EBD4C84"/>
    <w:rsid w:val="3F2E1884"/>
    <w:rsid w:val="3FB60A8F"/>
    <w:rsid w:val="3FE6620E"/>
    <w:rsid w:val="41251ED8"/>
    <w:rsid w:val="41E106C4"/>
    <w:rsid w:val="42464C1F"/>
    <w:rsid w:val="42647007"/>
    <w:rsid w:val="42927BEF"/>
    <w:rsid w:val="42A261A9"/>
    <w:rsid w:val="430272B9"/>
    <w:rsid w:val="43A728DB"/>
    <w:rsid w:val="43FD6BD7"/>
    <w:rsid w:val="445143F6"/>
    <w:rsid w:val="44D4142E"/>
    <w:rsid w:val="44D54043"/>
    <w:rsid w:val="459A5AE0"/>
    <w:rsid w:val="45B2417A"/>
    <w:rsid w:val="45D05C04"/>
    <w:rsid w:val="46792153"/>
    <w:rsid w:val="479902B6"/>
    <w:rsid w:val="47DA073E"/>
    <w:rsid w:val="487333F6"/>
    <w:rsid w:val="489A1C79"/>
    <w:rsid w:val="48B03E9F"/>
    <w:rsid w:val="4918362D"/>
    <w:rsid w:val="491A4ED9"/>
    <w:rsid w:val="49252B13"/>
    <w:rsid w:val="497C0AAC"/>
    <w:rsid w:val="498216FD"/>
    <w:rsid w:val="49B84D2C"/>
    <w:rsid w:val="4A0715DF"/>
    <w:rsid w:val="4A262F2E"/>
    <w:rsid w:val="4A8A3E4B"/>
    <w:rsid w:val="4AC07187"/>
    <w:rsid w:val="4B2C56D0"/>
    <w:rsid w:val="4B2E2D9C"/>
    <w:rsid w:val="4B5D46DE"/>
    <w:rsid w:val="4BDE1EA4"/>
    <w:rsid w:val="4C272A15"/>
    <w:rsid w:val="4C2F1755"/>
    <w:rsid w:val="4C344AA1"/>
    <w:rsid w:val="4CFF366F"/>
    <w:rsid w:val="4D3A7C59"/>
    <w:rsid w:val="4D3C2959"/>
    <w:rsid w:val="4E033A95"/>
    <w:rsid w:val="4E054997"/>
    <w:rsid w:val="4E545DE4"/>
    <w:rsid w:val="4F32218E"/>
    <w:rsid w:val="4FA51FC1"/>
    <w:rsid w:val="4FBD302C"/>
    <w:rsid w:val="4FEE729E"/>
    <w:rsid w:val="50111B63"/>
    <w:rsid w:val="501D1529"/>
    <w:rsid w:val="508F4E81"/>
    <w:rsid w:val="51296F56"/>
    <w:rsid w:val="519F60B2"/>
    <w:rsid w:val="527B5F26"/>
    <w:rsid w:val="529F4222"/>
    <w:rsid w:val="52A55CB3"/>
    <w:rsid w:val="52A91F2B"/>
    <w:rsid w:val="52E45DE5"/>
    <w:rsid w:val="538C0DB6"/>
    <w:rsid w:val="53D109CC"/>
    <w:rsid w:val="54120CE3"/>
    <w:rsid w:val="54366104"/>
    <w:rsid w:val="54381B54"/>
    <w:rsid w:val="54533030"/>
    <w:rsid w:val="549B0BFD"/>
    <w:rsid w:val="54F713F9"/>
    <w:rsid w:val="55102B46"/>
    <w:rsid w:val="556E1E0E"/>
    <w:rsid w:val="55AA20C6"/>
    <w:rsid w:val="55CD2683"/>
    <w:rsid w:val="55CE5218"/>
    <w:rsid w:val="55F52A95"/>
    <w:rsid w:val="572E1DC4"/>
    <w:rsid w:val="57751DA1"/>
    <w:rsid w:val="57A976CF"/>
    <w:rsid w:val="57D90E3A"/>
    <w:rsid w:val="58051E72"/>
    <w:rsid w:val="58535237"/>
    <w:rsid w:val="589E51D8"/>
    <w:rsid w:val="59427279"/>
    <w:rsid w:val="59443F0F"/>
    <w:rsid w:val="595A4F46"/>
    <w:rsid w:val="597804E9"/>
    <w:rsid w:val="5A41796E"/>
    <w:rsid w:val="5AC83137"/>
    <w:rsid w:val="5AFE4B41"/>
    <w:rsid w:val="5AFE6C9F"/>
    <w:rsid w:val="5B61273E"/>
    <w:rsid w:val="5B901EF3"/>
    <w:rsid w:val="5BD0210D"/>
    <w:rsid w:val="5C256739"/>
    <w:rsid w:val="5C384E29"/>
    <w:rsid w:val="5C3B42D6"/>
    <w:rsid w:val="5C4B7D70"/>
    <w:rsid w:val="5C89301D"/>
    <w:rsid w:val="5CD45A79"/>
    <w:rsid w:val="5CFD2BAF"/>
    <w:rsid w:val="5D372D3D"/>
    <w:rsid w:val="5DA97C2A"/>
    <w:rsid w:val="5E0619EE"/>
    <w:rsid w:val="5E18530F"/>
    <w:rsid w:val="5E83792B"/>
    <w:rsid w:val="5EDA5E4B"/>
    <w:rsid w:val="5EEF2C72"/>
    <w:rsid w:val="5EFB6652"/>
    <w:rsid w:val="5F113FE6"/>
    <w:rsid w:val="5F1F04B3"/>
    <w:rsid w:val="5F54205E"/>
    <w:rsid w:val="5F864151"/>
    <w:rsid w:val="60290442"/>
    <w:rsid w:val="603E4C08"/>
    <w:rsid w:val="60866833"/>
    <w:rsid w:val="60A564FB"/>
    <w:rsid w:val="60A772D5"/>
    <w:rsid w:val="61325CA3"/>
    <w:rsid w:val="62642FCC"/>
    <w:rsid w:val="629321D7"/>
    <w:rsid w:val="62DA1607"/>
    <w:rsid w:val="630579C8"/>
    <w:rsid w:val="6309664E"/>
    <w:rsid w:val="632B7E9C"/>
    <w:rsid w:val="633817A6"/>
    <w:rsid w:val="63520053"/>
    <w:rsid w:val="64022E8C"/>
    <w:rsid w:val="64357186"/>
    <w:rsid w:val="64401FB1"/>
    <w:rsid w:val="644244C6"/>
    <w:rsid w:val="645455F2"/>
    <w:rsid w:val="64E57549"/>
    <w:rsid w:val="651057F3"/>
    <w:rsid w:val="65466BDA"/>
    <w:rsid w:val="65E21C88"/>
    <w:rsid w:val="661E0E6E"/>
    <w:rsid w:val="6643305A"/>
    <w:rsid w:val="674468F2"/>
    <w:rsid w:val="67525CE9"/>
    <w:rsid w:val="688F28C6"/>
    <w:rsid w:val="68931A71"/>
    <w:rsid w:val="690E470A"/>
    <w:rsid w:val="69B20BA4"/>
    <w:rsid w:val="69B338D7"/>
    <w:rsid w:val="69E61A81"/>
    <w:rsid w:val="6A0B4A62"/>
    <w:rsid w:val="6A4A53D9"/>
    <w:rsid w:val="6A584D82"/>
    <w:rsid w:val="6AC53309"/>
    <w:rsid w:val="6B82310F"/>
    <w:rsid w:val="6BA94B6C"/>
    <w:rsid w:val="6BC9393A"/>
    <w:rsid w:val="6BD05FE0"/>
    <w:rsid w:val="6C15278F"/>
    <w:rsid w:val="6C6830AB"/>
    <w:rsid w:val="6CAA2244"/>
    <w:rsid w:val="6D6B1A32"/>
    <w:rsid w:val="6D830976"/>
    <w:rsid w:val="6D9C47D4"/>
    <w:rsid w:val="6DB3004E"/>
    <w:rsid w:val="6DF76419"/>
    <w:rsid w:val="6E5B527C"/>
    <w:rsid w:val="6E865950"/>
    <w:rsid w:val="6E921DF4"/>
    <w:rsid w:val="6F74384E"/>
    <w:rsid w:val="6F7A1086"/>
    <w:rsid w:val="6F855C15"/>
    <w:rsid w:val="6FCD6A80"/>
    <w:rsid w:val="701048BF"/>
    <w:rsid w:val="70A44053"/>
    <w:rsid w:val="70B23DA1"/>
    <w:rsid w:val="7198751A"/>
    <w:rsid w:val="71C56B06"/>
    <w:rsid w:val="71E276CC"/>
    <w:rsid w:val="729E0354"/>
    <w:rsid w:val="72F05E81"/>
    <w:rsid w:val="73150265"/>
    <w:rsid w:val="733D0A3C"/>
    <w:rsid w:val="73E867D3"/>
    <w:rsid w:val="74281E02"/>
    <w:rsid w:val="74D11297"/>
    <w:rsid w:val="756441E0"/>
    <w:rsid w:val="759D43E0"/>
    <w:rsid w:val="75E354AB"/>
    <w:rsid w:val="75FD0190"/>
    <w:rsid w:val="76001D27"/>
    <w:rsid w:val="76270C98"/>
    <w:rsid w:val="7659795A"/>
    <w:rsid w:val="76912DA9"/>
    <w:rsid w:val="76BE2084"/>
    <w:rsid w:val="76FA32E0"/>
    <w:rsid w:val="787B4D40"/>
    <w:rsid w:val="78B80928"/>
    <w:rsid w:val="79374CE7"/>
    <w:rsid w:val="794319BF"/>
    <w:rsid w:val="799035A9"/>
    <w:rsid w:val="79B81A90"/>
    <w:rsid w:val="79E6546C"/>
    <w:rsid w:val="7A096A08"/>
    <w:rsid w:val="7A2A11C4"/>
    <w:rsid w:val="7A2B2F1C"/>
    <w:rsid w:val="7A3E6A0A"/>
    <w:rsid w:val="7A4447A6"/>
    <w:rsid w:val="7B151CB1"/>
    <w:rsid w:val="7B343384"/>
    <w:rsid w:val="7BFC0376"/>
    <w:rsid w:val="7C0773BC"/>
    <w:rsid w:val="7C1823A4"/>
    <w:rsid w:val="7C1E37BA"/>
    <w:rsid w:val="7C920129"/>
    <w:rsid w:val="7D576356"/>
    <w:rsid w:val="7D8E5DA9"/>
    <w:rsid w:val="7ED1289E"/>
    <w:rsid w:val="7F3F1296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2018-09-20T15:34:37Z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