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短线交易交易笔记本</w:t>
      </w:r>
    </w:p>
    <w:p>
      <w:pPr>
        <w:spacing w:line="240" w:lineRule="auto"/>
      </w:pPr>
      <w:r>
        <w:rPr>
          <w:rFonts w:ascii="微软雅黑" w:hAnsi="微软雅黑" w:eastAsia="微软雅黑" w:cs="微软雅黑"/>
          <w:sz w:val="22"/>
        </w:rPr>
        <w:t>Date：</w:t>
      </w:r>
    </w:p>
    <w:tbl>
      <w:tblPr>
        <w:tblStyle w:val="12"/>
        <w:tblW w:w="884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185"/>
        <w:gridCol w:w="847"/>
        <w:gridCol w:w="1084"/>
        <w:gridCol w:w="1084"/>
        <w:gridCol w:w="2235"/>
        <w:gridCol w:w="240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76" w:hRule="atLeast"/>
        </w:trPr>
        <w:tc>
          <w:tcPr>
            <w:tcW w:w="1185" w:type="dxa"/>
            <w:vAlign w:val="center"/>
          </w:tcPr>
          <w:p>
            <w:pPr>
              <w:keepNext w:val="0"/>
              <w:keepLines w:val="0"/>
              <w:widowControl/>
              <w:suppressLineNumbers w:val="0"/>
              <w:jc w:val="left"/>
            </w:pPr>
            <w:r>
              <w:rPr>
                <w:rFonts w:ascii="微软雅黑" w:hAnsi="微软雅黑" w:eastAsia="微软雅黑" w:cs="微软雅黑"/>
                <w:b/>
                <w:i w:val="0"/>
                <w:color w:val="000000"/>
                <w:kern w:val="0"/>
                <w:sz w:val="21"/>
                <w:szCs w:val="21"/>
                <w:u w:val="none"/>
                <w:lang w:val="en-US" w:eastAsia="zh-CN" w:bidi="ar"/>
              </w:rPr>
              <w:t>标的</w:t>
            </w:r>
          </w:p>
        </w:tc>
        <w:tc>
          <w:tcPr>
            <w:tcW w:w="847" w:type="dxa"/>
            <w:vAlign w:val="center"/>
          </w:tcPr>
          <w:p>
            <w:pPr>
              <w:keepNext w:val="0"/>
              <w:keepLines w:val="0"/>
              <w:widowControl/>
              <w:suppressLineNumbers w:val="0"/>
              <w:jc w:val="left"/>
            </w:pPr>
            <w:r>
              <w:rPr>
                <w:rFonts w:hint="eastAsia" w:ascii="微软雅黑" w:hAnsi="微软雅黑" w:eastAsia="微软雅黑" w:cs="微软雅黑"/>
                <w:b/>
                <w:i w:val="0"/>
                <w:color w:val="000000"/>
                <w:kern w:val="0"/>
                <w:sz w:val="21"/>
                <w:szCs w:val="21"/>
                <w:u w:val="none"/>
                <w:lang w:val="en-US" w:eastAsia="zh-CN" w:bidi="ar"/>
              </w:rPr>
              <w:t>方向</w:t>
            </w:r>
          </w:p>
        </w:tc>
        <w:tc>
          <w:tcPr>
            <w:tcW w:w="1084" w:type="dxa"/>
            <w:vAlign w:val="center"/>
          </w:tcPr>
          <w:p>
            <w:pPr>
              <w:keepNext w:val="0"/>
              <w:keepLines w:val="0"/>
              <w:widowControl/>
              <w:suppressLineNumbers w:val="0"/>
              <w:jc w:val="left"/>
            </w:pPr>
            <w:r>
              <w:rPr>
                <w:rFonts w:hint="eastAsia" w:ascii="微软雅黑" w:hAnsi="微软雅黑" w:eastAsia="微软雅黑" w:cs="微软雅黑"/>
                <w:b/>
                <w:i w:val="0"/>
                <w:color w:val="000000"/>
                <w:kern w:val="0"/>
                <w:sz w:val="21"/>
                <w:szCs w:val="21"/>
                <w:u w:val="none"/>
                <w:lang w:val="en-US" w:eastAsia="zh-CN" w:bidi="ar"/>
              </w:rPr>
              <w:t>支撑位</w:t>
            </w:r>
          </w:p>
        </w:tc>
        <w:tc>
          <w:tcPr>
            <w:tcW w:w="1084" w:type="dxa"/>
            <w:vAlign w:val="center"/>
          </w:tcPr>
          <w:p>
            <w:pPr>
              <w:keepNext w:val="0"/>
              <w:keepLines w:val="0"/>
              <w:widowControl/>
              <w:suppressLineNumbers w:val="0"/>
              <w:jc w:val="left"/>
            </w:pPr>
            <w:r>
              <w:rPr>
                <w:rFonts w:hint="eastAsia" w:ascii="微软雅黑" w:hAnsi="微软雅黑" w:eastAsia="微软雅黑" w:cs="微软雅黑"/>
                <w:b/>
                <w:i w:val="0"/>
                <w:color w:val="000000"/>
                <w:kern w:val="0"/>
                <w:sz w:val="21"/>
                <w:szCs w:val="21"/>
                <w:u w:val="none"/>
                <w:lang w:val="en-US" w:eastAsia="zh-CN" w:bidi="ar"/>
              </w:rPr>
              <w:t>压力位</w:t>
            </w:r>
          </w:p>
        </w:tc>
        <w:tc>
          <w:tcPr>
            <w:tcW w:w="2235" w:type="dxa"/>
            <w:vAlign w:val="center"/>
          </w:tcPr>
          <w:p>
            <w:pPr>
              <w:keepNext w:val="0"/>
              <w:keepLines w:val="0"/>
              <w:widowControl/>
              <w:suppressLineNumbers w:val="0"/>
              <w:jc w:val="left"/>
            </w:pPr>
            <w:r>
              <w:rPr>
                <w:rFonts w:hint="eastAsia" w:ascii="微软雅黑" w:hAnsi="微软雅黑" w:eastAsia="微软雅黑" w:cs="微软雅黑"/>
                <w:b/>
                <w:i w:val="0"/>
                <w:color w:val="000000"/>
                <w:kern w:val="0"/>
                <w:sz w:val="21"/>
                <w:szCs w:val="21"/>
                <w:u w:val="none"/>
                <w:lang w:val="en-US" w:eastAsia="zh-CN" w:bidi="ar"/>
              </w:rPr>
              <w:t>买卖理由</w:t>
            </w:r>
          </w:p>
        </w:tc>
        <w:tc>
          <w:tcPr>
            <w:tcW w:w="2405" w:type="dxa"/>
            <w:vAlign w:val="center"/>
          </w:tcPr>
          <w:p>
            <w:pPr>
              <w:keepNext w:val="0"/>
              <w:keepLines w:val="0"/>
              <w:widowControl/>
              <w:suppressLineNumbers w:val="0"/>
              <w:jc w:val="left"/>
            </w:pPr>
            <w:r>
              <w:rPr>
                <w:rFonts w:hint="eastAsia" w:ascii="微软雅黑" w:hAnsi="微软雅黑" w:eastAsia="微软雅黑" w:cs="微软雅黑"/>
                <w:b/>
                <w:i w:val="0"/>
                <w:color w:val="000000"/>
                <w:kern w:val="0"/>
                <w:sz w:val="21"/>
                <w:szCs w:val="21"/>
                <w:u w:val="none"/>
                <w:lang w:val="en-US" w:eastAsia="zh-CN" w:bidi="ar"/>
              </w:rPr>
              <w:t>Tips</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2876" w:hRule="atLeast"/>
        </w:trPr>
        <w:tc>
          <w:tcPr>
            <w:tcW w:w="1185" w:type="dxa"/>
            <w:vAlign w:val="top"/>
          </w:tcPr>
          <w:p>
            <w:pPr>
              <w:keepNext w:val="0"/>
              <w:keepLines w:val="0"/>
              <w:widowControl/>
              <w:suppressLineNumbers w:val="0"/>
              <w:jc w:val="left"/>
              <w:textAlignment w:val="top"/>
              <w:rPr>
                <w:rFonts w:hint="eastAsia" w:asciiTheme="minorEastAsia" w:hAnsiTheme="minorEastAsia" w:eastAsia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盐湖钾肥</w:t>
            </w:r>
          </w:p>
        </w:tc>
        <w:tc>
          <w:tcPr>
            <w:tcW w:w="847" w:type="dxa"/>
            <w:vAlign w:val="top"/>
          </w:tcPr>
          <w:p>
            <w:pPr>
              <w:keepNext w:val="0"/>
              <w:keepLines w:val="0"/>
              <w:widowControl/>
              <w:suppressLineNumbers w:val="0"/>
              <w:jc w:val="left"/>
              <w:textAlignment w:val="top"/>
              <w:rPr>
                <w:rFonts w:hint="eastAsia" w:asciiTheme="minorEastAsia" w:hAnsiTheme="minorEastAsia" w:eastAsia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持仓</w:t>
            </w:r>
          </w:p>
        </w:tc>
        <w:tc>
          <w:tcPr>
            <w:tcW w:w="1084" w:type="dxa"/>
            <w:vAlign w:val="top"/>
          </w:tcPr>
          <w:p>
            <w:pPr>
              <w:keepNext w:val="0"/>
              <w:keepLines w:val="0"/>
              <w:widowControl/>
              <w:suppressLineNumbers w:val="0"/>
              <w:jc w:val="left"/>
              <w:textAlignment w:val="top"/>
              <w:rPr>
                <w:rFonts w:hint="eastAsia" w:asciiTheme="minorEastAsia" w:hAnsiTheme="minorEastAsia" w:eastAsia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9.10</w:t>
            </w:r>
          </w:p>
        </w:tc>
        <w:tc>
          <w:tcPr>
            <w:tcW w:w="1084" w:type="dxa"/>
            <w:vAlign w:val="top"/>
          </w:tcPr>
          <w:p>
            <w:pPr>
              <w:keepNext w:val="0"/>
              <w:keepLines w:val="0"/>
              <w:widowControl/>
              <w:suppressLineNumbers w:val="0"/>
              <w:jc w:val="left"/>
              <w:textAlignment w:val="top"/>
              <w:rPr>
                <w:rFonts w:hint="eastAsia" w:asciiTheme="minorEastAsia" w:hAnsiTheme="minorEastAsia" w:eastAsia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9.60</w:t>
            </w:r>
          </w:p>
        </w:tc>
        <w:tc>
          <w:tcPr>
            <w:tcW w:w="2235" w:type="dxa"/>
            <w:vAlign w:val="top"/>
          </w:tcPr>
          <w:p>
            <w:pPr>
              <w:keepNext w:val="0"/>
              <w:keepLines w:val="0"/>
              <w:widowControl/>
              <w:suppressLineNumbers w:val="0"/>
              <w:jc w:val="left"/>
              <w:textAlignment w:val="top"/>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接近支撑位回到9.08，连续5天缩量十字星。MACD红柱向下接近死叉，KD死叉50.96，CCI上11.64。连续7天呈现十字星形向下缩量调整形态。没有明确的向上和向下趋势，不过缩量调整属于正常，等待有明确趋势之后再做操作。</w:t>
            </w:r>
          </w:p>
        </w:tc>
        <w:tc>
          <w:tcPr>
            <w:tcW w:w="2405" w:type="dxa"/>
            <w:vAlign w:val="top"/>
          </w:tcPr>
          <w:p>
            <w:pPr>
              <w:keepNext w:val="0"/>
              <w:keepLines w:val="0"/>
              <w:widowControl/>
              <w:suppressLineNumbers w:val="0"/>
              <w:jc w:val="left"/>
              <w:textAlignment w:val="top"/>
              <w:rPr>
                <w:rFonts w:hint="eastAsia" w:asciiTheme="minorEastAsia" w:hAnsiTheme="minorEastAsia" w:eastAsia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止损位boll中轨和前期跌停阴线价格8.83元。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1207" w:hRule="atLeast"/>
        </w:trPr>
        <w:tc>
          <w:tcPr>
            <w:tcW w:w="1185"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p>
        </w:tc>
        <w:tc>
          <w:tcPr>
            <w:tcW w:w="847"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p>
        </w:tc>
        <w:tc>
          <w:tcPr>
            <w:tcW w:w="1084"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p>
        </w:tc>
        <w:tc>
          <w:tcPr>
            <w:tcW w:w="1084"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p>
        </w:tc>
        <w:tc>
          <w:tcPr>
            <w:tcW w:w="2235" w:type="dxa"/>
            <w:vAlign w:val="top"/>
          </w:tcPr>
          <w:p>
            <w:pPr>
              <w:keepNext w:val="0"/>
              <w:keepLines w:val="0"/>
              <w:widowControl/>
              <w:suppressLineNumbers w:val="0"/>
              <w:jc w:val="left"/>
              <w:textAlignment w:val="top"/>
              <w:rPr>
                <w:rFonts w:hint="eastAsia" w:asciiTheme="minorEastAsia" w:hAnsiTheme="minorEastAsia" w:cstheme="minorEastAsia"/>
                <w:sz w:val="21"/>
                <w:szCs w:val="21"/>
                <w:lang w:val="en-US" w:eastAsia="zh-CN"/>
              </w:rPr>
            </w:pPr>
          </w:p>
        </w:tc>
        <w:tc>
          <w:tcPr>
            <w:tcW w:w="2405"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1212" w:hRule="atLeast"/>
        </w:trPr>
        <w:tc>
          <w:tcPr>
            <w:tcW w:w="1185"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p>
        </w:tc>
        <w:tc>
          <w:tcPr>
            <w:tcW w:w="847"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p>
        </w:tc>
        <w:tc>
          <w:tcPr>
            <w:tcW w:w="1084"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p>
        </w:tc>
        <w:tc>
          <w:tcPr>
            <w:tcW w:w="1084"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p>
        </w:tc>
        <w:tc>
          <w:tcPr>
            <w:tcW w:w="2235" w:type="dxa"/>
            <w:vAlign w:val="top"/>
          </w:tcPr>
          <w:p>
            <w:pPr>
              <w:keepNext w:val="0"/>
              <w:keepLines w:val="0"/>
              <w:widowControl/>
              <w:suppressLineNumbers w:val="0"/>
              <w:jc w:val="left"/>
              <w:textAlignment w:val="top"/>
              <w:rPr>
                <w:rFonts w:hint="eastAsia" w:asciiTheme="minorEastAsia" w:hAnsiTheme="minorEastAsia" w:cstheme="minorEastAsia"/>
                <w:sz w:val="21"/>
                <w:szCs w:val="21"/>
                <w:lang w:val="en-US" w:eastAsia="zh-CN"/>
              </w:rPr>
            </w:pPr>
          </w:p>
        </w:tc>
        <w:tc>
          <w:tcPr>
            <w:tcW w:w="2405"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p>
        </w:tc>
      </w:tr>
    </w:tbl>
    <w:p>
      <w:pPr>
        <w:spacing w:line="240" w:lineRule="auto"/>
      </w:pPr>
      <w:bookmarkStart w:id="0" w:name="9057-1536542303601"/>
      <w:bookmarkEnd w:id="0"/>
    </w:p>
    <w:p>
      <w:pPr>
        <w:spacing w:line="240" w:lineRule="auto"/>
      </w:pPr>
      <w:bookmarkStart w:id="1" w:name="7380-1536542303605"/>
      <w:bookmarkEnd w:id="1"/>
    </w:p>
    <w:tbl>
      <w:tblPr>
        <w:tblStyle w:val="12"/>
        <w:tblW w:w="882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111"/>
        <w:gridCol w:w="1111"/>
        <w:gridCol w:w="1111"/>
        <w:gridCol w:w="1111"/>
        <w:gridCol w:w="1110"/>
        <w:gridCol w:w="1111"/>
        <w:gridCol w:w="1111"/>
        <w:gridCol w:w="104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1279" w:hRule="atLeast"/>
        </w:trPr>
        <w:tc>
          <w:tcPr>
            <w:tcW w:w="1111" w:type="dxa"/>
            <w:vAlign w:val="center"/>
          </w:tcPr>
          <w:p>
            <w:r>
              <w:rPr>
                <w:b/>
                <w:sz w:val="22"/>
              </w:rPr>
              <w:t>日内</w:t>
            </w:r>
          </w:p>
        </w:tc>
        <w:tc>
          <w:tcPr>
            <w:tcW w:w="1111" w:type="dxa"/>
            <w:vAlign w:val="center"/>
          </w:tcPr>
          <w:p>
            <w:pPr>
              <w:jc w:val="center"/>
            </w:pPr>
            <w:r>
              <w:rPr>
                <w:rFonts w:ascii="微软雅黑" w:hAnsi="微软雅黑" w:eastAsia="微软雅黑" w:cs="微软雅黑"/>
                <w:b/>
                <w:sz w:val="22"/>
              </w:rPr>
              <w:t>交易笔数</w:t>
            </w:r>
          </w:p>
        </w:tc>
        <w:tc>
          <w:tcPr>
            <w:tcW w:w="1111" w:type="dxa"/>
            <w:vAlign w:val="center"/>
          </w:tcPr>
          <w:p>
            <w:pPr>
              <w:jc w:val="center"/>
            </w:pPr>
            <w:r>
              <w:rPr>
                <w:rFonts w:ascii="微软雅黑" w:hAnsi="微软雅黑" w:eastAsia="微软雅黑" w:cs="微软雅黑"/>
                <w:b/>
                <w:sz w:val="22"/>
              </w:rPr>
              <w:t>盈利交易数</w:t>
            </w:r>
          </w:p>
        </w:tc>
        <w:tc>
          <w:tcPr>
            <w:tcW w:w="1111" w:type="dxa"/>
            <w:vAlign w:val="center"/>
          </w:tcPr>
          <w:p>
            <w:pPr>
              <w:jc w:val="center"/>
            </w:pPr>
            <w:r>
              <w:rPr>
                <w:rFonts w:ascii="微软雅黑" w:hAnsi="微软雅黑" w:eastAsia="微软雅黑" w:cs="微软雅黑"/>
                <w:b/>
                <w:sz w:val="22"/>
              </w:rPr>
              <w:t>亏损交易数</w:t>
            </w:r>
          </w:p>
        </w:tc>
        <w:tc>
          <w:tcPr>
            <w:tcW w:w="1110" w:type="dxa"/>
            <w:vAlign w:val="center"/>
          </w:tcPr>
          <w:p>
            <w:pPr>
              <w:jc w:val="center"/>
            </w:pPr>
            <w:r>
              <w:rPr>
                <w:rFonts w:ascii="微软雅黑" w:hAnsi="微软雅黑" w:eastAsia="微软雅黑" w:cs="微软雅黑"/>
                <w:b/>
                <w:sz w:val="22"/>
              </w:rPr>
              <w:t>成功/失败比率</w:t>
            </w:r>
          </w:p>
        </w:tc>
        <w:tc>
          <w:tcPr>
            <w:tcW w:w="1111" w:type="dxa"/>
            <w:vAlign w:val="center"/>
          </w:tcPr>
          <w:p>
            <w:pPr>
              <w:jc w:val="center"/>
            </w:pPr>
            <w:r>
              <w:rPr>
                <w:rFonts w:ascii="微软雅黑" w:hAnsi="微软雅黑" w:eastAsia="微软雅黑" w:cs="微软雅黑"/>
                <w:b/>
                <w:sz w:val="22"/>
              </w:rPr>
              <w:t>平均获利</w:t>
            </w:r>
          </w:p>
        </w:tc>
        <w:tc>
          <w:tcPr>
            <w:tcW w:w="1111" w:type="dxa"/>
            <w:vAlign w:val="center"/>
          </w:tcPr>
          <w:p>
            <w:pPr>
              <w:jc w:val="center"/>
            </w:pPr>
            <w:r>
              <w:rPr>
                <w:rFonts w:ascii="微软雅黑" w:hAnsi="微软雅黑" w:eastAsia="微软雅黑" w:cs="微软雅黑"/>
                <w:b/>
                <w:sz w:val="22"/>
              </w:rPr>
              <w:t>平均亏损</w:t>
            </w:r>
          </w:p>
        </w:tc>
        <w:tc>
          <w:tcPr>
            <w:tcW w:w="1044" w:type="dxa"/>
            <w:vAlign w:val="center"/>
          </w:tcPr>
          <w:p>
            <w:pPr>
              <w:jc w:val="center"/>
            </w:pPr>
            <w:r>
              <w:rPr>
                <w:rFonts w:ascii="微软雅黑" w:hAnsi="微软雅黑" w:eastAsia="微软雅黑" w:cs="微软雅黑"/>
                <w:b/>
                <w:sz w:val="22"/>
              </w:rPr>
              <w:t>总计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星期一</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星期二</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星期三</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星期四</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星期五</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044" w:type="dxa"/>
            <w:vAlign w:val="center"/>
          </w:tcPr>
          <w:p>
            <w:pPr>
              <w:keepNext w:val="0"/>
              <w:keepLines w:val="0"/>
              <w:widowControl/>
              <w:suppressLineNumbers w:val="0"/>
              <w:jc w:val="left"/>
              <w:rPr>
                <w:lang w:val="en-US"/>
              </w:rPr>
            </w:pPr>
            <w:r>
              <w:rPr>
                <w:rFonts w:hint="eastAsia"/>
                <w:lang w:val="en-US" w:eastAsia="zh-CN"/>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7" w:hRule="atLeast"/>
        </w:trPr>
        <w:tc>
          <w:tcPr>
            <w:tcW w:w="1111" w:type="dxa"/>
            <w:vAlign w:val="center"/>
          </w:tcPr>
          <w:p>
            <w:pPr>
              <w:jc w:val="center"/>
            </w:pPr>
            <w:r>
              <w:rPr>
                <w:rFonts w:ascii="微软雅黑" w:hAnsi="微软雅黑" w:eastAsia="微软雅黑" w:cs="微软雅黑"/>
                <w:b/>
                <w:sz w:val="22"/>
              </w:rPr>
              <w:t>总计</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044" w:type="dxa"/>
            <w:vAlign w:val="center"/>
          </w:tcPr>
          <w:p>
            <w:pPr>
              <w:keepNext w:val="0"/>
              <w:keepLines w:val="0"/>
              <w:widowControl/>
              <w:suppressLineNumbers w:val="0"/>
              <w:jc w:val="left"/>
              <w:rPr>
                <w:lang w:val="en-US"/>
              </w:rPr>
            </w:pPr>
            <w:r>
              <w:rPr>
                <w:rFonts w:hint="eastAsia"/>
                <w:lang w:val="en-US" w:eastAsia="zh-CN"/>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7" w:hRule="atLeast"/>
        </w:trPr>
        <w:tc>
          <w:tcPr>
            <w:tcW w:w="1111" w:type="dxa"/>
            <w:vAlign w:val="center"/>
          </w:tcPr>
          <w:p>
            <w:pPr>
              <w:jc w:val="center"/>
              <w:rPr>
                <w:rFonts w:ascii="微软雅黑" w:hAnsi="微软雅黑" w:eastAsia="微软雅黑" w:cs="微软雅黑"/>
                <w:b/>
                <w:sz w:val="22"/>
              </w:rPr>
            </w:pPr>
          </w:p>
        </w:tc>
        <w:tc>
          <w:tcPr>
            <w:tcW w:w="1111" w:type="dxa"/>
            <w:vAlign w:val="center"/>
          </w:tcPr>
          <w:p>
            <w:pPr>
              <w:rPr>
                <w:lang w:val="en-US"/>
              </w:rPr>
            </w:pPr>
          </w:p>
        </w:tc>
        <w:tc>
          <w:tcPr>
            <w:tcW w:w="1111" w:type="dxa"/>
            <w:vAlign w:val="center"/>
          </w:tcPr>
          <w:p>
            <w:pPr>
              <w:rPr>
                <w:lang w:val="en-US"/>
              </w:rPr>
            </w:pPr>
          </w:p>
        </w:tc>
        <w:tc>
          <w:tcPr>
            <w:tcW w:w="1111" w:type="dxa"/>
            <w:vAlign w:val="center"/>
          </w:tcPr>
          <w:p>
            <w:pPr>
              <w:rPr>
                <w:lang w:val="en-US"/>
              </w:rPr>
            </w:pPr>
          </w:p>
        </w:tc>
        <w:tc>
          <w:tcPr>
            <w:tcW w:w="1110" w:type="dxa"/>
            <w:vAlign w:val="center"/>
          </w:tcPr>
          <w:p>
            <w:pPr>
              <w:rPr>
                <w:lang w:val="en-US"/>
              </w:rPr>
            </w:pPr>
          </w:p>
        </w:tc>
        <w:tc>
          <w:tcPr>
            <w:tcW w:w="1111" w:type="dxa"/>
            <w:vAlign w:val="center"/>
          </w:tcPr>
          <w:p>
            <w:pPr>
              <w:rPr>
                <w:lang w:val="en-US"/>
              </w:rPr>
            </w:pPr>
          </w:p>
        </w:tc>
        <w:tc>
          <w:tcPr>
            <w:tcW w:w="1111" w:type="dxa"/>
            <w:vAlign w:val="center"/>
          </w:tcPr>
          <w:p>
            <w:pPr>
              <w:rPr>
                <w:lang w:val="en-US"/>
              </w:rPr>
            </w:pPr>
          </w:p>
        </w:tc>
        <w:tc>
          <w:tcPr>
            <w:tcW w:w="1044" w:type="dxa"/>
            <w:vAlign w:val="center"/>
          </w:tcPr>
          <w:p>
            <w:pPr>
              <w:rPr>
                <w:lang w:val="en-US"/>
              </w:rPr>
            </w:pPr>
          </w:p>
        </w:tc>
      </w:tr>
    </w:tbl>
    <w:p>
      <w:pPr>
        <w:spacing w:line="240" w:lineRule="auto"/>
        <w:rPr>
          <w:rFonts w:ascii="微软雅黑" w:hAnsi="微软雅黑" w:eastAsia="微软雅黑" w:cs="微软雅黑"/>
          <w:b/>
          <w:sz w:val="22"/>
        </w:rPr>
      </w:pPr>
      <w:bookmarkStart w:id="2" w:name="8416-1536542303643"/>
      <w:bookmarkEnd w:id="2"/>
      <w:bookmarkStart w:id="3" w:name="1096-1536542303639"/>
      <w:bookmarkEnd w:id="3"/>
      <w:bookmarkStart w:id="4" w:name="2151-1536542303645"/>
      <w:bookmarkEnd w:id="4"/>
      <w:bookmarkStart w:id="5" w:name="2911-1536542303635"/>
      <w:bookmarkEnd w:id="5"/>
      <w:bookmarkStart w:id="6" w:name="1227-1536542303637"/>
      <w:bookmarkEnd w:id="6"/>
      <w:bookmarkStart w:id="7" w:name="3677-1536542303641"/>
      <w:bookmarkEnd w:id="7"/>
      <w:r>
        <w:rPr>
          <w:rFonts w:ascii="微软雅黑" w:hAnsi="微软雅黑" w:eastAsia="微软雅黑" w:cs="微软雅黑"/>
          <w:b/>
          <w:sz w:val="22"/>
        </w:rPr>
        <w:t>今日回顾：</w:t>
      </w:r>
    </w:p>
    <w:p>
      <w:pPr>
        <w:spacing w:line="240" w:lineRule="auto"/>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sz w:val="21"/>
          <w:szCs w:val="21"/>
          <w:lang w:val="en-US" w:eastAsia="zh-CN"/>
        </w:rPr>
        <w:t>成交量1258亿放量了，昨日融资融券余额-27.74亿，GC001上涨</w:t>
      </w:r>
      <w:r>
        <w:rPr>
          <w:rFonts w:hint="default" w:asciiTheme="minorEastAsia" w:hAnsiTheme="minorEastAsia" w:cstheme="minorEastAsia"/>
          <w:b w:val="0"/>
          <w:bCs/>
          <w:sz w:val="21"/>
          <w:szCs w:val="21"/>
          <w:lang w:val="en-US" w:eastAsia="zh-CN"/>
        </w:rPr>
        <w:t>+</w:t>
      </w:r>
      <w:r>
        <w:rPr>
          <w:rFonts w:hint="eastAsia" w:asciiTheme="minorEastAsia" w:hAnsiTheme="minorEastAsia" w:cstheme="minorEastAsia"/>
          <w:b w:val="0"/>
          <w:bCs/>
          <w:sz w:val="21"/>
          <w:szCs w:val="21"/>
          <w:lang w:val="en-US" w:eastAsia="zh-CN"/>
        </w:rPr>
        <w:t>31.10%。</w:t>
      </w:r>
    </w:p>
    <w:p>
      <w:pPr>
        <w:spacing w:line="240" w:lineRule="auto"/>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sz w:val="21"/>
          <w:szCs w:val="21"/>
          <w:lang w:val="en-US" w:eastAsia="zh-CN"/>
        </w:rPr>
        <w:t>k线形态光头阳，没有修复下方缺口，放量上攻态势。</w:t>
      </w:r>
    </w:p>
    <w:p>
      <w:pPr>
        <w:spacing w:line="240" w:lineRule="auto"/>
      </w:pPr>
      <w:r>
        <w:drawing>
          <wp:inline distT="0" distB="0" distL="114300" distR="114300">
            <wp:extent cx="5265420" cy="2799080"/>
            <wp:effectExtent l="0" t="0" r="1143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5420" cy="2799080"/>
                    </a:xfrm>
                    <a:prstGeom prst="rect">
                      <a:avLst/>
                    </a:prstGeom>
                    <a:noFill/>
                    <a:ln w="9525">
                      <a:noFill/>
                    </a:ln>
                  </pic:spPr>
                </pic:pic>
              </a:graphicData>
            </a:graphic>
          </wp:inline>
        </w:drawing>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【宏观要闻】 </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证监会今日核发中国人保IPO批文 </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证监会今日核发中国人民保险集团股份有限公司IPO批文，未披露筹资金额。上述企业及其承销商将与交易所协商确定发行日程，并刊登招股文件。 </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银保监会：公募理财可通过投资各类公募基金间接进入股市 </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中国银保监会有关部门负责人就《商业银行理财业务监督管理办法》答记者问表示，现行银行理财业务监管制度允许私募理财产品直接投资股票，但规定公募理财产品只能投资货币型和债券型基金。《办法》继续允许私募理财产品直接投资股票；在理财业务仍由银行内设部门开展的情况下，放开公募理财产品不能投资与股票相关公募基金的限制，允许公募理财产品通过投资各类公募基金间接进入股市。同时，与“资管新规”保持一致，理财产品投资公募证券投资基金可以不再穿透至底层资产。下一步，银行通过子公司开展理财业务后，允许子公司发行的公募理财产品直接投资或者通过其他方式间接投资股票，相关要求在《商业银行理财子公司管理办法》中具体规定。 </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  </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证监会例会：证监会启动发审委换届工作 </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1、证监会启动发审委换届工作，17届发审委将工作到新一届成立为止；2、证监会发布基金券商境外设立收购经营机构新政：设3年过渡期；3、证监会就修订《境外证券交易所驻华代表机构管理办法》公开征求意见；4、证监会通报今年专项执法行动第一批案件，下一步证监会将抓紧推动专项执法行动的案件调查；5、证监会对5宗信息披露案件做出行政处罚。 </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【资讯快报】 </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三季报披露时间表出炉，炼石有色(000697)拔得头筹，将于10月9日披露，凌钢股份(600231)、益生股份(002458)</w:t>
      </w:r>
      <w:bookmarkStart w:id="14" w:name="_GoBack"/>
      <w:bookmarkEnd w:id="14"/>
      <w:r>
        <w:rPr>
          <w:rFonts w:hint="eastAsia"/>
          <w:lang w:val="en-US" w:eastAsia="zh-CN"/>
        </w:rPr>
        <w:t xml:space="preserve">10月10日披露三季报 </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证监会原副主席姚刚被判处有期徒刑十八年 </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发改委：建立特色小镇和特色小城镇高质量发展机制 </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银保监会首次发布普惠金融白皮书，白皮书指出，我国普惠金融发展主要总结出八大基本经验 </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国家网信办：脸书公司(facebook)曾经与杭州有关方面进行接触,脸书科技杭州有限公司营业执照尚未颁发，脸书的杭州运营牌照还在处理中 </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央行就《内地与香港债券市场互联互通合作管理暂行办法》征求意见 </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中国5G技术研发试验第三阶段测试结果发布 </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腾讯连续第15个交易日出手回购 </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外汇局：二季度证券投资净流入610亿美元 创季度历史新高 </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监管层人士：理财新规正式稿并没有收紧的规定 甚至更宽松一点 </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  </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【今日数据】 </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1、央行开展0亿元逆回购操作，400亿逆回购到期。 </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2、沪股通资金流入8.05亿元 深股通资金流入10.89亿元 </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3、今日涨停30家，跌停8家 </w:t>
      </w:r>
    </w:p>
    <w:p>
      <w:pPr>
        <w:spacing w:line="240" w:lineRule="auto"/>
        <w:rPr>
          <w:rFonts w:hint="eastAsia"/>
          <w:lang w:val="en-US" w:eastAsia="zh-CN"/>
        </w:rPr>
      </w:pPr>
    </w:p>
    <w:p>
      <w:pPr>
        <w:spacing w:line="240" w:lineRule="auto"/>
        <w:rPr>
          <w:rFonts w:hint="eastAsia"/>
          <w:lang w:val="en-US" w:eastAsia="zh-CN"/>
        </w:rPr>
      </w:pPr>
    </w:p>
    <w:p>
      <w:pPr>
        <w:spacing w:line="240" w:lineRule="auto"/>
        <w:rPr>
          <w:lang w:val="en-US"/>
        </w:rPr>
      </w:pPr>
      <w:r>
        <w:rPr>
          <w:rFonts w:hint="eastAsia"/>
          <w:lang w:val="en-US" w:eastAsia="zh-CN"/>
        </w:rPr>
        <w:t xml:space="preserve"> </w:t>
      </w:r>
      <w:bookmarkStart w:id="8" w:name="9818-1536542303663"/>
      <w:bookmarkEnd w:id="8"/>
      <w:r>
        <w:rPr>
          <w:rFonts w:ascii="微软雅黑" w:hAnsi="微软雅黑" w:eastAsia="微软雅黑" w:cs="微软雅黑"/>
          <w:b/>
          <w:sz w:val="22"/>
        </w:rPr>
        <w:t>明日计划：</w:t>
      </w:r>
    </w:p>
    <w:p>
      <w:pPr>
        <w:spacing w:line="240" w:lineRule="auto"/>
        <w:rPr>
          <w:rFonts w:hint="eastAsia"/>
          <w:lang w:val="en-US" w:eastAsia="zh-CN"/>
        </w:rPr>
      </w:pPr>
      <w:bookmarkStart w:id="9" w:name="8130-1536542303665"/>
      <w:bookmarkEnd w:id="9"/>
      <w:bookmarkStart w:id="10" w:name="8598-1536542303673"/>
      <w:bookmarkEnd w:id="10"/>
      <w:r>
        <w:rPr>
          <w:rFonts w:hint="eastAsia"/>
          <w:lang w:val="en-US" w:eastAsia="zh-CN"/>
        </w:rPr>
        <w:t>观望持仓等待反弹时机出货。现阶段寻找超跌，底部双叉十字星、boll中下轨股票，前期有过涨停最佳。</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09-21日关注股票：</w:t>
      </w:r>
    </w:p>
    <w:p>
      <w:pPr>
        <w:spacing w:line="240" w:lineRule="auto"/>
        <w:rPr>
          <w:rFonts w:hint="default"/>
          <w:lang w:val="en-US" w:eastAsia="zh-CN"/>
        </w:rPr>
      </w:pPr>
      <w:r>
        <w:rPr>
          <w:rFonts w:hint="eastAsia"/>
          <w:strike/>
          <w:dstrike w:val="0"/>
          <w:lang w:val="en-US" w:eastAsia="zh-CN"/>
        </w:rPr>
        <w:t>凯撒旅游</w:t>
      </w:r>
      <w:r>
        <w:rPr>
          <w:rFonts w:hint="default"/>
          <w:strike/>
          <w:dstrike w:val="0"/>
          <w:lang w:val="en-US" w:eastAsia="zh-CN"/>
        </w:rPr>
        <w:t>(+0.12%)</w:t>
      </w:r>
      <w:r>
        <w:rPr>
          <w:rFonts w:hint="eastAsia"/>
          <w:strike/>
          <w:dstrike w:val="0"/>
          <w:lang w:val="en-US" w:eastAsia="zh-CN"/>
        </w:rPr>
        <w:t>、腾邦国际</w:t>
      </w:r>
      <w:r>
        <w:rPr>
          <w:rFonts w:hint="default"/>
          <w:strike/>
          <w:dstrike w:val="0"/>
          <w:lang w:val="en-US" w:eastAsia="zh-CN"/>
        </w:rPr>
        <w:t>(-0.17%)</w:t>
      </w:r>
      <w:r>
        <w:rPr>
          <w:rFonts w:hint="eastAsia"/>
          <w:strike/>
          <w:dstrike w:val="0"/>
          <w:lang w:val="en-US" w:eastAsia="zh-CN"/>
        </w:rPr>
        <w:t>、中青旅</w:t>
      </w:r>
      <w:r>
        <w:rPr>
          <w:rFonts w:hint="default"/>
          <w:strike/>
          <w:dstrike w:val="0"/>
          <w:lang w:val="en-US" w:eastAsia="zh-CN"/>
        </w:rPr>
        <w:t>(+1.35%)</w:t>
      </w:r>
      <w:r>
        <w:rPr>
          <w:rFonts w:hint="eastAsia"/>
          <w:lang w:val="en-US" w:eastAsia="zh-CN"/>
        </w:rPr>
        <w:t>、 青松股份</w:t>
      </w:r>
      <w:r>
        <w:rPr>
          <w:rFonts w:hint="default"/>
          <w:lang w:val="en-US" w:eastAsia="zh-CN"/>
        </w:rPr>
        <w:t>(+2.03%)</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09-25日关注股票</w:t>
      </w:r>
      <w:r>
        <w:rPr>
          <w:rFonts w:hint="eastAsia"/>
          <w:lang w:val="en-US" w:eastAsia="zh-CN"/>
        </w:rPr>
        <w:br w:type="textWrapping"/>
      </w:r>
      <w:r>
        <w:rPr>
          <w:rFonts w:hint="eastAsia"/>
          <w:strike/>
          <w:dstrike w:val="0"/>
          <w:lang w:val="en-US" w:eastAsia="zh-CN"/>
        </w:rPr>
        <w:t>安井食品（</w:t>
      </w:r>
      <w:r>
        <w:rPr>
          <w:rFonts w:hint="default"/>
          <w:strike/>
          <w:dstrike w:val="0"/>
          <w:lang w:val="en-US" w:eastAsia="zh-CN"/>
        </w:rPr>
        <w:t>-0.45</w:t>
      </w:r>
      <w:r>
        <w:rPr>
          <w:rFonts w:hint="eastAsia"/>
          <w:strike/>
          <w:dstrike w:val="0"/>
          <w:lang w:val="en-US" w:eastAsia="zh-CN"/>
        </w:rPr>
        <w:t>%）</w:t>
      </w:r>
      <w:r>
        <w:rPr>
          <w:rFonts w:hint="eastAsia"/>
          <w:lang w:val="en-US" w:eastAsia="zh-CN"/>
        </w:rPr>
        <w:t>、</w:t>
      </w:r>
      <w:r>
        <w:rPr>
          <w:rFonts w:hint="eastAsia"/>
          <w:color w:val="FF0000"/>
          <w:lang w:val="en-US" w:eastAsia="zh-CN"/>
        </w:rPr>
        <w:t>神马股份</w:t>
      </w:r>
      <w:r>
        <w:rPr>
          <w:rFonts w:hint="eastAsia"/>
          <w:lang w:val="en-US" w:eastAsia="zh-CN"/>
        </w:rPr>
        <w:t>（+</w:t>
      </w:r>
      <w:r>
        <w:rPr>
          <w:rFonts w:hint="default"/>
          <w:lang w:val="en-US" w:eastAsia="zh-CN"/>
        </w:rPr>
        <w:t>1.96</w:t>
      </w:r>
      <w:r>
        <w:rPr>
          <w:rFonts w:hint="eastAsia"/>
          <w:lang w:val="en-US" w:eastAsia="zh-CN"/>
        </w:rPr>
        <w:t>%）</w:t>
      </w:r>
    </w:p>
    <w:p>
      <w:pPr>
        <w:spacing w:line="240" w:lineRule="auto"/>
        <w:rPr>
          <w:rFonts w:hint="eastAsia"/>
          <w:lang w:val="en-US" w:eastAsia="zh-CN"/>
        </w:rPr>
      </w:pPr>
    </w:p>
    <w:p>
      <w:pPr>
        <w:spacing w:line="240" w:lineRule="auto"/>
        <w:rPr>
          <w:rFonts w:hint="eastAsia"/>
          <w:lang w:val="en-US" w:eastAsia="zh-CN"/>
        </w:rPr>
      </w:pPr>
      <w:r>
        <w:rPr>
          <w:rFonts w:hint="default"/>
          <w:lang w:val="en-US" w:eastAsia="zh-CN"/>
        </w:rPr>
        <w:t>09-26</w:t>
      </w:r>
      <w:r>
        <w:rPr>
          <w:rFonts w:hint="eastAsia"/>
          <w:lang w:val="en-US" w:eastAsia="zh-CN"/>
        </w:rPr>
        <w:t>日关注股票</w:t>
      </w:r>
    </w:p>
    <w:p>
      <w:pPr>
        <w:spacing w:line="240" w:lineRule="auto"/>
        <w:rPr>
          <w:rFonts w:hint="default"/>
          <w:lang w:val="en-US" w:eastAsia="zh-CN"/>
        </w:rPr>
      </w:pPr>
      <w:r>
        <w:rPr>
          <w:rFonts w:hint="eastAsia"/>
          <w:lang w:val="en-US" w:eastAsia="zh-CN"/>
        </w:rPr>
        <w:t>恒顺醋业（</w:t>
      </w:r>
      <w:r>
        <w:rPr>
          <w:rFonts w:hint="default"/>
          <w:lang w:val="en-US" w:eastAsia="zh-CN"/>
        </w:rPr>
        <w:t>+0.35</w:t>
      </w:r>
      <w:r>
        <w:rPr>
          <w:rFonts w:hint="eastAsia"/>
          <w:lang w:val="en-US" w:eastAsia="zh-CN"/>
        </w:rPr>
        <w:t>%）、</w:t>
      </w:r>
      <w:r>
        <w:rPr>
          <w:rFonts w:hint="eastAsia"/>
          <w:color w:val="FF0000"/>
          <w:lang w:val="en-US" w:eastAsia="zh-CN"/>
        </w:rPr>
        <w:t>佩蒂股份</w:t>
      </w:r>
      <w:r>
        <w:rPr>
          <w:rFonts w:hint="default"/>
          <w:lang w:val="en-US" w:eastAsia="zh-CN"/>
        </w:rPr>
        <w:t>(-0.19%)</w:t>
      </w:r>
    </w:p>
    <w:p>
      <w:pPr>
        <w:spacing w:line="240" w:lineRule="auto"/>
        <w:rPr>
          <w:rFonts w:hint="default"/>
          <w:lang w:val="en-US" w:eastAsia="zh-CN"/>
        </w:rPr>
      </w:pPr>
    </w:p>
    <w:p>
      <w:pPr>
        <w:spacing w:line="240" w:lineRule="auto"/>
        <w:rPr>
          <w:rFonts w:hint="eastAsia"/>
          <w:lang w:val="en-US" w:eastAsia="zh-CN"/>
        </w:rPr>
      </w:pPr>
      <w:r>
        <w:rPr>
          <w:rFonts w:hint="default"/>
          <w:lang w:val="en-US" w:eastAsia="zh-CN"/>
        </w:rPr>
        <w:t>09-27</w:t>
      </w:r>
      <w:r>
        <w:rPr>
          <w:rFonts w:hint="eastAsia"/>
          <w:lang w:val="en-US" w:eastAsia="zh-CN"/>
        </w:rPr>
        <w:t>日关注股票：</w:t>
      </w:r>
    </w:p>
    <w:p>
      <w:pPr>
        <w:spacing w:line="240" w:lineRule="auto"/>
        <w:rPr>
          <w:rFonts w:hint="eastAsia"/>
          <w:strike/>
          <w:dstrike w:val="0"/>
          <w:lang w:val="en-US" w:eastAsia="zh-CN"/>
        </w:rPr>
      </w:pPr>
      <w:r>
        <w:rPr>
          <w:rFonts w:hint="eastAsia"/>
          <w:strike/>
          <w:dstrike w:val="0"/>
          <w:color w:val="FF0000"/>
          <w:lang w:val="en-US" w:eastAsia="zh-CN"/>
        </w:rPr>
        <w:t>渤海轮渡</w:t>
      </w:r>
      <w:r>
        <w:rPr>
          <w:rFonts w:hint="default"/>
          <w:strike/>
          <w:dstrike w:val="0"/>
          <w:color w:val="FF0000"/>
          <w:lang w:val="en-US" w:eastAsia="zh-CN"/>
        </w:rPr>
        <w:t>(-0.22%)</w:t>
      </w:r>
      <w:r>
        <w:rPr>
          <w:rFonts w:hint="eastAsia"/>
          <w:strike/>
          <w:dstrike w:val="0"/>
          <w:lang w:val="en-US" w:eastAsia="zh-CN"/>
        </w:rPr>
        <w:t>、海峡股份</w:t>
      </w:r>
      <w:r>
        <w:rPr>
          <w:rFonts w:hint="default"/>
          <w:strike/>
          <w:dstrike w:val="0"/>
          <w:lang w:val="en-US" w:eastAsia="zh-CN"/>
        </w:rPr>
        <w:t>(+4.22%)</w:t>
      </w:r>
      <w:r>
        <w:rPr>
          <w:rFonts w:hint="eastAsia"/>
          <w:strike/>
          <w:dstrike w:val="0"/>
          <w:lang w:val="en-US" w:eastAsia="zh-CN"/>
        </w:rPr>
        <w:t>、新华传媒</w:t>
      </w:r>
      <w:r>
        <w:rPr>
          <w:rFonts w:hint="default"/>
          <w:strike/>
          <w:dstrike w:val="0"/>
          <w:lang w:val="en-US" w:eastAsia="zh-CN"/>
        </w:rPr>
        <w:t>(+2.68%)</w:t>
      </w:r>
      <w:r>
        <w:rPr>
          <w:rFonts w:hint="eastAsia"/>
          <w:strike/>
          <w:dstrike w:val="0"/>
          <w:lang w:val="en-US" w:eastAsia="zh-CN"/>
        </w:rPr>
        <w:t>、雪人股份</w:t>
      </w:r>
      <w:r>
        <w:rPr>
          <w:rFonts w:hint="default"/>
          <w:strike/>
          <w:dstrike w:val="0"/>
          <w:lang w:val="en-US" w:eastAsia="zh-CN"/>
        </w:rPr>
        <w:t>(+0.34%)</w:t>
      </w:r>
      <w:r>
        <w:rPr>
          <w:rFonts w:hint="eastAsia"/>
          <w:strike/>
          <w:dstrike w:val="0"/>
          <w:lang w:val="en-US" w:eastAsia="zh-CN"/>
        </w:rPr>
        <w:t>、</w:t>
      </w:r>
    </w:p>
    <w:p>
      <w:pPr>
        <w:spacing w:line="240" w:lineRule="auto"/>
        <w:rPr>
          <w:rFonts w:hint="eastAsia"/>
          <w:strike/>
          <w:dstrike w:val="0"/>
          <w:lang w:val="en-US" w:eastAsia="zh-CN"/>
        </w:rPr>
      </w:pPr>
      <w:r>
        <w:rPr>
          <w:rFonts w:hint="eastAsia"/>
          <w:strike/>
          <w:dstrike w:val="0"/>
          <w:lang w:val="en-US" w:eastAsia="zh-CN"/>
        </w:rPr>
        <w:t>农尚环境</w:t>
      </w:r>
      <w:r>
        <w:rPr>
          <w:rFonts w:hint="default"/>
          <w:strike/>
          <w:dstrike w:val="0"/>
          <w:lang w:val="en-US" w:eastAsia="zh-CN"/>
        </w:rPr>
        <w:t>(-2.73%)</w:t>
      </w:r>
      <w:r>
        <w:rPr>
          <w:rFonts w:hint="eastAsia"/>
          <w:strike/>
          <w:dstrike w:val="0"/>
          <w:lang w:val="en-US" w:eastAsia="zh-CN"/>
        </w:rPr>
        <w:t>、开滦股份</w:t>
      </w:r>
      <w:r>
        <w:rPr>
          <w:rFonts w:hint="default"/>
          <w:strike/>
          <w:dstrike w:val="0"/>
          <w:lang w:val="en-US" w:eastAsia="zh-CN"/>
        </w:rPr>
        <w:t>(-0.85%)</w:t>
      </w:r>
    </w:p>
    <w:p>
      <w:pPr>
        <w:spacing w:line="240" w:lineRule="auto"/>
        <w:rPr>
          <w:rFonts w:hint="eastAsia"/>
          <w:lang w:val="en-US" w:eastAsia="zh-CN"/>
        </w:rPr>
      </w:pPr>
    </w:p>
    <w:p>
      <w:pPr>
        <w:spacing w:line="240" w:lineRule="auto"/>
        <w:rPr>
          <w:rFonts w:hint="eastAsia"/>
          <w:lang w:val="en-US" w:eastAsia="zh-CN"/>
        </w:rPr>
      </w:pPr>
      <w:r>
        <w:rPr>
          <w:rFonts w:hint="default"/>
          <w:lang w:val="en-US" w:eastAsia="zh-CN"/>
        </w:rPr>
        <w:t>09-28</w:t>
      </w:r>
      <w:r>
        <w:rPr>
          <w:rFonts w:hint="eastAsia"/>
          <w:lang w:val="en-US" w:eastAsia="zh-CN"/>
        </w:rPr>
        <w:t>日关注股票：</w:t>
      </w:r>
    </w:p>
    <w:p>
      <w:pPr>
        <w:spacing w:line="240" w:lineRule="auto"/>
        <w:rPr>
          <w:rFonts w:hint="eastAsia" w:eastAsiaTheme="minorEastAsia"/>
          <w:lang w:val="en-US" w:eastAsia="zh-CN"/>
        </w:rPr>
      </w:pPr>
      <w:r>
        <w:rPr>
          <w:rFonts w:hint="eastAsia"/>
          <w:lang w:val="en-US" w:eastAsia="zh-CN"/>
        </w:rPr>
        <w:t>益丰药房、生物股份、康美药业、信维通讯</w:t>
      </w:r>
    </w:p>
    <w:p>
      <w:pPr>
        <w:spacing w:line="240" w:lineRule="auto"/>
        <w:rPr>
          <w:rFonts w:hint="eastAsia"/>
          <w:lang w:val="en-US" w:eastAsia="zh-CN"/>
        </w:rPr>
      </w:pPr>
    </w:p>
    <w:p>
      <w:pPr>
        <w:spacing w:line="240" w:lineRule="auto"/>
        <w:rPr>
          <w:lang w:val="en-US"/>
        </w:rPr>
      </w:pPr>
      <w:bookmarkStart w:id="11" w:name="6523-1536542303676"/>
      <w:bookmarkEnd w:id="11"/>
      <w:r>
        <w:rPr>
          <w:rFonts w:ascii="微软雅黑" w:hAnsi="微软雅黑" w:eastAsia="微软雅黑" w:cs="微软雅黑"/>
          <w:b/>
          <w:sz w:val="22"/>
        </w:rPr>
        <w:t>交易箴言：</w:t>
      </w:r>
    </w:p>
    <w:p>
      <w:pPr>
        <w:spacing w:line="240" w:lineRule="auto"/>
        <w:rPr>
          <w:rFonts w:hint="eastAsia" w:eastAsiaTheme="minorEastAsia"/>
          <w:lang w:val="en-US" w:eastAsia="zh-CN"/>
        </w:rPr>
      </w:pPr>
      <w:bookmarkStart w:id="12" w:name="8313-1536542303682"/>
      <w:bookmarkEnd w:id="12"/>
      <w:bookmarkStart w:id="13" w:name="9928-1536542303678"/>
      <w:bookmarkEnd w:id="13"/>
      <w:r>
        <w:rPr>
          <w:rFonts w:hint="eastAsia"/>
          <w:lang w:val="en-US" w:eastAsia="zh-CN"/>
        </w:rPr>
        <w:t>不断地吸取经验教训，最终做到毫无困难地执行，我们只是需要将自己变成一个熟练的操作员、熟练工而已。</w:t>
      </w: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iconfont">
    <w:altName w:val="Segoe Print"/>
    <w:panose1 w:val="00000000000000000000"/>
    <w:charset w:val="00"/>
    <w:family w:val="auto"/>
    <w:pitch w:val="default"/>
    <w:sig w:usb0="00000000" w:usb1="00000000" w:usb2="00000000" w:usb3="00000000" w:csb0="00000000" w:csb1="00000000"/>
  </w:font>
  <w:font w:name="iconfontYCJ">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D4197"/>
    <w:rsid w:val="006764BA"/>
    <w:rsid w:val="00901FB1"/>
    <w:rsid w:val="01056385"/>
    <w:rsid w:val="01647B7E"/>
    <w:rsid w:val="02840E6B"/>
    <w:rsid w:val="0293307A"/>
    <w:rsid w:val="029B43B0"/>
    <w:rsid w:val="03217E12"/>
    <w:rsid w:val="03D77D11"/>
    <w:rsid w:val="03DA5A87"/>
    <w:rsid w:val="04220426"/>
    <w:rsid w:val="04A641E4"/>
    <w:rsid w:val="04CE0549"/>
    <w:rsid w:val="051801EF"/>
    <w:rsid w:val="05224B2F"/>
    <w:rsid w:val="0563041F"/>
    <w:rsid w:val="058E3BE7"/>
    <w:rsid w:val="059F2277"/>
    <w:rsid w:val="05DB0C89"/>
    <w:rsid w:val="05F42636"/>
    <w:rsid w:val="062D1854"/>
    <w:rsid w:val="062F1F01"/>
    <w:rsid w:val="066107E1"/>
    <w:rsid w:val="066C601E"/>
    <w:rsid w:val="067A6AFF"/>
    <w:rsid w:val="06C47C16"/>
    <w:rsid w:val="06D30ADE"/>
    <w:rsid w:val="070A6F35"/>
    <w:rsid w:val="078270AF"/>
    <w:rsid w:val="082D6981"/>
    <w:rsid w:val="084322AE"/>
    <w:rsid w:val="08447F53"/>
    <w:rsid w:val="084721DB"/>
    <w:rsid w:val="084C0D07"/>
    <w:rsid w:val="084F6707"/>
    <w:rsid w:val="085E77E3"/>
    <w:rsid w:val="092D0512"/>
    <w:rsid w:val="093670EF"/>
    <w:rsid w:val="09740E46"/>
    <w:rsid w:val="09C162DD"/>
    <w:rsid w:val="09C3792A"/>
    <w:rsid w:val="09D47958"/>
    <w:rsid w:val="0A400DBB"/>
    <w:rsid w:val="0A647BE1"/>
    <w:rsid w:val="0A8F079E"/>
    <w:rsid w:val="0B0E0B30"/>
    <w:rsid w:val="0B264614"/>
    <w:rsid w:val="0B5F4434"/>
    <w:rsid w:val="0BA85F8D"/>
    <w:rsid w:val="0C1A48EA"/>
    <w:rsid w:val="0C212C19"/>
    <w:rsid w:val="0C2D340E"/>
    <w:rsid w:val="0C3F4D9B"/>
    <w:rsid w:val="0C6E045E"/>
    <w:rsid w:val="0CAA6A0A"/>
    <w:rsid w:val="0CE272BE"/>
    <w:rsid w:val="0D4C6DF5"/>
    <w:rsid w:val="0D5A65C9"/>
    <w:rsid w:val="0D5E2687"/>
    <w:rsid w:val="0D7E4FD5"/>
    <w:rsid w:val="0DE62585"/>
    <w:rsid w:val="0E6924DC"/>
    <w:rsid w:val="0EC71C3E"/>
    <w:rsid w:val="0EDE708A"/>
    <w:rsid w:val="0F5A3C27"/>
    <w:rsid w:val="0F9718D9"/>
    <w:rsid w:val="0FE75D85"/>
    <w:rsid w:val="0FEC709E"/>
    <w:rsid w:val="100B14A3"/>
    <w:rsid w:val="10214A7C"/>
    <w:rsid w:val="10603BF4"/>
    <w:rsid w:val="106415C5"/>
    <w:rsid w:val="10766EF7"/>
    <w:rsid w:val="10771EFF"/>
    <w:rsid w:val="107A0C96"/>
    <w:rsid w:val="108E1355"/>
    <w:rsid w:val="10F71086"/>
    <w:rsid w:val="110F72C1"/>
    <w:rsid w:val="114C1096"/>
    <w:rsid w:val="115724B6"/>
    <w:rsid w:val="11D86036"/>
    <w:rsid w:val="125C533A"/>
    <w:rsid w:val="129F0628"/>
    <w:rsid w:val="12A42AB2"/>
    <w:rsid w:val="13155065"/>
    <w:rsid w:val="13430B4B"/>
    <w:rsid w:val="136F1A34"/>
    <w:rsid w:val="138B4200"/>
    <w:rsid w:val="13CA5C4D"/>
    <w:rsid w:val="13EE15FA"/>
    <w:rsid w:val="14244DD5"/>
    <w:rsid w:val="14EA5225"/>
    <w:rsid w:val="15120F09"/>
    <w:rsid w:val="15270E26"/>
    <w:rsid w:val="15325154"/>
    <w:rsid w:val="157C53E9"/>
    <w:rsid w:val="157F1CD1"/>
    <w:rsid w:val="15F10798"/>
    <w:rsid w:val="15F51D1C"/>
    <w:rsid w:val="160659D5"/>
    <w:rsid w:val="163E0050"/>
    <w:rsid w:val="1640732D"/>
    <w:rsid w:val="16430633"/>
    <w:rsid w:val="167B04FF"/>
    <w:rsid w:val="16BF0588"/>
    <w:rsid w:val="16C64BFD"/>
    <w:rsid w:val="16D84322"/>
    <w:rsid w:val="17007DC5"/>
    <w:rsid w:val="17186B97"/>
    <w:rsid w:val="171F7A92"/>
    <w:rsid w:val="174E190C"/>
    <w:rsid w:val="17816124"/>
    <w:rsid w:val="17C32C1C"/>
    <w:rsid w:val="17C42329"/>
    <w:rsid w:val="1824019C"/>
    <w:rsid w:val="1879447F"/>
    <w:rsid w:val="18A422C2"/>
    <w:rsid w:val="18B51EC3"/>
    <w:rsid w:val="192478B7"/>
    <w:rsid w:val="19552F51"/>
    <w:rsid w:val="19DC4D71"/>
    <w:rsid w:val="1A6B657D"/>
    <w:rsid w:val="1ABA7984"/>
    <w:rsid w:val="1ACB3375"/>
    <w:rsid w:val="1AD9601A"/>
    <w:rsid w:val="1B4367F4"/>
    <w:rsid w:val="1B747074"/>
    <w:rsid w:val="1B9149EE"/>
    <w:rsid w:val="1BD2095A"/>
    <w:rsid w:val="1C036B4B"/>
    <w:rsid w:val="1C0C4EF8"/>
    <w:rsid w:val="1C104715"/>
    <w:rsid w:val="1C504041"/>
    <w:rsid w:val="1CB0205B"/>
    <w:rsid w:val="1D1046F8"/>
    <w:rsid w:val="1D88197B"/>
    <w:rsid w:val="1D9C1A16"/>
    <w:rsid w:val="1DD60858"/>
    <w:rsid w:val="1DE368CE"/>
    <w:rsid w:val="1E716A79"/>
    <w:rsid w:val="1EAC0280"/>
    <w:rsid w:val="1F0E46A0"/>
    <w:rsid w:val="1FD239CE"/>
    <w:rsid w:val="2017413E"/>
    <w:rsid w:val="202F2459"/>
    <w:rsid w:val="203568E0"/>
    <w:rsid w:val="20BF12E3"/>
    <w:rsid w:val="211018D5"/>
    <w:rsid w:val="211853CD"/>
    <w:rsid w:val="215C5CA2"/>
    <w:rsid w:val="21710A68"/>
    <w:rsid w:val="2184486A"/>
    <w:rsid w:val="21980957"/>
    <w:rsid w:val="219D3E29"/>
    <w:rsid w:val="21BA4D5A"/>
    <w:rsid w:val="21C61DDE"/>
    <w:rsid w:val="21F9403C"/>
    <w:rsid w:val="221F3F25"/>
    <w:rsid w:val="22333AA1"/>
    <w:rsid w:val="22D05A47"/>
    <w:rsid w:val="22EB6D0C"/>
    <w:rsid w:val="23887625"/>
    <w:rsid w:val="23D55828"/>
    <w:rsid w:val="24134497"/>
    <w:rsid w:val="241C417A"/>
    <w:rsid w:val="24680AE8"/>
    <w:rsid w:val="249433B6"/>
    <w:rsid w:val="24944D34"/>
    <w:rsid w:val="24D421CB"/>
    <w:rsid w:val="24D4787D"/>
    <w:rsid w:val="24DE5BF2"/>
    <w:rsid w:val="24EE5C15"/>
    <w:rsid w:val="250235F1"/>
    <w:rsid w:val="25590CC6"/>
    <w:rsid w:val="257229A7"/>
    <w:rsid w:val="25E41222"/>
    <w:rsid w:val="26745E1B"/>
    <w:rsid w:val="267C0312"/>
    <w:rsid w:val="26D85EDD"/>
    <w:rsid w:val="2721255F"/>
    <w:rsid w:val="27E92A96"/>
    <w:rsid w:val="28022CC6"/>
    <w:rsid w:val="28411F49"/>
    <w:rsid w:val="284E2E6C"/>
    <w:rsid w:val="28DA7E14"/>
    <w:rsid w:val="28DC7F94"/>
    <w:rsid w:val="29032593"/>
    <w:rsid w:val="291B5B6D"/>
    <w:rsid w:val="29474E9E"/>
    <w:rsid w:val="29901482"/>
    <w:rsid w:val="2A7B42A5"/>
    <w:rsid w:val="2AAF3433"/>
    <w:rsid w:val="2B021229"/>
    <w:rsid w:val="2B3137EA"/>
    <w:rsid w:val="2B715FF9"/>
    <w:rsid w:val="2B8B0140"/>
    <w:rsid w:val="2B9C3E2A"/>
    <w:rsid w:val="2BB83060"/>
    <w:rsid w:val="2BE454D5"/>
    <w:rsid w:val="2BE546C3"/>
    <w:rsid w:val="2BE7784D"/>
    <w:rsid w:val="2C1A5864"/>
    <w:rsid w:val="2C36468A"/>
    <w:rsid w:val="2C380A4C"/>
    <w:rsid w:val="2C517FCF"/>
    <w:rsid w:val="2C7E3F52"/>
    <w:rsid w:val="2CD9470B"/>
    <w:rsid w:val="2CF63F14"/>
    <w:rsid w:val="2D0C0D09"/>
    <w:rsid w:val="2D3904C5"/>
    <w:rsid w:val="2D430572"/>
    <w:rsid w:val="2D5E3ABF"/>
    <w:rsid w:val="2D9E4763"/>
    <w:rsid w:val="2DA45761"/>
    <w:rsid w:val="2E251C9D"/>
    <w:rsid w:val="2E5D7A1B"/>
    <w:rsid w:val="2E6922D6"/>
    <w:rsid w:val="2E7D14DA"/>
    <w:rsid w:val="2EA15342"/>
    <w:rsid w:val="2EA67169"/>
    <w:rsid w:val="2EB84CFE"/>
    <w:rsid w:val="2ED912C5"/>
    <w:rsid w:val="2EFA7779"/>
    <w:rsid w:val="2F6C637F"/>
    <w:rsid w:val="2F6E3251"/>
    <w:rsid w:val="2FC1718F"/>
    <w:rsid w:val="2FD53C66"/>
    <w:rsid w:val="2FD57AE6"/>
    <w:rsid w:val="302A76D8"/>
    <w:rsid w:val="308927E7"/>
    <w:rsid w:val="30D22C4D"/>
    <w:rsid w:val="30E8604C"/>
    <w:rsid w:val="31832045"/>
    <w:rsid w:val="31BC324A"/>
    <w:rsid w:val="31DD1A19"/>
    <w:rsid w:val="31E32CEF"/>
    <w:rsid w:val="322319DA"/>
    <w:rsid w:val="32A068E9"/>
    <w:rsid w:val="32A23292"/>
    <w:rsid w:val="32DC06BB"/>
    <w:rsid w:val="34E038B6"/>
    <w:rsid w:val="351241C6"/>
    <w:rsid w:val="351F02B8"/>
    <w:rsid w:val="35480EDF"/>
    <w:rsid w:val="35687EBB"/>
    <w:rsid w:val="35784769"/>
    <w:rsid w:val="358D7A7B"/>
    <w:rsid w:val="359A3107"/>
    <w:rsid w:val="36974B8F"/>
    <w:rsid w:val="369B37BE"/>
    <w:rsid w:val="36B409CC"/>
    <w:rsid w:val="36CC20D7"/>
    <w:rsid w:val="36DC2A3B"/>
    <w:rsid w:val="36DF2AB3"/>
    <w:rsid w:val="36E07DEB"/>
    <w:rsid w:val="36EA511D"/>
    <w:rsid w:val="36F44D99"/>
    <w:rsid w:val="36F70883"/>
    <w:rsid w:val="37370121"/>
    <w:rsid w:val="37866BA0"/>
    <w:rsid w:val="37D65746"/>
    <w:rsid w:val="382E3032"/>
    <w:rsid w:val="386C42FF"/>
    <w:rsid w:val="387306D3"/>
    <w:rsid w:val="38753B9D"/>
    <w:rsid w:val="389A2C3B"/>
    <w:rsid w:val="38A356B6"/>
    <w:rsid w:val="38B6134F"/>
    <w:rsid w:val="38B94A25"/>
    <w:rsid w:val="38E4492B"/>
    <w:rsid w:val="38EE644D"/>
    <w:rsid w:val="38F335E0"/>
    <w:rsid w:val="38FE3638"/>
    <w:rsid w:val="391A03B8"/>
    <w:rsid w:val="396F6F4F"/>
    <w:rsid w:val="39710EB7"/>
    <w:rsid w:val="39D049E4"/>
    <w:rsid w:val="39DD1FC0"/>
    <w:rsid w:val="39E278CB"/>
    <w:rsid w:val="3A2B5335"/>
    <w:rsid w:val="3A3274F4"/>
    <w:rsid w:val="3A336219"/>
    <w:rsid w:val="3A4F3E22"/>
    <w:rsid w:val="3AF87CF3"/>
    <w:rsid w:val="3B5318A0"/>
    <w:rsid w:val="3BB57FF7"/>
    <w:rsid w:val="3BF674FE"/>
    <w:rsid w:val="3C411F3D"/>
    <w:rsid w:val="3C461A3C"/>
    <w:rsid w:val="3C54676F"/>
    <w:rsid w:val="3C611C77"/>
    <w:rsid w:val="3C8015C6"/>
    <w:rsid w:val="3CAC1A05"/>
    <w:rsid w:val="3CBF2113"/>
    <w:rsid w:val="3CC5059F"/>
    <w:rsid w:val="3CE109FF"/>
    <w:rsid w:val="3CF6320B"/>
    <w:rsid w:val="3D4D2885"/>
    <w:rsid w:val="3D8524B9"/>
    <w:rsid w:val="3DCC6E48"/>
    <w:rsid w:val="3EBD4C84"/>
    <w:rsid w:val="3EBD5746"/>
    <w:rsid w:val="3F2E1884"/>
    <w:rsid w:val="3F486D14"/>
    <w:rsid w:val="3FB60A8F"/>
    <w:rsid w:val="3FD50823"/>
    <w:rsid w:val="3FE6620E"/>
    <w:rsid w:val="402D5AAC"/>
    <w:rsid w:val="40923A38"/>
    <w:rsid w:val="41251ED8"/>
    <w:rsid w:val="415E5EAB"/>
    <w:rsid w:val="417437BF"/>
    <w:rsid w:val="41C6087A"/>
    <w:rsid w:val="41E106C4"/>
    <w:rsid w:val="42464C1F"/>
    <w:rsid w:val="42647007"/>
    <w:rsid w:val="42927BEF"/>
    <w:rsid w:val="42A261A9"/>
    <w:rsid w:val="430272B9"/>
    <w:rsid w:val="43A728DB"/>
    <w:rsid w:val="43B64B82"/>
    <w:rsid w:val="43FD6BD7"/>
    <w:rsid w:val="445143F6"/>
    <w:rsid w:val="44515A1D"/>
    <w:rsid w:val="44D4142E"/>
    <w:rsid w:val="44D54043"/>
    <w:rsid w:val="459A5AE0"/>
    <w:rsid w:val="45B2417A"/>
    <w:rsid w:val="45D05C04"/>
    <w:rsid w:val="46792153"/>
    <w:rsid w:val="477C7EA2"/>
    <w:rsid w:val="479902B6"/>
    <w:rsid w:val="47DA073E"/>
    <w:rsid w:val="47E41BE3"/>
    <w:rsid w:val="47F628FA"/>
    <w:rsid w:val="486561CC"/>
    <w:rsid w:val="487333F6"/>
    <w:rsid w:val="48774DFE"/>
    <w:rsid w:val="489A1C79"/>
    <w:rsid w:val="48B03E9F"/>
    <w:rsid w:val="48E00AC5"/>
    <w:rsid w:val="4918362D"/>
    <w:rsid w:val="491A4ED9"/>
    <w:rsid w:val="49252B13"/>
    <w:rsid w:val="494708E3"/>
    <w:rsid w:val="497C0AAC"/>
    <w:rsid w:val="498216FD"/>
    <w:rsid w:val="49B84D2C"/>
    <w:rsid w:val="4A0715DF"/>
    <w:rsid w:val="4A262F2E"/>
    <w:rsid w:val="4A3F15B8"/>
    <w:rsid w:val="4A8169BE"/>
    <w:rsid w:val="4A8A3E4B"/>
    <w:rsid w:val="4A9506F7"/>
    <w:rsid w:val="4AC07187"/>
    <w:rsid w:val="4B2C56D0"/>
    <w:rsid w:val="4B2E2D9C"/>
    <w:rsid w:val="4B5D46DE"/>
    <w:rsid w:val="4BDE1EA4"/>
    <w:rsid w:val="4C272A15"/>
    <w:rsid w:val="4C2F1755"/>
    <w:rsid w:val="4C344AA1"/>
    <w:rsid w:val="4C8E5216"/>
    <w:rsid w:val="4CFF366F"/>
    <w:rsid w:val="4D3A7C59"/>
    <w:rsid w:val="4D3C2959"/>
    <w:rsid w:val="4E033A95"/>
    <w:rsid w:val="4E054997"/>
    <w:rsid w:val="4E545DE4"/>
    <w:rsid w:val="4F32218E"/>
    <w:rsid w:val="4F4E26AD"/>
    <w:rsid w:val="4FA51FC1"/>
    <w:rsid w:val="4FBA02D7"/>
    <w:rsid w:val="4FBD302C"/>
    <w:rsid w:val="4FCE2834"/>
    <w:rsid w:val="4FEE729E"/>
    <w:rsid w:val="4FF25B13"/>
    <w:rsid w:val="50111B63"/>
    <w:rsid w:val="501D1529"/>
    <w:rsid w:val="508F4E81"/>
    <w:rsid w:val="51064251"/>
    <w:rsid w:val="51296F56"/>
    <w:rsid w:val="519F60B2"/>
    <w:rsid w:val="52347744"/>
    <w:rsid w:val="52393C1D"/>
    <w:rsid w:val="527B5F26"/>
    <w:rsid w:val="529F4222"/>
    <w:rsid w:val="52A55CB3"/>
    <w:rsid w:val="52A91F2B"/>
    <w:rsid w:val="52E45DE5"/>
    <w:rsid w:val="535457FD"/>
    <w:rsid w:val="538C0DB6"/>
    <w:rsid w:val="53D109CC"/>
    <w:rsid w:val="54120CE3"/>
    <w:rsid w:val="54366104"/>
    <w:rsid w:val="54381B54"/>
    <w:rsid w:val="54533030"/>
    <w:rsid w:val="549B0BFD"/>
    <w:rsid w:val="54EC5526"/>
    <w:rsid w:val="54F713F9"/>
    <w:rsid w:val="55102B46"/>
    <w:rsid w:val="556E1E0E"/>
    <w:rsid w:val="55964F95"/>
    <w:rsid w:val="55AA20C6"/>
    <w:rsid w:val="55CD2683"/>
    <w:rsid w:val="55CE5218"/>
    <w:rsid w:val="55F52A95"/>
    <w:rsid w:val="56AD2F65"/>
    <w:rsid w:val="572E1DC4"/>
    <w:rsid w:val="57751DA1"/>
    <w:rsid w:val="57A976CF"/>
    <w:rsid w:val="57D90E3A"/>
    <w:rsid w:val="58051E72"/>
    <w:rsid w:val="58535237"/>
    <w:rsid w:val="587D70BF"/>
    <w:rsid w:val="58845475"/>
    <w:rsid w:val="589E3082"/>
    <w:rsid w:val="589E51D8"/>
    <w:rsid w:val="58B26326"/>
    <w:rsid w:val="592E6E44"/>
    <w:rsid w:val="59427279"/>
    <w:rsid w:val="59443F0F"/>
    <w:rsid w:val="594606B0"/>
    <w:rsid w:val="595A4F46"/>
    <w:rsid w:val="597804E9"/>
    <w:rsid w:val="59B355A8"/>
    <w:rsid w:val="59DC5C31"/>
    <w:rsid w:val="5A41796E"/>
    <w:rsid w:val="5AC83137"/>
    <w:rsid w:val="5AED4CE2"/>
    <w:rsid w:val="5AFE4B41"/>
    <w:rsid w:val="5AFE6C9F"/>
    <w:rsid w:val="5B61273E"/>
    <w:rsid w:val="5B901EF3"/>
    <w:rsid w:val="5BD0210D"/>
    <w:rsid w:val="5C256739"/>
    <w:rsid w:val="5C2C016F"/>
    <w:rsid w:val="5C384E29"/>
    <w:rsid w:val="5C3B42D6"/>
    <w:rsid w:val="5C4B7D70"/>
    <w:rsid w:val="5C78176A"/>
    <w:rsid w:val="5C89301D"/>
    <w:rsid w:val="5C941E9A"/>
    <w:rsid w:val="5CD45A79"/>
    <w:rsid w:val="5CFD2BAF"/>
    <w:rsid w:val="5D372D3D"/>
    <w:rsid w:val="5DA97C2A"/>
    <w:rsid w:val="5E0619EE"/>
    <w:rsid w:val="5E18530F"/>
    <w:rsid w:val="5E83792B"/>
    <w:rsid w:val="5ECD13E0"/>
    <w:rsid w:val="5EDA5E4B"/>
    <w:rsid w:val="5EE24148"/>
    <w:rsid w:val="5EEF2C72"/>
    <w:rsid w:val="5EFB6652"/>
    <w:rsid w:val="5F113FE6"/>
    <w:rsid w:val="5F1F04B3"/>
    <w:rsid w:val="5F54205E"/>
    <w:rsid w:val="5F7F0FCC"/>
    <w:rsid w:val="5F864151"/>
    <w:rsid w:val="5FA16171"/>
    <w:rsid w:val="5FDC54B2"/>
    <w:rsid w:val="60290442"/>
    <w:rsid w:val="60397D0D"/>
    <w:rsid w:val="603E4C08"/>
    <w:rsid w:val="607B0F50"/>
    <w:rsid w:val="60866833"/>
    <w:rsid w:val="60A564FB"/>
    <w:rsid w:val="60A772D5"/>
    <w:rsid w:val="61325CA3"/>
    <w:rsid w:val="61B31EEA"/>
    <w:rsid w:val="622B4947"/>
    <w:rsid w:val="62642FCC"/>
    <w:rsid w:val="629321D7"/>
    <w:rsid w:val="62972F0F"/>
    <w:rsid w:val="62DA1607"/>
    <w:rsid w:val="630579C8"/>
    <w:rsid w:val="6309664E"/>
    <w:rsid w:val="632A0132"/>
    <w:rsid w:val="632B7E9C"/>
    <w:rsid w:val="633817A6"/>
    <w:rsid w:val="63520053"/>
    <w:rsid w:val="63DA744D"/>
    <w:rsid w:val="64022E8C"/>
    <w:rsid w:val="640E4306"/>
    <w:rsid w:val="64357186"/>
    <w:rsid w:val="64401FB1"/>
    <w:rsid w:val="644244C6"/>
    <w:rsid w:val="645455F2"/>
    <w:rsid w:val="64E57549"/>
    <w:rsid w:val="651057F3"/>
    <w:rsid w:val="65466BDA"/>
    <w:rsid w:val="65753AF2"/>
    <w:rsid w:val="65E21C88"/>
    <w:rsid w:val="661E0E6E"/>
    <w:rsid w:val="6643305A"/>
    <w:rsid w:val="66817794"/>
    <w:rsid w:val="672A14EE"/>
    <w:rsid w:val="672A527A"/>
    <w:rsid w:val="674468F2"/>
    <w:rsid w:val="67525CE9"/>
    <w:rsid w:val="67694B6F"/>
    <w:rsid w:val="67D46CBE"/>
    <w:rsid w:val="68273E23"/>
    <w:rsid w:val="688F28C6"/>
    <w:rsid w:val="68931A71"/>
    <w:rsid w:val="690E470A"/>
    <w:rsid w:val="69455631"/>
    <w:rsid w:val="69B20BA4"/>
    <w:rsid w:val="69B338D7"/>
    <w:rsid w:val="69E61A81"/>
    <w:rsid w:val="6A0B4A62"/>
    <w:rsid w:val="6A272C44"/>
    <w:rsid w:val="6A4A53D9"/>
    <w:rsid w:val="6A584D82"/>
    <w:rsid w:val="6AC53309"/>
    <w:rsid w:val="6B82310F"/>
    <w:rsid w:val="6BA94B6C"/>
    <w:rsid w:val="6BC9393A"/>
    <w:rsid w:val="6BC965DC"/>
    <w:rsid w:val="6BD05FE0"/>
    <w:rsid w:val="6C15278F"/>
    <w:rsid w:val="6C192C77"/>
    <w:rsid w:val="6C680B1C"/>
    <w:rsid w:val="6C6830AB"/>
    <w:rsid w:val="6CAA2244"/>
    <w:rsid w:val="6D176C50"/>
    <w:rsid w:val="6D6B1A32"/>
    <w:rsid w:val="6D830976"/>
    <w:rsid w:val="6D9C47D4"/>
    <w:rsid w:val="6DB3004E"/>
    <w:rsid w:val="6DF1004A"/>
    <w:rsid w:val="6DF76419"/>
    <w:rsid w:val="6E5B527C"/>
    <w:rsid w:val="6E865950"/>
    <w:rsid w:val="6E921DF4"/>
    <w:rsid w:val="6F74384E"/>
    <w:rsid w:val="6F7A1086"/>
    <w:rsid w:val="6F7D30C6"/>
    <w:rsid w:val="6F855C15"/>
    <w:rsid w:val="6FCD6A80"/>
    <w:rsid w:val="6FDF228C"/>
    <w:rsid w:val="701048BF"/>
    <w:rsid w:val="70A44053"/>
    <w:rsid w:val="70B23DA1"/>
    <w:rsid w:val="7198751A"/>
    <w:rsid w:val="71C56B06"/>
    <w:rsid w:val="71E276CC"/>
    <w:rsid w:val="729E0354"/>
    <w:rsid w:val="72F05E81"/>
    <w:rsid w:val="73150265"/>
    <w:rsid w:val="733D0A3C"/>
    <w:rsid w:val="73E867D3"/>
    <w:rsid w:val="74281E02"/>
    <w:rsid w:val="7453209B"/>
    <w:rsid w:val="74BE0F07"/>
    <w:rsid w:val="74C9150D"/>
    <w:rsid w:val="74D11297"/>
    <w:rsid w:val="755B23F0"/>
    <w:rsid w:val="756441E0"/>
    <w:rsid w:val="759D43E0"/>
    <w:rsid w:val="75E354AB"/>
    <w:rsid w:val="75FD0190"/>
    <w:rsid w:val="76001D27"/>
    <w:rsid w:val="76270C98"/>
    <w:rsid w:val="7659795A"/>
    <w:rsid w:val="76635F77"/>
    <w:rsid w:val="76912DA9"/>
    <w:rsid w:val="76BE2084"/>
    <w:rsid w:val="76FA32E0"/>
    <w:rsid w:val="77B40DE8"/>
    <w:rsid w:val="787B4D40"/>
    <w:rsid w:val="78B80928"/>
    <w:rsid w:val="78EB6EB1"/>
    <w:rsid w:val="791B599B"/>
    <w:rsid w:val="79374CE7"/>
    <w:rsid w:val="794319BF"/>
    <w:rsid w:val="799035A9"/>
    <w:rsid w:val="79B81A90"/>
    <w:rsid w:val="79E6546C"/>
    <w:rsid w:val="79FD14B8"/>
    <w:rsid w:val="7A096A08"/>
    <w:rsid w:val="7A2A11C4"/>
    <w:rsid w:val="7A2B2F1C"/>
    <w:rsid w:val="7A3A0843"/>
    <w:rsid w:val="7A3E6A0A"/>
    <w:rsid w:val="7A4447A6"/>
    <w:rsid w:val="7A6A7C3A"/>
    <w:rsid w:val="7ABF5A43"/>
    <w:rsid w:val="7B151CB1"/>
    <w:rsid w:val="7B343384"/>
    <w:rsid w:val="7B557A15"/>
    <w:rsid w:val="7BA13BF2"/>
    <w:rsid w:val="7BFC0376"/>
    <w:rsid w:val="7C0773BC"/>
    <w:rsid w:val="7C1823A4"/>
    <w:rsid w:val="7C1E37BA"/>
    <w:rsid w:val="7C3634B1"/>
    <w:rsid w:val="7C920129"/>
    <w:rsid w:val="7CB876F9"/>
    <w:rsid w:val="7D576356"/>
    <w:rsid w:val="7D8E5DA9"/>
    <w:rsid w:val="7D980DF8"/>
    <w:rsid w:val="7DCC6265"/>
    <w:rsid w:val="7ED1289E"/>
    <w:rsid w:val="7F3F1296"/>
    <w:rsid w:val="7F581501"/>
    <w:rsid w:val="7FE8522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3">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FollowedHyperlink"/>
    <w:basedOn w:val="3"/>
    <w:qFormat/>
    <w:uiPriority w:val="0"/>
    <w:rPr>
      <w:color w:val="2C50A9"/>
      <w:u w:val="none"/>
    </w:rPr>
  </w:style>
  <w:style w:type="character" w:styleId="6">
    <w:name w:val="Emphasis"/>
    <w:basedOn w:val="3"/>
    <w:qFormat/>
    <w:uiPriority w:val="0"/>
  </w:style>
  <w:style w:type="character" w:styleId="7">
    <w:name w:val="HTML Definition"/>
    <w:basedOn w:val="3"/>
    <w:qFormat/>
    <w:uiPriority w:val="0"/>
    <w:rPr>
      <w:i/>
    </w:rPr>
  </w:style>
  <w:style w:type="character" w:styleId="8">
    <w:name w:val="Hyperlink"/>
    <w:basedOn w:val="3"/>
    <w:qFormat/>
    <w:uiPriority w:val="0"/>
    <w:rPr>
      <w:color w:val="2C50A9"/>
      <w:u w:val="none"/>
    </w:rPr>
  </w:style>
  <w:style w:type="character" w:styleId="9">
    <w:name w:val="HTML Code"/>
    <w:basedOn w:val="3"/>
    <w:qFormat/>
    <w:uiPriority w:val="0"/>
    <w:rPr>
      <w:rFonts w:ascii="monospace" w:hAnsi="monospace" w:eastAsia="monospace" w:cs="monospace"/>
      <w:color w:val="C7254E"/>
      <w:sz w:val="21"/>
      <w:szCs w:val="21"/>
      <w:shd w:val="clear" w:fill="F9F2F4"/>
    </w:rPr>
  </w:style>
  <w:style w:type="character" w:styleId="10">
    <w:name w:val="HTML Keyboard"/>
    <w:basedOn w:val="3"/>
    <w:qFormat/>
    <w:uiPriority w:val="0"/>
    <w:rPr>
      <w:rFonts w:hint="default" w:ascii="monospace" w:hAnsi="monospace" w:eastAsia="monospace" w:cs="monospace"/>
      <w:b/>
      <w:color w:val="D22222"/>
      <w:sz w:val="21"/>
      <w:szCs w:val="21"/>
    </w:rPr>
  </w:style>
  <w:style w:type="character" w:styleId="11">
    <w:name w:val="HTML Sample"/>
    <w:basedOn w:val="3"/>
    <w:qFormat/>
    <w:uiPriority w:val="0"/>
    <w:rPr>
      <w:rFonts w:hint="default" w:ascii="monospace" w:hAnsi="monospace" w:eastAsia="monospace" w:cs="monospace"/>
      <w:sz w:val="21"/>
      <w:szCs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Office_10.1.0.7400_F1E327BC-269C-435d-A152-05C5408002CA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2018-09-10T01:19:00Z</dcterms:created>
  <dc:creator>Apache POI</dc:creator>
  <cp:lastModifiedBy>程序猿PMP</cp:lastModifiedBy>
  <dcterms:modified xsi:type="dcterms:W3CDTF">2018-09-28T14:31:59Z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