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07" w:hRule="atLeast"/>
        </w:trPr>
        <w:tc>
          <w:tcPr>
            <w:tcW w:w="118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空仓</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2235" w:type="dxa"/>
            <w:vAlign w:val="top"/>
          </w:tcPr>
          <w:p>
            <w:pPr>
              <w:keepNext w:val="0"/>
              <w:keepLines w:val="0"/>
              <w:widowControl/>
              <w:suppressLineNumbers w:val="0"/>
              <w:jc w:val="left"/>
              <w:textAlignment w:val="top"/>
              <w:rPr>
                <w:rFonts w:hint="eastAsia" w:asciiTheme="minorEastAsia" w:hAnsiTheme="minorEastAsia" w:eastAsiaTheme="minorEastAsia" w:cstheme="minorEastAsia"/>
                <w:sz w:val="21"/>
                <w:szCs w:val="21"/>
                <w:lang w:val="en-US" w:eastAsia="zh-CN"/>
              </w:rPr>
            </w:pP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c>
          <w:tcPr>
            <w:tcW w:w="2235" w:type="dxa"/>
            <w:vAlign w:val="top"/>
          </w:tcPr>
          <w:p>
            <w:pPr>
              <w:keepNext w:val="0"/>
              <w:keepLines w:val="0"/>
              <w:widowControl/>
              <w:suppressLineNumbers w:val="0"/>
              <w:jc w:val="left"/>
              <w:textAlignment w:val="top"/>
              <w:rPr>
                <w:rFonts w:hint="eastAsia" w:asciiTheme="minorEastAsia" w:hAnsiTheme="minorEastAsia" w:eastAsiaTheme="minorEastAsia" w:cstheme="minorEastAsia"/>
                <w:sz w:val="21"/>
                <w:szCs w:val="21"/>
                <w:lang w:val="en-US" w:eastAsia="zh-CN"/>
              </w:rPr>
            </w:pP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p>
        </w:tc>
      </w:tr>
    </w:tbl>
    <w:p>
      <w:pPr>
        <w:spacing w:line="240" w:lineRule="auto"/>
      </w:pPr>
      <w:bookmarkStart w:id="0" w:name="9057-1536542303601"/>
      <w:bookmarkEnd w:id="0"/>
    </w:p>
    <w:p>
      <w:pPr>
        <w:spacing w:line="240" w:lineRule="auto"/>
      </w:pPr>
      <w:bookmarkStart w:id="1" w:name="7380-1536542303605"/>
      <w:bookmarkEnd w:id="1"/>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79"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lang w:val="en-US" w:eastAsia="zh-CN"/>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rPr>
                <w:rFonts w:ascii="微软雅黑" w:hAnsi="微软雅黑" w:eastAsia="微软雅黑" w:cs="微软雅黑"/>
                <w:b/>
                <w:sz w:val="22"/>
              </w:rPr>
            </w:pPr>
          </w:p>
        </w:tc>
        <w:tc>
          <w:tcPr>
            <w:tcW w:w="1111" w:type="dxa"/>
            <w:vAlign w:val="center"/>
          </w:tcPr>
          <w:p>
            <w:pPr>
              <w:rPr>
                <w:lang w:val="en-US"/>
              </w:rPr>
            </w:pPr>
          </w:p>
        </w:tc>
        <w:tc>
          <w:tcPr>
            <w:tcW w:w="1111" w:type="dxa"/>
            <w:vAlign w:val="center"/>
          </w:tcPr>
          <w:p>
            <w:pPr>
              <w:rPr>
                <w:lang w:val="en-US"/>
              </w:rPr>
            </w:pPr>
          </w:p>
        </w:tc>
        <w:tc>
          <w:tcPr>
            <w:tcW w:w="1111" w:type="dxa"/>
            <w:vAlign w:val="center"/>
          </w:tcPr>
          <w:p>
            <w:pPr>
              <w:rPr>
                <w:lang w:val="en-US"/>
              </w:rPr>
            </w:pPr>
          </w:p>
        </w:tc>
        <w:tc>
          <w:tcPr>
            <w:tcW w:w="1110" w:type="dxa"/>
            <w:vAlign w:val="center"/>
          </w:tcPr>
          <w:p>
            <w:pPr>
              <w:rPr>
                <w:lang w:val="en-US"/>
              </w:rPr>
            </w:pPr>
          </w:p>
        </w:tc>
        <w:tc>
          <w:tcPr>
            <w:tcW w:w="1111" w:type="dxa"/>
            <w:vAlign w:val="center"/>
          </w:tcPr>
          <w:p>
            <w:pPr>
              <w:rPr>
                <w:lang w:val="en-US"/>
              </w:rPr>
            </w:pPr>
          </w:p>
        </w:tc>
        <w:tc>
          <w:tcPr>
            <w:tcW w:w="1111" w:type="dxa"/>
            <w:vAlign w:val="center"/>
          </w:tcPr>
          <w:p>
            <w:pPr>
              <w:rPr>
                <w:lang w:val="en-US"/>
              </w:rPr>
            </w:pPr>
          </w:p>
        </w:tc>
        <w:tc>
          <w:tcPr>
            <w:tcW w:w="1044" w:type="dxa"/>
            <w:vAlign w:val="center"/>
          </w:tcPr>
          <w:p>
            <w:pPr>
              <w:rPr>
                <w:lang w:val="en-US"/>
              </w:rPr>
            </w:pPr>
          </w:p>
        </w:tc>
      </w:tr>
    </w:tbl>
    <w:p>
      <w:pPr>
        <w:spacing w:line="240" w:lineRule="auto"/>
        <w:rPr>
          <w:rFonts w:ascii="微软雅黑" w:hAnsi="微软雅黑" w:eastAsia="微软雅黑" w:cs="微软雅黑"/>
          <w:b/>
          <w:sz w:val="22"/>
        </w:rPr>
      </w:pPr>
      <w:bookmarkStart w:id="2" w:name="1096-1536542303639"/>
      <w:bookmarkEnd w:id="2"/>
      <w:bookmarkStart w:id="3" w:name="2151-1536542303645"/>
      <w:bookmarkEnd w:id="3"/>
      <w:bookmarkStart w:id="4" w:name="1227-1536542303637"/>
      <w:bookmarkEnd w:id="4"/>
      <w:bookmarkStart w:id="5" w:name="3677-1536542303641"/>
      <w:bookmarkEnd w:id="5"/>
      <w:bookmarkStart w:id="6" w:name="2911-1536542303635"/>
      <w:bookmarkEnd w:id="6"/>
      <w:bookmarkStart w:id="7" w:name="8416-1536542303643"/>
      <w:bookmarkEnd w:id="7"/>
      <w:r>
        <w:rPr>
          <w:rFonts w:ascii="微软雅黑" w:hAnsi="微软雅黑" w:eastAsia="微软雅黑" w:cs="微软雅黑"/>
          <w:b/>
          <w:sz w:val="22"/>
        </w:rPr>
        <w:t>今日回顾：</w:t>
      </w:r>
    </w:p>
    <w:p>
      <w:pPr>
        <w:spacing w:line="240" w:lineRule="auto"/>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b w:val="0"/>
          <w:bCs/>
          <w:sz w:val="21"/>
          <w:szCs w:val="21"/>
          <w:lang w:val="en-US" w:eastAsia="zh-CN"/>
        </w:rPr>
        <w:t xml:space="preserve"> </w:t>
      </w:r>
      <w:r>
        <w:rPr>
          <w:rFonts w:hint="eastAsia" w:asciiTheme="minorEastAsia" w:hAnsiTheme="minorEastAsia" w:cstheme="minorEastAsia"/>
          <w:sz w:val="21"/>
          <w:szCs w:val="21"/>
          <w:lang w:val="en-US" w:eastAsia="zh-CN"/>
        </w:rPr>
        <w:t>大盘：</w:t>
      </w:r>
    </w:p>
    <w:p>
      <w:pPr>
        <w:spacing w:line="240" w:lineRule="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大盘延续C浪继续下跌</w:t>
      </w:r>
    </w:p>
    <w:p>
      <w:pPr>
        <w:spacing w:line="240" w:lineRule="auto"/>
        <w:rPr>
          <w:rFonts w:hint="eastAsia" w:asciiTheme="minorEastAsia" w:hAnsiTheme="minorEastAsia" w:cstheme="minorEastAsia"/>
          <w:sz w:val="21"/>
          <w:szCs w:val="21"/>
          <w:lang w:val="en-US" w:eastAsia="zh-CN"/>
        </w:rPr>
      </w:pPr>
      <w:r>
        <w:drawing>
          <wp:inline distT="0" distB="0" distL="114300" distR="114300">
            <wp:extent cx="5266690" cy="2315210"/>
            <wp:effectExtent l="0" t="0" r="1016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315210"/>
                    </a:xfrm>
                    <a:prstGeom prst="rect">
                      <a:avLst/>
                    </a:prstGeom>
                    <a:noFill/>
                    <a:ln w="9525">
                      <a:noFill/>
                    </a:ln>
                  </pic:spPr>
                </pic:pic>
              </a:graphicData>
            </a:graphic>
          </wp:inline>
        </w:drawing>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30分钟k线5没有跌破4，表示还没走完。也可以重新画浪，C1-1,2,3,4，形成小规模反弹的B浪。</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drawing>
          <wp:inline distT="0" distB="0" distL="114300" distR="114300">
            <wp:extent cx="5271770" cy="2465070"/>
            <wp:effectExtent l="0" t="0" r="508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2465070"/>
                    </a:xfrm>
                    <a:prstGeom prst="rect">
                      <a:avLst/>
                    </a:prstGeom>
                    <a:noFill/>
                    <a:ln w="9525">
                      <a:noFill/>
                    </a:ln>
                  </pic:spPr>
                </pic:pic>
              </a:graphicData>
            </a:graphic>
          </wp:inline>
        </w:drawing>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【财经要闻】</w:t>
      </w: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募集配套资金用于补充公司流动资金的比例不应超过交易作价的25%</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证监会发布关于上市公司发行股份购买资产同时募集配套资金的相关问题与解答（2018年修订）。</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下周组织发审委委员调研企业融资 没有IPO发审会安排</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下周拟集中组织发审委委员就积极支持上市公司再融资相关事宜开展调研，没有IPO发审会安排。</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停止一周IPO的话，对资金没有太大影响，但是对信心有很大影响。</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财政部表态减税力度将扩大，增值税税率调整随时出台</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对于增值税改革的工作，目前相关部门已启动，包括税率合并以及下调等事宜都在进行测算。“此前税务机关曾找第三方机构测算税率下调后的影响，因此年内有可能随时出台政策。”</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减税力度增大，是必须的，还富于民。</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深圳斥资数百亿驰援上市公司 三大标准已筛出逾20家本地股</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深圳市政府近日出台了促进上市公司健康稳定发展的若干措施，已安排数百亿的专项资金，从债权和股权两个方面入手，构建风险共济机制，降低深圳A股上市公司股票质押风险，改善上市公司流动性。</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险资股权投资行业限制未来或取消</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新成立的银保监会正在优化结构提高直接融资的比重，修订股权投资和保险私募基金的监管政策，采用负面清单以及结合正面引导。</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墨西哥：美墨加协定不会对墨中贸易产生任何限制</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墨西哥外交部长比德加赖今日与中国外交部长王毅电话沟通时表示：最新签署的美墨加贸易协定 (USMCA)，不会在任何方面影响墨中之间的交往，也不会对墨中贸易、投资以及政治关系产生任何限制。</w:t>
      </w:r>
    </w:p>
    <w:p>
      <w:pPr>
        <w:spacing w:line="240" w:lineRule="auto"/>
        <w:rPr>
          <w:rFonts w:hint="eastAsia" w:asciiTheme="minorEastAsia" w:hAnsiTheme="minorEastAsia" w:eastAsiaTheme="minorEastAsia" w:cstheme="minorEastAsia"/>
          <w:sz w:val="21"/>
          <w:szCs w:val="21"/>
        </w:rPr>
      </w:pPr>
    </w:p>
    <w:p>
      <w:pPr>
        <w:spacing w:line="240" w:lineRule="auto"/>
        <w:rPr>
          <w:rFonts w:hint="eastAsia" w:asciiTheme="minorEastAsia" w:hAnsiTheme="minorEastAsia" w:eastAsiaTheme="minorEastAsia" w:cstheme="minorEastAsia"/>
          <w:sz w:val="21"/>
          <w:szCs w:val="21"/>
        </w:rPr>
      </w:pPr>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lang w:val="en-US"/>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p>
    <w:p>
      <w:pPr>
        <w:spacing w:line="240" w:lineRule="auto"/>
        <w:rPr>
          <w:rFonts w:hint="eastAsia"/>
          <w:lang w:val="en-US" w:eastAsia="zh-CN"/>
        </w:rPr>
      </w:pPr>
      <w:bookmarkStart w:id="9" w:name="8130-1536542303665"/>
      <w:bookmarkEnd w:id="9"/>
      <w:bookmarkStart w:id="10" w:name="8598-1536542303673"/>
      <w:bookmarkEnd w:id="10"/>
      <w:r>
        <w:rPr>
          <w:rFonts w:hint="eastAsia"/>
          <w:lang w:val="en-US" w:eastAsia="zh-CN"/>
        </w:rPr>
        <w:t xml:space="preserve"> </w:t>
      </w:r>
    </w:p>
    <w:p>
      <w:pPr>
        <w:spacing w:line="240" w:lineRule="auto"/>
        <w:rPr>
          <w:rFonts w:hint="eastAsia"/>
          <w:lang w:val="en-US" w:eastAsia="zh-CN"/>
        </w:rPr>
      </w:pPr>
      <w:r>
        <w:rPr>
          <w:rFonts w:hint="eastAsia"/>
          <w:lang w:val="en-US" w:eastAsia="zh-CN"/>
        </w:rPr>
        <w:t>10-08日关注股票</w:t>
      </w:r>
    </w:p>
    <w:p>
      <w:pPr>
        <w:spacing w:line="240" w:lineRule="auto"/>
        <w:rPr>
          <w:rFonts w:hint="eastAsia" w:eastAsiaTheme="minorEastAsia"/>
          <w:strike/>
          <w:dstrike w:val="0"/>
          <w:lang w:val="en-US" w:eastAsia="zh-CN"/>
        </w:rPr>
      </w:pPr>
      <w:r>
        <w:rPr>
          <w:rFonts w:hint="eastAsia"/>
          <w:strike/>
          <w:dstrike w:val="0"/>
          <w:lang w:val="en-US" w:eastAsia="zh-CN"/>
        </w:rPr>
        <w:t>强生控股</w:t>
      </w:r>
      <w:r>
        <w:rPr>
          <w:rFonts w:hint="default"/>
          <w:strike/>
          <w:dstrike w:val="0"/>
          <w:lang w:val="en-US" w:eastAsia="zh-CN"/>
        </w:rPr>
        <w:t>(-2.05%)</w:t>
      </w:r>
      <w:r>
        <w:rPr>
          <w:rFonts w:hint="eastAsia"/>
          <w:lang w:val="en-US" w:eastAsia="zh-CN"/>
        </w:rPr>
        <w:t>、新疆浩源</w:t>
      </w:r>
      <w:r>
        <w:rPr>
          <w:rFonts w:hint="default"/>
          <w:lang w:val="en-US" w:eastAsia="zh-CN"/>
        </w:rPr>
        <w:t>(+</w:t>
      </w:r>
      <w:r>
        <w:rPr>
          <w:rFonts w:hint="eastAsia"/>
          <w:lang w:val="en-US" w:eastAsia="zh-CN"/>
        </w:rPr>
        <w:t>3.28</w:t>
      </w:r>
      <w:r>
        <w:rPr>
          <w:rFonts w:hint="default"/>
          <w:lang w:val="en-US" w:eastAsia="zh-CN"/>
        </w:rPr>
        <w:t>%)</w:t>
      </w:r>
      <w:r>
        <w:rPr>
          <w:rFonts w:hint="eastAsia"/>
          <w:lang w:val="en-US" w:eastAsia="zh-CN"/>
        </w:rPr>
        <w:t>、佩蒂股份</w:t>
      </w:r>
      <w:r>
        <w:rPr>
          <w:rFonts w:hint="default"/>
          <w:lang w:val="en-US" w:eastAsia="zh-CN"/>
        </w:rPr>
        <w:t>(</w:t>
      </w:r>
      <w:r>
        <w:rPr>
          <w:rFonts w:hint="eastAsia"/>
          <w:lang w:val="en-US" w:eastAsia="zh-CN"/>
        </w:rPr>
        <w:t>-10.00</w:t>
      </w:r>
      <w:r>
        <w:rPr>
          <w:rFonts w:hint="default"/>
          <w:lang w:val="en-US" w:eastAsia="zh-CN"/>
        </w:rPr>
        <w:t>%)</w:t>
      </w:r>
      <w:r>
        <w:rPr>
          <w:rFonts w:hint="eastAsia"/>
          <w:lang w:val="en-US" w:eastAsia="zh-CN"/>
        </w:rPr>
        <w:t>、</w:t>
      </w:r>
      <w:r>
        <w:rPr>
          <w:rFonts w:hint="eastAsia"/>
          <w:strike/>
          <w:dstrike w:val="0"/>
          <w:lang w:val="en-US" w:eastAsia="zh-CN"/>
        </w:rPr>
        <w:t>益丰药房（-</w:t>
      </w:r>
      <w:r>
        <w:rPr>
          <w:rFonts w:hint="default"/>
          <w:strike/>
          <w:dstrike w:val="0"/>
          <w:lang w:val="en-US" w:eastAsia="zh-CN"/>
        </w:rPr>
        <w:t>0.24</w:t>
      </w:r>
      <w:r>
        <w:rPr>
          <w:rFonts w:hint="eastAsia"/>
          <w:strike/>
          <w:dstrike w:val="0"/>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10-10日关注股票</w:t>
      </w:r>
    </w:p>
    <w:p>
      <w:pPr>
        <w:spacing w:line="240" w:lineRule="auto"/>
        <w:rPr>
          <w:rFonts w:hint="eastAsia"/>
          <w:strike/>
          <w:dstrike w:val="0"/>
          <w:lang w:val="en-US" w:eastAsia="zh-CN"/>
        </w:rPr>
      </w:pPr>
      <w:r>
        <w:rPr>
          <w:rFonts w:hint="eastAsia"/>
          <w:strike/>
          <w:dstrike w:val="0"/>
          <w:lang w:val="en-US" w:eastAsia="zh-CN"/>
        </w:rPr>
        <w:t>德新交运（-8.13%）、宝德股份（-9.04%）、贵州燃气（+0.30%）、川恒股份（-2.39%）、西部牧业（-10.00%）、卫信康（-9.61%）、西藏天路（+6.73%）</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10-11日关注股票</w:t>
      </w:r>
    </w:p>
    <w:p>
      <w:pPr>
        <w:spacing w:line="240" w:lineRule="auto"/>
        <w:rPr>
          <w:rFonts w:hint="default"/>
          <w:lang w:val="en-US" w:eastAsia="zh-CN"/>
        </w:rPr>
      </w:pPr>
      <w:r>
        <w:rPr>
          <w:rFonts w:hint="eastAsia"/>
          <w:lang w:val="en-US" w:eastAsia="zh-CN"/>
        </w:rPr>
        <w:t>今飞凯达</w:t>
      </w:r>
      <w:r>
        <w:rPr>
          <w:rFonts w:hint="default"/>
          <w:lang w:val="en-US" w:eastAsia="zh-CN"/>
        </w:rPr>
        <w:t>(-1.22%)</w:t>
      </w:r>
      <w:r>
        <w:rPr>
          <w:rFonts w:hint="eastAsia"/>
          <w:lang w:val="en-US" w:eastAsia="zh-CN"/>
        </w:rPr>
        <w:t>、西藏发展</w:t>
      </w:r>
      <w:r>
        <w:rPr>
          <w:rFonts w:hint="default"/>
          <w:lang w:val="en-US" w:eastAsia="zh-CN"/>
        </w:rPr>
        <w:t>(+8.73%)</w:t>
      </w:r>
      <w:r>
        <w:rPr>
          <w:rFonts w:hint="eastAsia"/>
          <w:lang w:val="en-US" w:eastAsia="zh-CN"/>
        </w:rPr>
        <w:t>、江龙船艇</w:t>
      </w:r>
      <w:r>
        <w:rPr>
          <w:rFonts w:hint="default"/>
          <w:lang w:val="en-US" w:eastAsia="zh-CN"/>
        </w:rPr>
        <w:t>(+9.99%)</w:t>
      </w:r>
      <w:r>
        <w:rPr>
          <w:rFonts w:hint="eastAsia"/>
          <w:lang w:val="en-US" w:eastAsia="zh-CN"/>
        </w:rPr>
        <w:t>、千山药机</w:t>
      </w:r>
      <w:r>
        <w:rPr>
          <w:rFonts w:hint="default"/>
          <w:lang w:val="en-US" w:eastAsia="zh-CN"/>
        </w:rPr>
        <w:t>(-6.85%)</w:t>
      </w:r>
      <w:r>
        <w:rPr>
          <w:rFonts w:hint="eastAsia"/>
          <w:lang w:val="en-US" w:eastAsia="zh-CN"/>
        </w:rPr>
        <w:t>、金牛化工</w:t>
      </w:r>
      <w:r>
        <w:rPr>
          <w:rFonts w:hint="default"/>
          <w:lang w:val="en-US" w:eastAsia="zh-CN"/>
        </w:rPr>
        <w:t>(-3.34%)</w:t>
      </w:r>
      <w:r>
        <w:rPr>
          <w:rFonts w:hint="eastAsia"/>
          <w:lang w:val="en-US" w:eastAsia="zh-CN"/>
        </w:rPr>
        <w:t>、锋龙股份</w:t>
      </w:r>
      <w:r>
        <w:rPr>
          <w:rFonts w:hint="default"/>
          <w:lang w:val="en-US" w:eastAsia="zh-CN"/>
        </w:rPr>
        <w:t>(+1.13%)</w:t>
      </w:r>
    </w:p>
    <w:p>
      <w:pPr>
        <w:spacing w:line="240" w:lineRule="auto"/>
        <w:rPr>
          <w:rFonts w:hint="default"/>
          <w:lang w:val="en-US" w:eastAsia="zh-CN"/>
        </w:rPr>
      </w:pPr>
    </w:p>
    <w:p>
      <w:pPr>
        <w:spacing w:line="240" w:lineRule="auto"/>
        <w:rPr>
          <w:rFonts w:hint="eastAsia"/>
          <w:lang w:val="en-US" w:eastAsia="zh-CN"/>
        </w:rPr>
      </w:pPr>
      <w:r>
        <w:rPr>
          <w:rFonts w:hint="default"/>
          <w:lang w:val="en-US" w:eastAsia="zh-CN"/>
        </w:rPr>
        <w:t>10-12</w:t>
      </w:r>
      <w:r>
        <w:rPr>
          <w:rFonts w:hint="eastAsia"/>
          <w:lang w:val="en-US" w:eastAsia="zh-CN"/>
        </w:rPr>
        <w:t>日关注股票</w:t>
      </w:r>
    </w:p>
    <w:p>
      <w:pPr>
        <w:spacing w:line="240" w:lineRule="auto"/>
        <w:rPr>
          <w:rFonts w:hint="eastAsia"/>
          <w:lang w:val="en-US" w:eastAsia="zh-CN"/>
        </w:rPr>
      </w:pPr>
      <w:r>
        <w:rPr>
          <w:rFonts w:hint="eastAsia"/>
          <w:lang w:val="en-US" w:eastAsia="zh-CN"/>
        </w:rPr>
        <w:t>紫光国微（-4.74%）</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10-15日关注股票</w:t>
      </w:r>
    </w:p>
    <w:p>
      <w:pPr>
        <w:spacing w:line="240" w:lineRule="auto"/>
        <w:rPr>
          <w:rFonts w:hint="eastAsia"/>
          <w:lang w:val="en-US" w:eastAsia="zh-CN"/>
        </w:rPr>
      </w:pPr>
      <w:r>
        <w:rPr>
          <w:rFonts w:hint="eastAsia"/>
          <w:lang w:val="en-US" w:eastAsia="zh-CN"/>
        </w:rPr>
        <w:t>汇川技术</w:t>
      </w:r>
      <w:bookmarkStart w:id="14" w:name="_GoBack"/>
      <w:bookmarkEnd w:id="14"/>
    </w:p>
    <w:p>
      <w:pPr>
        <w:spacing w:line="240" w:lineRule="auto"/>
        <w:rPr>
          <w:rFonts w:hint="eastAsia"/>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eastAsiaTheme="minor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4197"/>
    <w:rsid w:val="006764BA"/>
    <w:rsid w:val="00697FC3"/>
    <w:rsid w:val="00901FB1"/>
    <w:rsid w:val="01056385"/>
    <w:rsid w:val="0152242D"/>
    <w:rsid w:val="01647B7E"/>
    <w:rsid w:val="01977FEF"/>
    <w:rsid w:val="0202356D"/>
    <w:rsid w:val="02840E6B"/>
    <w:rsid w:val="0293307A"/>
    <w:rsid w:val="029B43B0"/>
    <w:rsid w:val="029F1E5F"/>
    <w:rsid w:val="03217E12"/>
    <w:rsid w:val="033B014F"/>
    <w:rsid w:val="03D77D11"/>
    <w:rsid w:val="03DA5A87"/>
    <w:rsid w:val="04220426"/>
    <w:rsid w:val="04525AAA"/>
    <w:rsid w:val="04A641E4"/>
    <w:rsid w:val="04CE0549"/>
    <w:rsid w:val="051801EF"/>
    <w:rsid w:val="05224B2F"/>
    <w:rsid w:val="0563041F"/>
    <w:rsid w:val="057E173A"/>
    <w:rsid w:val="058E3BE7"/>
    <w:rsid w:val="059F2277"/>
    <w:rsid w:val="05DB0C89"/>
    <w:rsid w:val="05F42636"/>
    <w:rsid w:val="062D1854"/>
    <w:rsid w:val="062F1F01"/>
    <w:rsid w:val="066107E1"/>
    <w:rsid w:val="066C601E"/>
    <w:rsid w:val="067A6AFF"/>
    <w:rsid w:val="06B03E2C"/>
    <w:rsid w:val="06C47C16"/>
    <w:rsid w:val="06D30ADE"/>
    <w:rsid w:val="070A6F35"/>
    <w:rsid w:val="078270AF"/>
    <w:rsid w:val="07DB23C7"/>
    <w:rsid w:val="082D6981"/>
    <w:rsid w:val="084322AE"/>
    <w:rsid w:val="08447F53"/>
    <w:rsid w:val="084721DB"/>
    <w:rsid w:val="084C0D07"/>
    <w:rsid w:val="084F6707"/>
    <w:rsid w:val="085E77E3"/>
    <w:rsid w:val="0912413A"/>
    <w:rsid w:val="092D0512"/>
    <w:rsid w:val="092F2F78"/>
    <w:rsid w:val="093670EF"/>
    <w:rsid w:val="093B7917"/>
    <w:rsid w:val="09740E46"/>
    <w:rsid w:val="09C162DD"/>
    <w:rsid w:val="09C3792A"/>
    <w:rsid w:val="09D47958"/>
    <w:rsid w:val="0A400DBB"/>
    <w:rsid w:val="0A647BE1"/>
    <w:rsid w:val="0A8F079E"/>
    <w:rsid w:val="0B034842"/>
    <w:rsid w:val="0B0E0B30"/>
    <w:rsid w:val="0B264614"/>
    <w:rsid w:val="0B5F4434"/>
    <w:rsid w:val="0BA85F8D"/>
    <w:rsid w:val="0C1A48EA"/>
    <w:rsid w:val="0C212C19"/>
    <w:rsid w:val="0C2D340E"/>
    <w:rsid w:val="0C3F4D9B"/>
    <w:rsid w:val="0C6E045E"/>
    <w:rsid w:val="0C880409"/>
    <w:rsid w:val="0CAA6A0A"/>
    <w:rsid w:val="0CE272BE"/>
    <w:rsid w:val="0D275AA8"/>
    <w:rsid w:val="0D4C6DF5"/>
    <w:rsid w:val="0D5669F9"/>
    <w:rsid w:val="0D5A65C9"/>
    <w:rsid w:val="0D5E2687"/>
    <w:rsid w:val="0D7E4FD5"/>
    <w:rsid w:val="0DBA54E4"/>
    <w:rsid w:val="0DE62585"/>
    <w:rsid w:val="0E6924DC"/>
    <w:rsid w:val="0EC71C3E"/>
    <w:rsid w:val="0EDE708A"/>
    <w:rsid w:val="0F305A06"/>
    <w:rsid w:val="0F5A3C27"/>
    <w:rsid w:val="0F905F80"/>
    <w:rsid w:val="0F9718D9"/>
    <w:rsid w:val="0FE75D85"/>
    <w:rsid w:val="0FEC709E"/>
    <w:rsid w:val="100B14A3"/>
    <w:rsid w:val="10214A7C"/>
    <w:rsid w:val="10295D8E"/>
    <w:rsid w:val="10603BF4"/>
    <w:rsid w:val="106415C5"/>
    <w:rsid w:val="10766EF7"/>
    <w:rsid w:val="10771EFF"/>
    <w:rsid w:val="107A0C96"/>
    <w:rsid w:val="108E1355"/>
    <w:rsid w:val="10F71086"/>
    <w:rsid w:val="110F72C1"/>
    <w:rsid w:val="114C1096"/>
    <w:rsid w:val="115724B6"/>
    <w:rsid w:val="117F785F"/>
    <w:rsid w:val="11A17BC3"/>
    <w:rsid w:val="11D86036"/>
    <w:rsid w:val="125C533A"/>
    <w:rsid w:val="129F0628"/>
    <w:rsid w:val="12A42AB2"/>
    <w:rsid w:val="13155065"/>
    <w:rsid w:val="13264D6F"/>
    <w:rsid w:val="13430B4B"/>
    <w:rsid w:val="136F1A34"/>
    <w:rsid w:val="138B4200"/>
    <w:rsid w:val="13CA5C4D"/>
    <w:rsid w:val="13D552EC"/>
    <w:rsid w:val="13EE15FA"/>
    <w:rsid w:val="14244DD5"/>
    <w:rsid w:val="14C0137C"/>
    <w:rsid w:val="14EA5225"/>
    <w:rsid w:val="15120F09"/>
    <w:rsid w:val="15270E26"/>
    <w:rsid w:val="15325154"/>
    <w:rsid w:val="157113EA"/>
    <w:rsid w:val="157C53E9"/>
    <w:rsid w:val="157F1CD1"/>
    <w:rsid w:val="159F78B9"/>
    <w:rsid w:val="15F10798"/>
    <w:rsid w:val="15F51D1C"/>
    <w:rsid w:val="160659D5"/>
    <w:rsid w:val="163E0050"/>
    <w:rsid w:val="1640732D"/>
    <w:rsid w:val="16430633"/>
    <w:rsid w:val="167B04FF"/>
    <w:rsid w:val="16BF0588"/>
    <w:rsid w:val="16C64BFD"/>
    <w:rsid w:val="16D84322"/>
    <w:rsid w:val="17007DC5"/>
    <w:rsid w:val="17026F67"/>
    <w:rsid w:val="17186B97"/>
    <w:rsid w:val="171F7A92"/>
    <w:rsid w:val="174E190C"/>
    <w:rsid w:val="17816124"/>
    <w:rsid w:val="17C32C1C"/>
    <w:rsid w:val="17C42329"/>
    <w:rsid w:val="1824019C"/>
    <w:rsid w:val="1879447F"/>
    <w:rsid w:val="18A422C2"/>
    <w:rsid w:val="18B51EC3"/>
    <w:rsid w:val="192478B7"/>
    <w:rsid w:val="19552F51"/>
    <w:rsid w:val="19DC4D71"/>
    <w:rsid w:val="1A6B657D"/>
    <w:rsid w:val="1ABA7984"/>
    <w:rsid w:val="1ACB3375"/>
    <w:rsid w:val="1AD9601A"/>
    <w:rsid w:val="1B4367F4"/>
    <w:rsid w:val="1B5C2C5D"/>
    <w:rsid w:val="1B747074"/>
    <w:rsid w:val="1B9149EE"/>
    <w:rsid w:val="1BD2095A"/>
    <w:rsid w:val="1BDB4AD2"/>
    <w:rsid w:val="1BDD3CBF"/>
    <w:rsid w:val="1C036B4B"/>
    <w:rsid w:val="1C0C4EF8"/>
    <w:rsid w:val="1C104715"/>
    <w:rsid w:val="1C504041"/>
    <w:rsid w:val="1CA519D5"/>
    <w:rsid w:val="1CB0205B"/>
    <w:rsid w:val="1D1046F8"/>
    <w:rsid w:val="1D88197B"/>
    <w:rsid w:val="1D9C1A16"/>
    <w:rsid w:val="1D9F5997"/>
    <w:rsid w:val="1DD60858"/>
    <w:rsid w:val="1DE368CE"/>
    <w:rsid w:val="1E716A79"/>
    <w:rsid w:val="1EAC0280"/>
    <w:rsid w:val="1F0E46A0"/>
    <w:rsid w:val="1F6B3A55"/>
    <w:rsid w:val="1FD239CE"/>
    <w:rsid w:val="2017413E"/>
    <w:rsid w:val="202F2459"/>
    <w:rsid w:val="203568E0"/>
    <w:rsid w:val="20BF12E3"/>
    <w:rsid w:val="211018D5"/>
    <w:rsid w:val="211853CD"/>
    <w:rsid w:val="215C5CA2"/>
    <w:rsid w:val="21710A68"/>
    <w:rsid w:val="2184486A"/>
    <w:rsid w:val="21980957"/>
    <w:rsid w:val="219D3E29"/>
    <w:rsid w:val="21BA4D5A"/>
    <w:rsid w:val="21C61DDE"/>
    <w:rsid w:val="21F9403C"/>
    <w:rsid w:val="221F3F25"/>
    <w:rsid w:val="22333AA1"/>
    <w:rsid w:val="22D05A47"/>
    <w:rsid w:val="22EB6D0C"/>
    <w:rsid w:val="23020B57"/>
    <w:rsid w:val="2369588F"/>
    <w:rsid w:val="23887625"/>
    <w:rsid w:val="23C920C1"/>
    <w:rsid w:val="23D55828"/>
    <w:rsid w:val="24134497"/>
    <w:rsid w:val="241C417A"/>
    <w:rsid w:val="24680AE8"/>
    <w:rsid w:val="2491482B"/>
    <w:rsid w:val="249433B6"/>
    <w:rsid w:val="24944D34"/>
    <w:rsid w:val="24D421CB"/>
    <w:rsid w:val="24D4787D"/>
    <w:rsid w:val="24DE5BF2"/>
    <w:rsid w:val="24EE5C15"/>
    <w:rsid w:val="250235F1"/>
    <w:rsid w:val="25590CC6"/>
    <w:rsid w:val="257229A7"/>
    <w:rsid w:val="259C0B3C"/>
    <w:rsid w:val="25A0482C"/>
    <w:rsid w:val="25B14002"/>
    <w:rsid w:val="25E41222"/>
    <w:rsid w:val="25FA399D"/>
    <w:rsid w:val="260F4A69"/>
    <w:rsid w:val="2654390B"/>
    <w:rsid w:val="26745E1B"/>
    <w:rsid w:val="267C0312"/>
    <w:rsid w:val="269B26E9"/>
    <w:rsid w:val="26D85EDD"/>
    <w:rsid w:val="2721255F"/>
    <w:rsid w:val="27C73D38"/>
    <w:rsid w:val="27E92A96"/>
    <w:rsid w:val="28022CC6"/>
    <w:rsid w:val="28411F49"/>
    <w:rsid w:val="284E2E6C"/>
    <w:rsid w:val="28DA7E14"/>
    <w:rsid w:val="28DC7F94"/>
    <w:rsid w:val="28E20191"/>
    <w:rsid w:val="29032593"/>
    <w:rsid w:val="291B5B6D"/>
    <w:rsid w:val="29384755"/>
    <w:rsid w:val="29474E9E"/>
    <w:rsid w:val="29901482"/>
    <w:rsid w:val="29F35878"/>
    <w:rsid w:val="2A7B42A5"/>
    <w:rsid w:val="2AAF3433"/>
    <w:rsid w:val="2B021229"/>
    <w:rsid w:val="2B3137EA"/>
    <w:rsid w:val="2B715FF9"/>
    <w:rsid w:val="2B8B0140"/>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5E3ABF"/>
    <w:rsid w:val="2D9E4763"/>
    <w:rsid w:val="2DA45761"/>
    <w:rsid w:val="2E251C9D"/>
    <w:rsid w:val="2E5D7A1B"/>
    <w:rsid w:val="2E6922D6"/>
    <w:rsid w:val="2E7D14DA"/>
    <w:rsid w:val="2E8B4E7A"/>
    <w:rsid w:val="2EA15342"/>
    <w:rsid w:val="2EA67169"/>
    <w:rsid w:val="2EB84CFE"/>
    <w:rsid w:val="2ED912C5"/>
    <w:rsid w:val="2EFA7779"/>
    <w:rsid w:val="2F3A36A2"/>
    <w:rsid w:val="2F6C637F"/>
    <w:rsid w:val="2F6E3251"/>
    <w:rsid w:val="2FB8673A"/>
    <w:rsid w:val="2FC1718F"/>
    <w:rsid w:val="2FD53C66"/>
    <w:rsid w:val="2FD57AE6"/>
    <w:rsid w:val="302A76D8"/>
    <w:rsid w:val="308927E7"/>
    <w:rsid w:val="30D22C4D"/>
    <w:rsid w:val="30E8604C"/>
    <w:rsid w:val="31832045"/>
    <w:rsid w:val="31980BDD"/>
    <w:rsid w:val="31BC324A"/>
    <w:rsid w:val="31DD1A19"/>
    <w:rsid w:val="31E32CEF"/>
    <w:rsid w:val="322319DA"/>
    <w:rsid w:val="32A068E9"/>
    <w:rsid w:val="32A23292"/>
    <w:rsid w:val="32CB7E65"/>
    <w:rsid w:val="32DC06BB"/>
    <w:rsid w:val="330B75BD"/>
    <w:rsid w:val="33AF76FE"/>
    <w:rsid w:val="34E038B6"/>
    <w:rsid w:val="34F01269"/>
    <w:rsid w:val="351241C6"/>
    <w:rsid w:val="351F02B8"/>
    <w:rsid w:val="35480EDF"/>
    <w:rsid w:val="35687EBB"/>
    <w:rsid w:val="35784769"/>
    <w:rsid w:val="358D7A7B"/>
    <w:rsid w:val="359A3107"/>
    <w:rsid w:val="361D0887"/>
    <w:rsid w:val="36974B8F"/>
    <w:rsid w:val="369B37BE"/>
    <w:rsid w:val="36B409CC"/>
    <w:rsid w:val="36CC20D7"/>
    <w:rsid w:val="36DC2A3B"/>
    <w:rsid w:val="36DF2AB3"/>
    <w:rsid w:val="36E07DEB"/>
    <w:rsid w:val="36EA511D"/>
    <w:rsid w:val="36F44D99"/>
    <w:rsid w:val="36F70883"/>
    <w:rsid w:val="371C5979"/>
    <w:rsid w:val="37370121"/>
    <w:rsid w:val="37866BA0"/>
    <w:rsid w:val="37D65746"/>
    <w:rsid w:val="382E3032"/>
    <w:rsid w:val="386C42FF"/>
    <w:rsid w:val="387306D3"/>
    <w:rsid w:val="38753B9D"/>
    <w:rsid w:val="389A2C3B"/>
    <w:rsid w:val="38A356B6"/>
    <w:rsid w:val="38B6134F"/>
    <w:rsid w:val="38B94A25"/>
    <w:rsid w:val="38E4492B"/>
    <w:rsid w:val="38EE644D"/>
    <w:rsid w:val="38F335E0"/>
    <w:rsid w:val="38FE3638"/>
    <w:rsid w:val="391A03B8"/>
    <w:rsid w:val="396F6F4F"/>
    <w:rsid w:val="39710EB7"/>
    <w:rsid w:val="39C67D0A"/>
    <w:rsid w:val="39D049E4"/>
    <w:rsid w:val="39DD1FC0"/>
    <w:rsid w:val="39E278CB"/>
    <w:rsid w:val="3A2B5335"/>
    <w:rsid w:val="3A31153A"/>
    <w:rsid w:val="3A3274F4"/>
    <w:rsid w:val="3A336219"/>
    <w:rsid w:val="3A4F3E22"/>
    <w:rsid w:val="3A8527BD"/>
    <w:rsid w:val="3AF87CF3"/>
    <w:rsid w:val="3B5318A0"/>
    <w:rsid w:val="3B6B5381"/>
    <w:rsid w:val="3BB57FF7"/>
    <w:rsid w:val="3BF674FE"/>
    <w:rsid w:val="3C411F3D"/>
    <w:rsid w:val="3C461A3C"/>
    <w:rsid w:val="3C54676F"/>
    <w:rsid w:val="3C611C77"/>
    <w:rsid w:val="3C8015C6"/>
    <w:rsid w:val="3CAC1A05"/>
    <w:rsid w:val="3CBF2113"/>
    <w:rsid w:val="3CC5059F"/>
    <w:rsid w:val="3CE109FF"/>
    <w:rsid w:val="3CF6320B"/>
    <w:rsid w:val="3D4D2885"/>
    <w:rsid w:val="3D8524B9"/>
    <w:rsid w:val="3DCC6E48"/>
    <w:rsid w:val="3E51379D"/>
    <w:rsid w:val="3E721BE4"/>
    <w:rsid w:val="3EBD4C84"/>
    <w:rsid w:val="3EBD5746"/>
    <w:rsid w:val="3ECD0A86"/>
    <w:rsid w:val="3F126C25"/>
    <w:rsid w:val="3F2E1884"/>
    <w:rsid w:val="3F406847"/>
    <w:rsid w:val="3F486D14"/>
    <w:rsid w:val="3F8B38F8"/>
    <w:rsid w:val="3FB60A8F"/>
    <w:rsid w:val="3FD50823"/>
    <w:rsid w:val="3FE6620E"/>
    <w:rsid w:val="40190984"/>
    <w:rsid w:val="402D5AAC"/>
    <w:rsid w:val="40923A38"/>
    <w:rsid w:val="409F62B0"/>
    <w:rsid w:val="40BF28FF"/>
    <w:rsid w:val="41251ED8"/>
    <w:rsid w:val="414D1A11"/>
    <w:rsid w:val="41541E79"/>
    <w:rsid w:val="415E5EAB"/>
    <w:rsid w:val="417437BF"/>
    <w:rsid w:val="41C6087A"/>
    <w:rsid w:val="41E106C4"/>
    <w:rsid w:val="42464C1F"/>
    <w:rsid w:val="42647007"/>
    <w:rsid w:val="42927BEF"/>
    <w:rsid w:val="42A261A9"/>
    <w:rsid w:val="430272B9"/>
    <w:rsid w:val="43437508"/>
    <w:rsid w:val="43A728DB"/>
    <w:rsid w:val="43B64B82"/>
    <w:rsid w:val="43F35274"/>
    <w:rsid w:val="43FD6BD7"/>
    <w:rsid w:val="445143F6"/>
    <w:rsid w:val="44515A1D"/>
    <w:rsid w:val="44D4142E"/>
    <w:rsid w:val="44D54043"/>
    <w:rsid w:val="454A7BD2"/>
    <w:rsid w:val="459A5AE0"/>
    <w:rsid w:val="45A71986"/>
    <w:rsid w:val="45B2417A"/>
    <w:rsid w:val="45D05C04"/>
    <w:rsid w:val="46792153"/>
    <w:rsid w:val="477C7EA2"/>
    <w:rsid w:val="479902B6"/>
    <w:rsid w:val="47DA073E"/>
    <w:rsid w:val="47E41BE3"/>
    <w:rsid w:val="47F628FA"/>
    <w:rsid w:val="486561CC"/>
    <w:rsid w:val="487333F6"/>
    <w:rsid w:val="48774DFE"/>
    <w:rsid w:val="489A1C79"/>
    <w:rsid w:val="48B03E9F"/>
    <w:rsid w:val="48E00AC5"/>
    <w:rsid w:val="4918362D"/>
    <w:rsid w:val="49183BBE"/>
    <w:rsid w:val="491A4ED9"/>
    <w:rsid w:val="49252B13"/>
    <w:rsid w:val="494708E3"/>
    <w:rsid w:val="497C0AAC"/>
    <w:rsid w:val="498216FD"/>
    <w:rsid w:val="49B84D2C"/>
    <w:rsid w:val="4A0715DF"/>
    <w:rsid w:val="4A262F2E"/>
    <w:rsid w:val="4A306175"/>
    <w:rsid w:val="4A3F15B8"/>
    <w:rsid w:val="4A8169BE"/>
    <w:rsid w:val="4A8A3E4B"/>
    <w:rsid w:val="4A9506F7"/>
    <w:rsid w:val="4AC07187"/>
    <w:rsid w:val="4B176EEC"/>
    <w:rsid w:val="4B2C56D0"/>
    <w:rsid w:val="4B2E2D9C"/>
    <w:rsid w:val="4B5D46DE"/>
    <w:rsid w:val="4B935B69"/>
    <w:rsid w:val="4BDE1EA4"/>
    <w:rsid w:val="4C272A15"/>
    <w:rsid w:val="4C2F1755"/>
    <w:rsid w:val="4C344AA1"/>
    <w:rsid w:val="4C8E5216"/>
    <w:rsid w:val="4CFF366F"/>
    <w:rsid w:val="4D3A7C59"/>
    <w:rsid w:val="4D3B644C"/>
    <w:rsid w:val="4D3C2959"/>
    <w:rsid w:val="4DAF3144"/>
    <w:rsid w:val="4E033A95"/>
    <w:rsid w:val="4E054997"/>
    <w:rsid w:val="4E545DE4"/>
    <w:rsid w:val="4EF86E1A"/>
    <w:rsid w:val="4F32218E"/>
    <w:rsid w:val="4F4D4A7F"/>
    <w:rsid w:val="4F4E26AD"/>
    <w:rsid w:val="4F965F99"/>
    <w:rsid w:val="4FA51FC1"/>
    <w:rsid w:val="4FBA02D7"/>
    <w:rsid w:val="4FBD302C"/>
    <w:rsid w:val="4FCE2834"/>
    <w:rsid w:val="4FEE729E"/>
    <w:rsid w:val="4FF25B13"/>
    <w:rsid w:val="50111B63"/>
    <w:rsid w:val="501D1529"/>
    <w:rsid w:val="508F4E81"/>
    <w:rsid w:val="50F80D92"/>
    <w:rsid w:val="51064251"/>
    <w:rsid w:val="511D6223"/>
    <w:rsid w:val="51296F56"/>
    <w:rsid w:val="519F60B2"/>
    <w:rsid w:val="51AE15D4"/>
    <w:rsid w:val="51B95E72"/>
    <w:rsid w:val="52347744"/>
    <w:rsid w:val="52393C1D"/>
    <w:rsid w:val="527B5F26"/>
    <w:rsid w:val="529F4222"/>
    <w:rsid w:val="52A55CB3"/>
    <w:rsid w:val="52A91F2B"/>
    <w:rsid w:val="52B23FA9"/>
    <w:rsid w:val="52E45DE5"/>
    <w:rsid w:val="53195672"/>
    <w:rsid w:val="535457FD"/>
    <w:rsid w:val="538C0DB6"/>
    <w:rsid w:val="53D109CC"/>
    <w:rsid w:val="54026EF3"/>
    <w:rsid w:val="54120CE3"/>
    <w:rsid w:val="54224AEE"/>
    <w:rsid w:val="54366104"/>
    <w:rsid w:val="54381B54"/>
    <w:rsid w:val="54533030"/>
    <w:rsid w:val="54706F37"/>
    <w:rsid w:val="549B0BFD"/>
    <w:rsid w:val="54EC5526"/>
    <w:rsid w:val="54F713F9"/>
    <w:rsid w:val="55102B46"/>
    <w:rsid w:val="5539209E"/>
    <w:rsid w:val="556E1E0E"/>
    <w:rsid w:val="557B5091"/>
    <w:rsid w:val="55964F95"/>
    <w:rsid w:val="559A6F4B"/>
    <w:rsid w:val="55AA20C6"/>
    <w:rsid w:val="55CD2683"/>
    <w:rsid w:val="55CE5218"/>
    <w:rsid w:val="55F02B37"/>
    <w:rsid w:val="55F52A95"/>
    <w:rsid w:val="56AD2F65"/>
    <w:rsid w:val="56E04480"/>
    <w:rsid w:val="572E1DC4"/>
    <w:rsid w:val="57751DA1"/>
    <w:rsid w:val="57A976CF"/>
    <w:rsid w:val="57D90E3A"/>
    <w:rsid w:val="58051E72"/>
    <w:rsid w:val="582A524A"/>
    <w:rsid w:val="58535237"/>
    <w:rsid w:val="586D2587"/>
    <w:rsid w:val="587D70BF"/>
    <w:rsid w:val="58845475"/>
    <w:rsid w:val="589E3082"/>
    <w:rsid w:val="589E51D8"/>
    <w:rsid w:val="58B26326"/>
    <w:rsid w:val="592E6E44"/>
    <w:rsid w:val="59427279"/>
    <w:rsid w:val="59443F0F"/>
    <w:rsid w:val="594606B0"/>
    <w:rsid w:val="595A4F46"/>
    <w:rsid w:val="597804E9"/>
    <w:rsid w:val="59B355A8"/>
    <w:rsid w:val="59DC5C31"/>
    <w:rsid w:val="5A41796E"/>
    <w:rsid w:val="5A6B2536"/>
    <w:rsid w:val="5A902353"/>
    <w:rsid w:val="5AC83137"/>
    <w:rsid w:val="5AED4CE2"/>
    <w:rsid w:val="5AFE4B41"/>
    <w:rsid w:val="5AFE6C9F"/>
    <w:rsid w:val="5B61273E"/>
    <w:rsid w:val="5B901EF3"/>
    <w:rsid w:val="5BD0210D"/>
    <w:rsid w:val="5C256739"/>
    <w:rsid w:val="5C2C016F"/>
    <w:rsid w:val="5C384E29"/>
    <w:rsid w:val="5C3B42D6"/>
    <w:rsid w:val="5C4B7D70"/>
    <w:rsid w:val="5C78176A"/>
    <w:rsid w:val="5C89301D"/>
    <w:rsid w:val="5C91003A"/>
    <w:rsid w:val="5C941E9A"/>
    <w:rsid w:val="5CD45A79"/>
    <w:rsid w:val="5CFD2BAF"/>
    <w:rsid w:val="5D372D3D"/>
    <w:rsid w:val="5DA97C2A"/>
    <w:rsid w:val="5DF904C3"/>
    <w:rsid w:val="5E0619EE"/>
    <w:rsid w:val="5E18530F"/>
    <w:rsid w:val="5E83792B"/>
    <w:rsid w:val="5EB22C18"/>
    <w:rsid w:val="5ECD13E0"/>
    <w:rsid w:val="5EDA5E4B"/>
    <w:rsid w:val="5EE24148"/>
    <w:rsid w:val="5EEF2C72"/>
    <w:rsid w:val="5EFB6652"/>
    <w:rsid w:val="5F113FE6"/>
    <w:rsid w:val="5F1F04B3"/>
    <w:rsid w:val="5F54205E"/>
    <w:rsid w:val="5F7F0FCC"/>
    <w:rsid w:val="5F864151"/>
    <w:rsid w:val="5FA16171"/>
    <w:rsid w:val="5FDC54B2"/>
    <w:rsid w:val="60290442"/>
    <w:rsid w:val="60396B20"/>
    <w:rsid w:val="60397D0D"/>
    <w:rsid w:val="603E4C08"/>
    <w:rsid w:val="607B0F50"/>
    <w:rsid w:val="60866833"/>
    <w:rsid w:val="60A564FB"/>
    <w:rsid w:val="60A772D5"/>
    <w:rsid w:val="6100428F"/>
    <w:rsid w:val="61325CA3"/>
    <w:rsid w:val="61B31EEA"/>
    <w:rsid w:val="622B4947"/>
    <w:rsid w:val="623C29CA"/>
    <w:rsid w:val="62642FCC"/>
    <w:rsid w:val="629321D7"/>
    <w:rsid w:val="62972F0F"/>
    <w:rsid w:val="62DA1607"/>
    <w:rsid w:val="630579C8"/>
    <w:rsid w:val="6309664E"/>
    <w:rsid w:val="63284643"/>
    <w:rsid w:val="632A0132"/>
    <w:rsid w:val="632B7E9C"/>
    <w:rsid w:val="633817A6"/>
    <w:rsid w:val="63520053"/>
    <w:rsid w:val="636433B8"/>
    <w:rsid w:val="63A60C4C"/>
    <w:rsid w:val="63DA744D"/>
    <w:rsid w:val="63F130FF"/>
    <w:rsid w:val="64022E8C"/>
    <w:rsid w:val="640E4306"/>
    <w:rsid w:val="64357186"/>
    <w:rsid w:val="64401FB1"/>
    <w:rsid w:val="644244C6"/>
    <w:rsid w:val="645455F2"/>
    <w:rsid w:val="647C41D5"/>
    <w:rsid w:val="649D4F05"/>
    <w:rsid w:val="64CA54C0"/>
    <w:rsid w:val="64E57549"/>
    <w:rsid w:val="651057F3"/>
    <w:rsid w:val="651A6DCE"/>
    <w:rsid w:val="65466BDA"/>
    <w:rsid w:val="65753AF2"/>
    <w:rsid w:val="65BA7C51"/>
    <w:rsid w:val="65E21C88"/>
    <w:rsid w:val="661E0E6E"/>
    <w:rsid w:val="6643305A"/>
    <w:rsid w:val="66817794"/>
    <w:rsid w:val="672A14EE"/>
    <w:rsid w:val="672A527A"/>
    <w:rsid w:val="674468F2"/>
    <w:rsid w:val="67525CE9"/>
    <w:rsid w:val="67600DEC"/>
    <w:rsid w:val="67694B6F"/>
    <w:rsid w:val="67D46CBE"/>
    <w:rsid w:val="68273E23"/>
    <w:rsid w:val="68717FC0"/>
    <w:rsid w:val="688F28C6"/>
    <w:rsid w:val="68931A71"/>
    <w:rsid w:val="690E470A"/>
    <w:rsid w:val="69455631"/>
    <w:rsid w:val="69511D7C"/>
    <w:rsid w:val="69AF334E"/>
    <w:rsid w:val="69B20BA4"/>
    <w:rsid w:val="69B338D7"/>
    <w:rsid w:val="69E61A81"/>
    <w:rsid w:val="6A0B4A62"/>
    <w:rsid w:val="6A272C44"/>
    <w:rsid w:val="6A4A53D9"/>
    <w:rsid w:val="6A584D82"/>
    <w:rsid w:val="6AC53309"/>
    <w:rsid w:val="6B5B4C25"/>
    <w:rsid w:val="6B82310F"/>
    <w:rsid w:val="6B9955C4"/>
    <w:rsid w:val="6BA94B6C"/>
    <w:rsid w:val="6BBE23AC"/>
    <w:rsid w:val="6BC9393A"/>
    <w:rsid w:val="6BC965DC"/>
    <w:rsid w:val="6BD05FE0"/>
    <w:rsid w:val="6C15278F"/>
    <w:rsid w:val="6C192C77"/>
    <w:rsid w:val="6C680B1C"/>
    <w:rsid w:val="6C6830AB"/>
    <w:rsid w:val="6CAA2244"/>
    <w:rsid w:val="6D176C50"/>
    <w:rsid w:val="6D6B1A32"/>
    <w:rsid w:val="6D830976"/>
    <w:rsid w:val="6D9C47D4"/>
    <w:rsid w:val="6DB3004E"/>
    <w:rsid w:val="6DF1004A"/>
    <w:rsid w:val="6DF76419"/>
    <w:rsid w:val="6E2E21AD"/>
    <w:rsid w:val="6E5B527C"/>
    <w:rsid w:val="6E865950"/>
    <w:rsid w:val="6E8B12C4"/>
    <w:rsid w:val="6E921DF4"/>
    <w:rsid w:val="6F74384E"/>
    <w:rsid w:val="6F7A1086"/>
    <w:rsid w:val="6F7D30C6"/>
    <w:rsid w:val="6F855C15"/>
    <w:rsid w:val="6FCD6A80"/>
    <w:rsid w:val="6FDF228C"/>
    <w:rsid w:val="701048BF"/>
    <w:rsid w:val="70404FC8"/>
    <w:rsid w:val="70644806"/>
    <w:rsid w:val="70A44053"/>
    <w:rsid w:val="70B23DA1"/>
    <w:rsid w:val="710B2E1E"/>
    <w:rsid w:val="7198751A"/>
    <w:rsid w:val="71A51555"/>
    <w:rsid w:val="71C56B06"/>
    <w:rsid w:val="71E276CC"/>
    <w:rsid w:val="729E0354"/>
    <w:rsid w:val="72F05E81"/>
    <w:rsid w:val="73150265"/>
    <w:rsid w:val="733D0A3C"/>
    <w:rsid w:val="73E867D3"/>
    <w:rsid w:val="73F21569"/>
    <w:rsid w:val="74281E02"/>
    <w:rsid w:val="7453209B"/>
    <w:rsid w:val="74741EC6"/>
    <w:rsid w:val="74BE0F07"/>
    <w:rsid w:val="74C9150D"/>
    <w:rsid w:val="74D11297"/>
    <w:rsid w:val="74F77888"/>
    <w:rsid w:val="755B23F0"/>
    <w:rsid w:val="756441E0"/>
    <w:rsid w:val="759D43E0"/>
    <w:rsid w:val="75D13ED7"/>
    <w:rsid w:val="75E354AB"/>
    <w:rsid w:val="75FD0190"/>
    <w:rsid w:val="76001D27"/>
    <w:rsid w:val="76270C98"/>
    <w:rsid w:val="7659795A"/>
    <w:rsid w:val="76635F77"/>
    <w:rsid w:val="76912DA9"/>
    <w:rsid w:val="76BE2084"/>
    <w:rsid w:val="76FA32E0"/>
    <w:rsid w:val="777A7C3A"/>
    <w:rsid w:val="77B40DE8"/>
    <w:rsid w:val="77D2431F"/>
    <w:rsid w:val="786C031B"/>
    <w:rsid w:val="787B4D40"/>
    <w:rsid w:val="78B80928"/>
    <w:rsid w:val="78EB6EB1"/>
    <w:rsid w:val="791B599B"/>
    <w:rsid w:val="79374CE7"/>
    <w:rsid w:val="794319BF"/>
    <w:rsid w:val="799035A9"/>
    <w:rsid w:val="79B81A90"/>
    <w:rsid w:val="79E6546C"/>
    <w:rsid w:val="79F8170D"/>
    <w:rsid w:val="79FD14B8"/>
    <w:rsid w:val="7A096A08"/>
    <w:rsid w:val="7A2A11C4"/>
    <w:rsid w:val="7A2B2F1C"/>
    <w:rsid w:val="7A3A0843"/>
    <w:rsid w:val="7A3E6A0A"/>
    <w:rsid w:val="7A4447A6"/>
    <w:rsid w:val="7A6A7C3A"/>
    <w:rsid w:val="7ABF5A43"/>
    <w:rsid w:val="7AC77976"/>
    <w:rsid w:val="7ADA60BB"/>
    <w:rsid w:val="7B151CB1"/>
    <w:rsid w:val="7B343384"/>
    <w:rsid w:val="7B557A15"/>
    <w:rsid w:val="7BA13BF2"/>
    <w:rsid w:val="7BFC0376"/>
    <w:rsid w:val="7C0773BC"/>
    <w:rsid w:val="7C1823A4"/>
    <w:rsid w:val="7C1E37BA"/>
    <w:rsid w:val="7C3634B1"/>
    <w:rsid w:val="7C561668"/>
    <w:rsid w:val="7C920129"/>
    <w:rsid w:val="7CA91F8C"/>
    <w:rsid w:val="7CB876F9"/>
    <w:rsid w:val="7D576356"/>
    <w:rsid w:val="7D8E5DA9"/>
    <w:rsid w:val="7D980DF8"/>
    <w:rsid w:val="7DCC6265"/>
    <w:rsid w:val="7E8E2BAE"/>
    <w:rsid w:val="7E900D73"/>
    <w:rsid w:val="7ED1289E"/>
    <w:rsid w:val="7EF40520"/>
    <w:rsid w:val="7EF77DD6"/>
    <w:rsid w:val="7F3F1296"/>
    <w:rsid w:val="7F581501"/>
    <w:rsid w:val="7F8E2564"/>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40</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2018-10-15T15:45:34Z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