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07" w:hRule="atLeast"/>
        </w:trPr>
        <w:tc>
          <w:tcPr>
            <w:tcW w:w="118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空仓</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r>
    </w:tbl>
    <w:p>
      <w:pPr>
        <w:spacing w:line="240" w:lineRule="auto"/>
      </w:pPr>
      <w:bookmarkStart w:id="0" w:name="9057-1536542303601"/>
      <w:bookmarkEnd w:id="0"/>
    </w:p>
    <w:p>
      <w:pPr>
        <w:spacing w:line="240" w:lineRule="auto"/>
      </w:pPr>
      <w:bookmarkStart w:id="1" w:name="7380-1536542303605"/>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79"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rPr>
                <w:rFonts w:ascii="微软雅黑" w:hAnsi="微软雅黑" w:eastAsia="微软雅黑" w:cs="微软雅黑"/>
                <w:b/>
                <w:sz w:val="22"/>
              </w:rPr>
            </w:pPr>
          </w:p>
        </w:tc>
        <w:tc>
          <w:tcPr>
            <w:tcW w:w="1111" w:type="dxa"/>
            <w:vAlign w:val="center"/>
          </w:tcPr>
          <w:p>
            <w:pPr>
              <w:rPr>
                <w:lang w:val="en-US"/>
              </w:rPr>
            </w:pPr>
          </w:p>
        </w:tc>
        <w:tc>
          <w:tcPr>
            <w:tcW w:w="1111" w:type="dxa"/>
            <w:vAlign w:val="center"/>
          </w:tcPr>
          <w:p>
            <w:pPr>
              <w:rPr>
                <w:lang w:val="en-US"/>
              </w:rPr>
            </w:pPr>
          </w:p>
        </w:tc>
        <w:tc>
          <w:tcPr>
            <w:tcW w:w="1111" w:type="dxa"/>
            <w:vAlign w:val="center"/>
          </w:tcPr>
          <w:p>
            <w:pPr>
              <w:rPr>
                <w:lang w:val="en-US"/>
              </w:rPr>
            </w:pPr>
          </w:p>
        </w:tc>
        <w:tc>
          <w:tcPr>
            <w:tcW w:w="1110" w:type="dxa"/>
            <w:vAlign w:val="center"/>
          </w:tcPr>
          <w:p>
            <w:pPr>
              <w:rPr>
                <w:lang w:val="en-US"/>
              </w:rPr>
            </w:pPr>
          </w:p>
        </w:tc>
        <w:tc>
          <w:tcPr>
            <w:tcW w:w="1111" w:type="dxa"/>
            <w:vAlign w:val="center"/>
          </w:tcPr>
          <w:p>
            <w:pPr>
              <w:rPr>
                <w:lang w:val="en-US"/>
              </w:rPr>
            </w:pPr>
          </w:p>
        </w:tc>
        <w:tc>
          <w:tcPr>
            <w:tcW w:w="1111" w:type="dxa"/>
            <w:vAlign w:val="center"/>
          </w:tcPr>
          <w:p>
            <w:pPr>
              <w:rPr>
                <w:lang w:val="en-US"/>
              </w:rPr>
            </w:pPr>
          </w:p>
        </w:tc>
        <w:tc>
          <w:tcPr>
            <w:tcW w:w="1044" w:type="dxa"/>
            <w:vAlign w:val="center"/>
          </w:tcPr>
          <w:p>
            <w:pPr>
              <w:rPr>
                <w:lang w:val="en-US"/>
              </w:rPr>
            </w:pPr>
          </w:p>
        </w:tc>
      </w:tr>
    </w:tbl>
    <w:p>
      <w:pPr>
        <w:spacing w:line="240" w:lineRule="auto"/>
        <w:rPr>
          <w:rFonts w:ascii="微软雅黑" w:hAnsi="微软雅黑" w:eastAsia="微软雅黑" w:cs="微软雅黑"/>
          <w:b/>
          <w:sz w:val="22"/>
        </w:rPr>
      </w:pPr>
      <w:bookmarkStart w:id="2" w:name="1096-1536542303639"/>
      <w:bookmarkEnd w:id="2"/>
      <w:bookmarkStart w:id="3" w:name="2151-1536542303645"/>
      <w:bookmarkEnd w:id="3"/>
      <w:bookmarkStart w:id="4" w:name="1227-1536542303637"/>
      <w:bookmarkEnd w:id="4"/>
      <w:bookmarkStart w:id="5" w:name="8416-1536542303643"/>
      <w:bookmarkEnd w:id="5"/>
      <w:bookmarkStart w:id="6" w:name="3677-1536542303641"/>
      <w:bookmarkEnd w:id="6"/>
      <w:bookmarkStart w:id="7" w:name="2911-1536542303635"/>
      <w:bookmarkEnd w:id="7"/>
      <w:r>
        <w:rPr>
          <w:rFonts w:ascii="微软雅黑" w:hAnsi="微软雅黑" w:eastAsia="微软雅黑" w:cs="微软雅黑"/>
          <w:b/>
          <w:sz w:val="22"/>
        </w:rPr>
        <w:t>今日回顾：</w:t>
      </w:r>
    </w:p>
    <w:p>
      <w:pPr>
        <w:spacing w:line="240" w:lineRule="auto"/>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b w:val="0"/>
          <w:bCs/>
          <w:sz w:val="21"/>
          <w:szCs w:val="21"/>
          <w:lang w:val="en-US" w:eastAsia="zh-CN"/>
        </w:rPr>
        <w:t xml:space="preserve"> </w:t>
      </w:r>
      <w:r>
        <w:rPr>
          <w:rFonts w:hint="eastAsia" w:asciiTheme="minorEastAsia" w:hAnsiTheme="minorEastAsia" w:cstheme="minorEastAsia"/>
          <w:sz w:val="21"/>
          <w:szCs w:val="21"/>
          <w:lang w:val="en-US" w:eastAsia="zh-CN"/>
        </w:rPr>
        <w:t>大盘：</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30分钟k线</w:t>
      </w:r>
      <w:r>
        <w:rPr>
          <w:rFonts w:hint="default" w:asciiTheme="minorEastAsia" w:hAnsiTheme="minorEastAsia" w:cstheme="minorEastAsia"/>
          <w:sz w:val="21"/>
          <w:szCs w:val="21"/>
          <w:lang w:val="en-US" w:eastAsia="zh-CN"/>
        </w:rPr>
        <w:t>C1-5</w:t>
      </w:r>
      <w:r>
        <w:rPr>
          <w:rFonts w:hint="eastAsia" w:asciiTheme="minorEastAsia" w:hAnsiTheme="minorEastAsia" w:cstheme="minorEastAsia"/>
          <w:sz w:val="21"/>
          <w:szCs w:val="21"/>
          <w:lang w:val="en-US" w:eastAsia="zh-CN"/>
        </w:rPr>
        <w:t>走出来了，创了新低。个股出现普跌，而且化工板块跌幅较大。</w:t>
      </w:r>
    </w:p>
    <w:p>
      <w:pPr>
        <w:spacing w:line="24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建新股份、沙隆达、金禾实业、雅云股份跌停。水泥版块：华新水泥闪崩。</w:t>
      </w:r>
    </w:p>
    <w:p>
      <w:pPr>
        <w:spacing w:line="24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目前只有短线超跌抢反弹的超短交易性机会，参与价值很低，容易被套。</w:t>
      </w:r>
    </w:p>
    <w:p>
      <w:pPr>
        <w:spacing w:line="24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持币观望为主。</w:t>
      </w:r>
    </w:p>
    <w:p>
      <w:pPr>
        <w:spacing w:line="240" w:lineRule="auto"/>
        <w:rPr>
          <w:rFonts w:hint="eastAsia" w:asciiTheme="minorEastAsia" w:hAnsiTheme="minorEastAsia" w:eastAsiaTheme="minorEastAsia" w:cstheme="minorEastAsia"/>
          <w:sz w:val="21"/>
          <w:szCs w:val="21"/>
        </w:rPr>
      </w:pPr>
      <w:r>
        <w:drawing>
          <wp:inline distT="0" distB="0" distL="114300" distR="114300">
            <wp:extent cx="5273040" cy="2576195"/>
            <wp:effectExtent l="0" t="0" r="381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040" cy="2576195"/>
                    </a:xfrm>
                    <a:prstGeom prst="rect">
                      <a:avLst/>
                    </a:prstGeom>
                    <a:noFill/>
                    <a:ln w="9525">
                      <a:noFill/>
                    </a:ln>
                  </pic:spPr>
                </pic:pic>
              </a:graphicData>
            </a:graphic>
          </wp:inline>
        </w:drawing>
      </w:r>
    </w:p>
    <w:p>
      <w:pPr>
        <w:spacing w:line="240" w:lineRule="auto"/>
        <w:rPr>
          <w:rFonts w:hint="eastAsia" w:asciiTheme="minorEastAsia" w:hAnsiTheme="minorEastAsia" w:eastAsiaTheme="minorEastAsia" w:cstheme="minorEastAsia"/>
          <w:sz w:val="21"/>
          <w:szCs w:val="21"/>
        </w:rPr>
      </w:pPr>
    </w:p>
    <w:p>
      <w:pPr>
        <w:spacing w:line="240" w:lineRule="auto"/>
        <w:rPr>
          <w:rFonts w:hint="eastAsia"/>
          <w:lang w:val="en-US" w:eastAsia="zh-CN"/>
        </w:rPr>
      </w:pPr>
      <w:r>
        <w:rPr>
          <w:rFonts w:hint="eastAsia"/>
          <w:lang w:val="en-US" w:eastAsia="zh-CN"/>
        </w:rPr>
        <w:t xml:space="preserve">【宏观要闻】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央行公告：银行间债券市场推出三方回购交易 </w:t>
      </w:r>
    </w:p>
    <w:p>
      <w:pPr>
        <w:spacing w:line="240" w:lineRule="auto"/>
        <w:rPr>
          <w:rFonts w:hint="eastAsia"/>
          <w:lang w:val="en-US" w:eastAsia="zh-CN"/>
        </w:rPr>
      </w:pPr>
      <w:r>
        <w:rPr>
          <w:rFonts w:hint="eastAsia"/>
          <w:lang w:val="en-US" w:eastAsia="zh-CN"/>
        </w:rPr>
        <w:t xml:space="preserve">为促进银行间债券市场平稳健康发展，强化货币市场风险防控，助力打赢防范化解重大风险攻坚战，中国人民银行日前发布了公告，在银行间债券市场正式推出三方回购交易。银行间债券市场三方回购交易的推出，有利于市场参与者更加便利地开展回购业务，降低结算失败等风险，也有利于保证回购交易存续期间风险敞口得到有效覆盖，提升风险防控能力。当前，银行间市场债券登记托管结算机构可作为第三方机构提供三方回购服务，未来具备相应能力的大型银行也可提供三方回购服务。 </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证监会：拟决定对长生生物处以60万元罚款的顶格处罚 </w:t>
      </w:r>
    </w:p>
    <w:p>
      <w:pPr>
        <w:spacing w:line="240" w:lineRule="auto"/>
        <w:rPr>
          <w:rFonts w:hint="eastAsia"/>
          <w:lang w:val="en-US" w:eastAsia="zh-CN"/>
        </w:rPr>
      </w:pPr>
      <w:r>
        <w:rPr>
          <w:rFonts w:hint="eastAsia"/>
          <w:lang w:val="en-US" w:eastAsia="zh-CN"/>
        </w:rPr>
        <w:t xml:space="preserve">证监会：严惩长生生物信披违法案。证监会拟决定对长生生物处以60万元罚款的顶格处罚，拟对其直接负责的主管人员高俊芳等4名当事人给予警告，并分别处以30万元的顶格处罚，同时采取终身市场禁入措施。 </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国务院印发中国(海南)自由贸易试验区总体方案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国务院发布关于同意设立中国(海南)自由贸易试验区的批复。试验区以发展旅游业、现代服务业、高新技术产业为主导，科学安排海南岛产业布局。大幅放宽外资市场准入。对外资全面实行准入前国民待遇加负面清单管理制度。深化现代农业、高新技术产业、现代服务业对外开放，在种业、医疗、教育、旅游、电信、互联网、文化、金融、航空、海洋经济、新能源汽车制造等重点领域加大开放力度。取消蔬菜新品种选育和种子生产外资股比限制。推动现代服务业集聚发展。依托博鳌乐城国际医疗旅游先行区，大力发展国际医疗旅游和高端医疗服务，对先行区范围内确需进口的、关税税率较高的部分医疗器械研究适当降低关税。支持开展干细胞临床前沿医疗技术研究项目。依托现有医药产业基础，探索开展重大新药创制国家科技重大专项成果转移转化试点。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【资讯快报】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上周新增投资者数为25.30万 前值为20.09万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发改委印发《关于对严重危害正常医疗秩序的失信行为责任人实施联合惩戒合作备忘录》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信托管理企业ABS受理 或打破券商、基金子公司铁饭碗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住建部等部门印发《推行政府购买公租房运营管理服务试点方案的通知》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百度“海淀城市大脑”落地西北旺镇，打造首都最聪明科技新区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22家机构今日领取职业年金投管人标书 职业年金入市渐近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中基协：9月份私募基金规模达12.8万亿元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强生出租成立共享出行公司，传统出租车公司杀入共享出行蓝海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长春长生公司被处罚没款91亿元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融创将全部接盘万达文旅，王健林变现退出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海南自贸区方案未提“赛马”，当地官员称为阻止民众一窝蜂盲目投资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财新：上证50(699016)早盘急拉 疑似国家队进场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不止深圳 广东顺德酝酿支持本地上市公司方案 </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【利好公告】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云南城投(600239)：三季报预增161%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中国石化(600028)：三季报预增54.7%到56.6% </w:t>
      </w:r>
    </w:p>
    <w:p>
      <w:pPr>
        <w:spacing w:line="240" w:lineRule="auto"/>
        <w:rPr>
          <w:rFonts w:hint="eastAsia"/>
          <w:lang w:val="en-US" w:eastAsia="zh-CN"/>
        </w:rPr>
      </w:pPr>
      <w:r>
        <w:rPr>
          <w:rFonts w:hint="default"/>
          <w:lang w:val="en-US" w:eastAsia="zh-CN"/>
        </w:rPr>
        <w:t xml:space="preserve">      </w:t>
      </w:r>
    </w:p>
    <w:p>
      <w:pPr>
        <w:spacing w:line="240" w:lineRule="auto"/>
        <w:rPr>
          <w:lang w:val="en-US"/>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p>
    <w:p>
      <w:pPr>
        <w:spacing w:line="240" w:lineRule="auto"/>
        <w:rPr>
          <w:rFonts w:hint="eastAsia"/>
          <w:lang w:val="en-US" w:eastAsia="zh-CN"/>
        </w:rPr>
      </w:pPr>
      <w:bookmarkStart w:id="9" w:name="8130-1536542303665"/>
      <w:bookmarkEnd w:id="9"/>
      <w:bookmarkStart w:id="10" w:name="8598-1536542303673"/>
      <w:bookmarkEnd w:id="10"/>
      <w:r>
        <w:rPr>
          <w:rFonts w:hint="eastAsia"/>
          <w:lang w:val="en-US" w:eastAsia="zh-CN"/>
        </w:rPr>
        <w:t xml:space="preserve"> </w:t>
      </w:r>
    </w:p>
    <w:p>
      <w:pPr>
        <w:spacing w:line="240" w:lineRule="auto"/>
        <w:rPr>
          <w:rFonts w:hint="eastAsia"/>
          <w:lang w:val="en-US" w:eastAsia="zh-CN"/>
        </w:rPr>
      </w:pPr>
      <w:r>
        <w:rPr>
          <w:rFonts w:hint="eastAsia"/>
          <w:lang w:val="en-US" w:eastAsia="zh-CN"/>
        </w:rPr>
        <w:t>10-08日关注股票</w:t>
      </w:r>
    </w:p>
    <w:p>
      <w:pPr>
        <w:spacing w:line="240" w:lineRule="auto"/>
        <w:rPr>
          <w:rFonts w:hint="eastAsia" w:eastAsiaTheme="minorEastAsia"/>
          <w:strike/>
          <w:dstrike w:val="0"/>
          <w:lang w:val="en-US" w:eastAsia="zh-CN"/>
        </w:rPr>
      </w:pPr>
      <w:r>
        <w:rPr>
          <w:rFonts w:hint="eastAsia"/>
          <w:strike/>
          <w:dstrike w:val="0"/>
          <w:lang w:val="en-US" w:eastAsia="zh-CN"/>
        </w:rPr>
        <w:t>强生控股</w:t>
      </w:r>
      <w:r>
        <w:rPr>
          <w:rFonts w:hint="default"/>
          <w:strike/>
          <w:dstrike w:val="0"/>
          <w:lang w:val="en-US" w:eastAsia="zh-CN"/>
        </w:rPr>
        <w:t>(-2.05%)</w:t>
      </w:r>
      <w:r>
        <w:rPr>
          <w:rFonts w:hint="eastAsia"/>
          <w:lang w:val="en-US" w:eastAsia="zh-CN"/>
        </w:rPr>
        <w:t>、新疆浩源</w:t>
      </w:r>
      <w:r>
        <w:rPr>
          <w:rFonts w:hint="default"/>
          <w:lang w:val="en-US" w:eastAsia="zh-CN"/>
        </w:rPr>
        <w:t>(+10.00%)</w:t>
      </w:r>
      <w:r>
        <w:rPr>
          <w:rFonts w:hint="eastAsia"/>
          <w:lang w:val="en-US" w:eastAsia="zh-CN"/>
        </w:rPr>
        <w:t>、佩蒂股份</w:t>
      </w:r>
      <w:r>
        <w:rPr>
          <w:rFonts w:hint="default"/>
          <w:lang w:val="en-US" w:eastAsia="zh-CN"/>
        </w:rPr>
        <w:t>(</w:t>
      </w:r>
      <w:r>
        <w:rPr>
          <w:rFonts w:hint="eastAsia"/>
          <w:lang w:val="en-US" w:eastAsia="zh-CN"/>
        </w:rPr>
        <w:t>-</w:t>
      </w:r>
      <w:r>
        <w:rPr>
          <w:rFonts w:hint="default"/>
          <w:lang w:val="en-US" w:eastAsia="zh-CN"/>
        </w:rPr>
        <w:t>0.24%)</w:t>
      </w:r>
      <w:r>
        <w:rPr>
          <w:rFonts w:hint="eastAsia"/>
          <w:lang w:val="en-US" w:eastAsia="zh-CN"/>
        </w:rPr>
        <w:t>、</w:t>
      </w:r>
      <w:r>
        <w:rPr>
          <w:rFonts w:hint="eastAsia"/>
          <w:strike/>
          <w:dstrike w:val="0"/>
          <w:lang w:val="en-US" w:eastAsia="zh-CN"/>
        </w:rPr>
        <w:t>益丰药房（-</w:t>
      </w:r>
      <w:r>
        <w:rPr>
          <w:rFonts w:hint="default"/>
          <w:strike/>
          <w:dstrike w:val="0"/>
          <w:lang w:val="en-US" w:eastAsia="zh-CN"/>
        </w:rPr>
        <w:t>0.24</w:t>
      </w:r>
      <w:r>
        <w:rPr>
          <w:rFonts w:hint="eastAsia"/>
          <w:strike/>
          <w:dstrike w:val="0"/>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10-10日关注股票</w:t>
      </w:r>
    </w:p>
    <w:p>
      <w:pPr>
        <w:spacing w:line="240" w:lineRule="auto"/>
        <w:rPr>
          <w:rFonts w:hint="eastAsia"/>
          <w:strike/>
          <w:dstrike w:val="0"/>
          <w:lang w:val="en-US" w:eastAsia="zh-CN"/>
        </w:rPr>
      </w:pPr>
      <w:r>
        <w:rPr>
          <w:rFonts w:hint="eastAsia"/>
          <w:strike/>
          <w:dstrike w:val="0"/>
          <w:lang w:val="en-US" w:eastAsia="zh-CN"/>
        </w:rPr>
        <w:t>德新交运（-8.13%）、宝德股份（-9.04%）、贵州燃气（+0.30%）、川恒股份（-2.39%）、西部牧业（-10.00%）、卫信康（-9.61%）、西藏天路（+6.73%）</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10-11日关注股票</w:t>
      </w:r>
    </w:p>
    <w:p>
      <w:pPr>
        <w:spacing w:line="240" w:lineRule="auto"/>
        <w:rPr>
          <w:rFonts w:hint="default"/>
          <w:strike/>
          <w:dstrike w:val="0"/>
          <w:lang w:val="en-US" w:eastAsia="zh-CN"/>
        </w:rPr>
      </w:pPr>
      <w:r>
        <w:rPr>
          <w:rFonts w:hint="eastAsia"/>
          <w:strike/>
          <w:dstrike w:val="0"/>
          <w:lang w:val="en-US" w:eastAsia="zh-CN"/>
        </w:rPr>
        <w:t>今飞凯达</w:t>
      </w:r>
      <w:r>
        <w:rPr>
          <w:rFonts w:hint="default"/>
          <w:strike/>
          <w:dstrike w:val="0"/>
          <w:lang w:val="en-US" w:eastAsia="zh-CN"/>
        </w:rPr>
        <w:t>(-1.22%)</w:t>
      </w:r>
      <w:r>
        <w:rPr>
          <w:rFonts w:hint="eastAsia"/>
          <w:strike/>
          <w:dstrike w:val="0"/>
          <w:lang w:val="en-US" w:eastAsia="zh-CN"/>
        </w:rPr>
        <w:t>、西藏发展</w:t>
      </w:r>
      <w:r>
        <w:rPr>
          <w:rFonts w:hint="default"/>
          <w:strike/>
          <w:dstrike w:val="0"/>
          <w:lang w:val="en-US" w:eastAsia="zh-CN"/>
        </w:rPr>
        <w:t>(+8.73%)</w:t>
      </w:r>
      <w:r>
        <w:rPr>
          <w:rFonts w:hint="eastAsia"/>
          <w:strike/>
          <w:dstrike w:val="0"/>
          <w:lang w:val="en-US" w:eastAsia="zh-CN"/>
        </w:rPr>
        <w:t>、江龙船艇</w:t>
      </w:r>
      <w:r>
        <w:rPr>
          <w:rFonts w:hint="default"/>
          <w:strike/>
          <w:dstrike w:val="0"/>
          <w:lang w:val="en-US" w:eastAsia="zh-CN"/>
        </w:rPr>
        <w:t>(+9.99%)</w:t>
      </w:r>
      <w:r>
        <w:rPr>
          <w:rFonts w:hint="eastAsia"/>
          <w:strike/>
          <w:dstrike w:val="0"/>
          <w:lang w:val="en-US" w:eastAsia="zh-CN"/>
        </w:rPr>
        <w:t>、千山药机</w:t>
      </w:r>
      <w:r>
        <w:rPr>
          <w:rFonts w:hint="default"/>
          <w:strike/>
          <w:dstrike w:val="0"/>
          <w:lang w:val="en-US" w:eastAsia="zh-CN"/>
        </w:rPr>
        <w:t>(-6.85%)</w:t>
      </w:r>
      <w:r>
        <w:rPr>
          <w:rFonts w:hint="eastAsia"/>
          <w:strike/>
          <w:dstrike w:val="0"/>
          <w:lang w:val="en-US" w:eastAsia="zh-CN"/>
        </w:rPr>
        <w:t>、金牛化工</w:t>
      </w:r>
      <w:r>
        <w:rPr>
          <w:rFonts w:hint="default"/>
          <w:strike/>
          <w:dstrike w:val="0"/>
          <w:lang w:val="en-US" w:eastAsia="zh-CN"/>
        </w:rPr>
        <w:t>(-3.34%)</w:t>
      </w:r>
      <w:r>
        <w:rPr>
          <w:rFonts w:hint="eastAsia"/>
          <w:strike/>
          <w:dstrike w:val="0"/>
          <w:lang w:val="en-US" w:eastAsia="zh-CN"/>
        </w:rPr>
        <w:t>、锋龙股份</w:t>
      </w:r>
      <w:r>
        <w:rPr>
          <w:rFonts w:hint="default"/>
          <w:strike/>
          <w:dstrike w:val="0"/>
          <w:lang w:val="en-US" w:eastAsia="zh-CN"/>
        </w:rPr>
        <w:t>(+1.13%)</w:t>
      </w:r>
    </w:p>
    <w:p>
      <w:pPr>
        <w:spacing w:line="240" w:lineRule="auto"/>
        <w:rPr>
          <w:rFonts w:hint="default"/>
          <w:lang w:val="en-US" w:eastAsia="zh-CN"/>
        </w:rPr>
      </w:pPr>
    </w:p>
    <w:p>
      <w:pPr>
        <w:spacing w:line="240" w:lineRule="auto"/>
        <w:rPr>
          <w:rFonts w:hint="eastAsia"/>
          <w:lang w:val="en-US" w:eastAsia="zh-CN"/>
        </w:rPr>
      </w:pPr>
      <w:r>
        <w:rPr>
          <w:rFonts w:hint="default"/>
          <w:lang w:val="en-US" w:eastAsia="zh-CN"/>
        </w:rPr>
        <w:t>10-12</w:t>
      </w:r>
      <w:r>
        <w:rPr>
          <w:rFonts w:hint="eastAsia"/>
          <w:lang w:val="en-US" w:eastAsia="zh-CN"/>
        </w:rPr>
        <w:t>日关注股票</w:t>
      </w:r>
    </w:p>
    <w:p>
      <w:pPr>
        <w:spacing w:line="240" w:lineRule="auto"/>
        <w:rPr>
          <w:rFonts w:hint="eastAsia"/>
          <w:strike/>
          <w:dstrike w:val="0"/>
          <w:lang w:val="en-US" w:eastAsia="zh-CN"/>
        </w:rPr>
      </w:pPr>
      <w:r>
        <w:rPr>
          <w:rFonts w:hint="eastAsia"/>
          <w:strike/>
          <w:dstrike w:val="0"/>
          <w:lang w:val="en-US" w:eastAsia="zh-CN"/>
        </w:rPr>
        <w:t>紫光国微（-</w:t>
      </w:r>
      <w:r>
        <w:rPr>
          <w:rFonts w:hint="default"/>
          <w:strike/>
          <w:dstrike w:val="0"/>
          <w:lang w:val="en-US" w:eastAsia="zh-CN"/>
        </w:rPr>
        <w:t>7.15</w:t>
      </w:r>
      <w:r>
        <w:rPr>
          <w:rFonts w:hint="eastAsia"/>
          <w:strike/>
          <w:dstrike w:val="0"/>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10-15日关注股票</w:t>
      </w:r>
      <w:bookmarkStart w:id="14" w:name="_GoBack"/>
      <w:bookmarkEnd w:id="14"/>
    </w:p>
    <w:p>
      <w:pPr>
        <w:spacing w:line="240" w:lineRule="auto"/>
        <w:rPr>
          <w:rFonts w:hint="eastAsia"/>
          <w:strike/>
          <w:dstrike w:val="0"/>
          <w:lang w:val="en-US" w:eastAsia="zh-CN"/>
        </w:rPr>
      </w:pPr>
      <w:r>
        <w:rPr>
          <w:rFonts w:hint="eastAsia"/>
          <w:strike/>
          <w:dstrike w:val="0"/>
          <w:lang w:val="en-US" w:eastAsia="zh-CN"/>
        </w:rPr>
        <w:t>汇川技术</w:t>
      </w:r>
      <w:r>
        <w:rPr>
          <w:rFonts w:hint="default"/>
          <w:strike/>
          <w:dstrike w:val="0"/>
          <w:lang w:val="en-US" w:eastAsia="zh-CN"/>
        </w:rPr>
        <w:t>(-5.05%)</w:t>
      </w:r>
    </w:p>
    <w:p>
      <w:pPr>
        <w:spacing w:line="240" w:lineRule="auto"/>
        <w:rPr>
          <w:rFonts w:hint="eastAsia"/>
          <w:lang w:val="en-US" w:eastAsia="zh-CN"/>
        </w:rPr>
      </w:pPr>
    </w:p>
    <w:p>
      <w:pPr>
        <w:spacing w:line="240" w:lineRule="auto"/>
        <w:rPr>
          <w:rFonts w:hint="eastAsia"/>
          <w:lang w:val="en-US" w:eastAsia="zh-CN"/>
        </w:rPr>
      </w:pPr>
      <w:r>
        <w:rPr>
          <w:rFonts w:hint="default"/>
          <w:lang w:val="en-US" w:eastAsia="zh-CN"/>
        </w:rPr>
        <w:t>10-16</w:t>
      </w:r>
      <w:r>
        <w:rPr>
          <w:rFonts w:hint="eastAsia"/>
          <w:lang w:val="en-US" w:eastAsia="zh-CN"/>
        </w:rPr>
        <w:t>日关注股票：</w:t>
      </w:r>
    </w:p>
    <w:p>
      <w:pPr>
        <w:spacing w:line="240" w:lineRule="auto"/>
        <w:rPr>
          <w:rFonts w:hint="eastAsia" w:eastAsiaTheme="minorEastAsia"/>
          <w:lang w:val="en-US" w:eastAsia="zh-CN"/>
        </w:rPr>
      </w:pPr>
      <w:r>
        <w:rPr>
          <w:rFonts w:hint="eastAsia"/>
          <w:lang w:val="en-US" w:eastAsia="zh-CN"/>
        </w:rPr>
        <w:t>云南城投、大东海A、海峡股份、海航基础、钧达股份</w:t>
      </w:r>
    </w:p>
    <w:p>
      <w:pPr>
        <w:spacing w:line="240" w:lineRule="auto"/>
        <w:rPr>
          <w:rFonts w:hint="eastAsia"/>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eastAsiaTheme="minor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4197"/>
    <w:rsid w:val="006764BA"/>
    <w:rsid w:val="00697FC3"/>
    <w:rsid w:val="00901FB1"/>
    <w:rsid w:val="01056385"/>
    <w:rsid w:val="0152242D"/>
    <w:rsid w:val="01647B7E"/>
    <w:rsid w:val="01977FEF"/>
    <w:rsid w:val="0202356D"/>
    <w:rsid w:val="02840E6B"/>
    <w:rsid w:val="0293307A"/>
    <w:rsid w:val="029B43B0"/>
    <w:rsid w:val="029F1E5F"/>
    <w:rsid w:val="03217E12"/>
    <w:rsid w:val="033B014F"/>
    <w:rsid w:val="03D77D11"/>
    <w:rsid w:val="03DA5A87"/>
    <w:rsid w:val="04220426"/>
    <w:rsid w:val="04525AAA"/>
    <w:rsid w:val="04A641E4"/>
    <w:rsid w:val="04AF28FE"/>
    <w:rsid w:val="04CE0549"/>
    <w:rsid w:val="051801EF"/>
    <w:rsid w:val="05224B2F"/>
    <w:rsid w:val="0563041F"/>
    <w:rsid w:val="057E173A"/>
    <w:rsid w:val="058E3BE7"/>
    <w:rsid w:val="059F2277"/>
    <w:rsid w:val="05DB0C89"/>
    <w:rsid w:val="05F42636"/>
    <w:rsid w:val="062D1854"/>
    <w:rsid w:val="062F1F01"/>
    <w:rsid w:val="066107E1"/>
    <w:rsid w:val="066C601E"/>
    <w:rsid w:val="067A6AFF"/>
    <w:rsid w:val="06B03E2C"/>
    <w:rsid w:val="06C47C16"/>
    <w:rsid w:val="06D30ADE"/>
    <w:rsid w:val="070A6F35"/>
    <w:rsid w:val="075B55B8"/>
    <w:rsid w:val="078270AF"/>
    <w:rsid w:val="07DB23C7"/>
    <w:rsid w:val="082D6981"/>
    <w:rsid w:val="084322AE"/>
    <w:rsid w:val="08447F53"/>
    <w:rsid w:val="084721DB"/>
    <w:rsid w:val="084C0D07"/>
    <w:rsid w:val="084F6707"/>
    <w:rsid w:val="085E77E3"/>
    <w:rsid w:val="0912413A"/>
    <w:rsid w:val="092D0512"/>
    <w:rsid w:val="092F2F78"/>
    <w:rsid w:val="093670EF"/>
    <w:rsid w:val="093B7917"/>
    <w:rsid w:val="09740E46"/>
    <w:rsid w:val="09C162DD"/>
    <w:rsid w:val="09C3792A"/>
    <w:rsid w:val="09D47958"/>
    <w:rsid w:val="0A400DBB"/>
    <w:rsid w:val="0A647BE1"/>
    <w:rsid w:val="0A8F079E"/>
    <w:rsid w:val="0B034842"/>
    <w:rsid w:val="0B0E0B30"/>
    <w:rsid w:val="0B264614"/>
    <w:rsid w:val="0B5F4434"/>
    <w:rsid w:val="0BA85F8D"/>
    <w:rsid w:val="0C1A48EA"/>
    <w:rsid w:val="0C212C19"/>
    <w:rsid w:val="0C2D340E"/>
    <w:rsid w:val="0C3F4D9B"/>
    <w:rsid w:val="0C6E045E"/>
    <w:rsid w:val="0C880409"/>
    <w:rsid w:val="0CAA6A0A"/>
    <w:rsid w:val="0CE272BE"/>
    <w:rsid w:val="0D275AA8"/>
    <w:rsid w:val="0D4C6DF5"/>
    <w:rsid w:val="0D5669F9"/>
    <w:rsid w:val="0D5A65C9"/>
    <w:rsid w:val="0D5E2687"/>
    <w:rsid w:val="0D7E4FD5"/>
    <w:rsid w:val="0DBA54E4"/>
    <w:rsid w:val="0DE62585"/>
    <w:rsid w:val="0E6924DC"/>
    <w:rsid w:val="0EC71C3E"/>
    <w:rsid w:val="0EDE708A"/>
    <w:rsid w:val="0F305A06"/>
    <w:rsid w:val="0F5A3C27"/>
    <w:rsid w:val="0F905F80"/>
    <w:rsid w:val="0F9718D9"/>
    <w:rsid w:val="0FE75D85"/>
    <w:rsid w:val="0FEC709E"/>
    <w:rsid w:val="100B14A3"/>
    <w:rsid w:val="10214A7C"/>
    <w:rsid w:val="10295D8E"/>
    <w:rsid w:val="10603BF4"/>
    <w:rsid w:val="106415C5"/>
    <w:rsid w:val="10766EF7"/>
    <w:rsid w:val="10771EFF"/>
    <w:rsid w:val="107A0C96"/>
    <w:rsid w:val="108E1355"/>
    <w:rsid w:val="10F71086"/>
    <w:rsid w:val="110F72C1"/>
    <w:rsid w:val="114C1096"/>
    <w:rsid w:val="115724B6"/>
    <w:rsid w:val="117F785F"/>
    <w:rsid w:val="11A17BC3"/>
    <w:rsid w:val="11D86036"/>
    <w:rsid w:val="125C533A"/>
    <w:rsid w:val="129F0628"/>
    <w:rsid w:val="12A42AB2"/>
    <w:rsid w:val="13155065"/>
    <w:rsid w:val="13264D6F"/>
    <w:rsid w:val="13430B4B"/>
    <w:rsid w:val="136F1A34"/>
    <w:rsid w:val="138B4200"/>
    <w:rsid w:val="13CA5C4D"/>
    <w:rsid w:val="13D552EC"/>
    <w:rsid w:val="13EE15FA"/>
    <w:rsid w:val="14244DD5"/>
    <w:rsid w:val="14C0137C"/>
    <w:rsid w:val="14EA5225"/>
    <w:rsid w:val="15120F09"/>
    <w:rsid w:val="15270E26"/>
    <w:rsid w:val="15325154"/>
    <w:rsid w:val="157113EA"/>
    <w:rsid w:val="157C53E9"/>
    <w:rsid w:val="157F1CD1"/>
    <w:rsid w:val="159F78B9"/>
    <w:rsid w:val="15F10798"/>
    <w:rsid w:val="15F51D1C"/>
    <w:rsid w:val="160659D5"/>
    <w:rsid w:val="163E0050"/>
    <w:rsid w:val="1640732D"/>
    <w:rsid w:val="16430633"/>
    <w:rsid w:val="167B04FF"/>
    <w:rsid w:val="16BF0588"/>
    <w:rsid w:val="16C64BFD"/>
    <w:rsid w:val="16D84322"/>
    <w:rsid w:val="17007DC5"/>
    <w:rsid w:val="17026F67"/>
    <w:rsid w:val="17186B97"/>
    <w:rsid w:val="171F7A92"/>
    <w:rsid w:val="174E190C"/>
    <w:rsid w:val="17816124"/>
    <w:rsid w:val="17C32C1C"/>
    <w:rsid w:val="17C42329"/>
    <w:rsid w:val="1824019C"/>
    <w:rsid w:val="1879447F"/>
    <w:rsid w:val="18A422C2"/>
    <w:rsid w:val="18B51EC3"/>
    <w:rsid w:val="192478B7"/>
    <w:rsid w:val="19552F51"/>
    <w:rsid w:val="19DC4D71"/>
    <w:rsid w:val="1A6B657D"/>
    <w:rsid w:val="1A815BD3"/>
    <w:rsid w:val="1ABA7984"/>
    <w:rsid w:val="1ACB3375"/>
    <w:rsid w:val="1AD9601A"/>
    <w:rsid w:val="1B4367F4"/>
    <w:rsid w:val="1B5C2C5D"/>
    <w:rsid w:val="1B747074"/>
    <w:rsid w:val="1B9149EE"/>
    <w:rsid w:val="1BD2095A"/>
    <w:rsid w:val="1BDB4AD2"/>
    <w:rsid w:val="1BDD3CBF"/>
    <w:rsid w:val="1C036B4B"/>
    <w:rsid w:val="1C0C4EF8"/>
    <w:rsid w:val="1C104715"/>
    <w:rsid w:val="1C504041"/>
    <w:rsid w:val="1CA519D5"/>
    <w:rsid w:val="1CB0205B"/>
    <w:rsid w:val="1D1046F8"/>
    <w:rsid w:val="1D88197B"/>
    <w:rsid w:val="1D9C1A16"/>
    <w:rsid w:val="1D9F5997"/>
    <w:rsid w:val="1DD60858"/>
    <w:rsid w:val="1DE368CE"/>
    <w:rsid w:val="1E716A79"/>
    <w:rsid w:val="1EAC0280"/>
    <w:rsid w:val="1EF13AE1"/>
    <w:rsid w:val="1F0E46A0"/>
    <w:rsid w:val="1F6B3A55"/>
    <w:rsid w:val="1FD239CE"/>
    <w:rsid w:val="2017413E"/>
    <w:rsid w:val="202F2459"/>
    <w:rsid w:val="203568E0"/>
    <w:rsid w:val="20BF12E3"/>
    <w:rsid w:val="211018D5"/>
    <w:rsid w:val="211853CD"/>
    <w:rsid w:val="215C5CA2"/>
    <w:rsid w:val="21710A68"/>
    <w:rsid w:val="2184486A"/>
    <w:rsid w:val="21980957"/>
    <w:rsid w:val="219D3E29"/>
    <w:rsid w:val="21BA4D5A"/>
    <w:rsid w:val="21C61DDE"/>
    <w:rsid w:val="21F9403C"/>
    <w:rsid w:val="221F3F25"/>
    <w:rsid w:val="22333AA1"/>
    <w:rsid w:val="22D05A47"/>
    <w:rsid w:val="22EB6D0C"/>
    <w:rsid w:val="23020B57"/>
    <w:rsid w:val="2348188E"/>
    <w:rsid w:val="2369588F"/>
    <w:rsid w:val="23887625"/>
    <w:rsid w:val="23C920C1"/>
    <w:rsid w:val="23D55828"/>
    <w:rsid w:val="24134497"/>
    <w:rsid w:val="241C417A"/>
    <w:rsid w:val="24680AE8"/>
    <w:rsid w:val="2491482B"/>
    <w:rsid w:val="249433B6"/>
    <w:rsid w:val="24944D34"/>
    <w:rsid w:val="24D421CB"/>
    <w:rsid w:val="24D4787D"/>
    <w:rsid w:val="24DE5BF2"/>
    <w:rsid w:val="24EE5C15"/>
    <w:rsid w:val="250235F1"/>
    <w:rsid w:val="25590CC6"/>
    <w:rsid w:val="257229A7"/>
    <w:rsid w:val="259C0B3C"/>
    <w:rsid w:val="25A0482C"/>
    <w:rsid w:val="25B14002"/>
    <w:rsid w:val="25E41222"/>
    <w:rsid w:val="25FA399D"/>
    <w:rsid w:val="260F4A69"/>
    <w:rsid w:val="2654390B"/>
    <w:rsid w:val="26745E1B"/>
    <w:rsid w:val="267C0312"/>
    <w:rsid w:val="269B26E9"/>
    <w:rsid w:val="26D85EDD"/>
    <w:rsid w:val="2721255F"/>
    <w:rsid w:val="275C3451"/>
    <w:rsid w:val="27C73D38"/>
    <w:rsid w:val="27E92A96"/>
    <w:rsid w:val="28022CC6"/>
    <w:rsid w:val="28411F49"/>
    <w:rsid w:val="284E2E6C"/>
    <w:rsid w:val="28DA7E14"/>
    <w:rsid w:val="28DC7F94"/>
    <w:rsid w:val="28E20191"/>
    <w:rsid w:val="29032593"/>
    <w:rsid w:val="291B5B6D"/>
    <w:rsid w:val="29384755"/>
    <w:rsid w:val="29474E9E"/>
    <w:rsid w:val="29901482"/>
    <w:rsid w:val="29F35878"/>
    <w:rsid w:val="2A7B42A5"/>
    <w:rsid w:val="2AAF3433"/>
    <w:rsid w:val="2B021229"/>
    <w:rsid w:val="2B3137EA"/>
    <w:rsid w:val="2B715FF9"/>
    <w:rsid w:val="2B8B0140"/>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5E3ABF"/>
    <w:rsid w:val="2D9E4763"/>
    <w:rsid w:val="2DA45761"/>
    <w:rsid w:val="2E251C9D"/>
    <w:rsid w:val="2E5D7A1B"/>
    <w:rsid w:val="2E6922D6"/>
    <w:rsid w:val="2E7D14DA"/>
    <w:rsid w:val="2E8B4E7A"/>
    <w:rsid w:val="2EA15342"/>
    <w:rsid w:val="2EA67169"/>
    <w:rsid w:val="2EB84CFE"/>
    <w:rsid w:val="2ED912C5"/>
    <w:rsid w:val="2EFA7779"/>
    <w:rsid w:val="2F3A36A2"/>
    <w:rsid w:val="2F6C637F"/>
    <w:rsid w:val="2F6E3251"/>
    <w:rsid w:val="2FB8673A"/>
    <w:rsid w:val="2FC1718F"/>
    <w:rsid w:val="2FD53C66"/>
    <w:rsid w:val="2FD57AE6"/>
    <w:rsid w:val="302A76D8"/>
    <w:rsid w:val="308927E7"/>
    <w:rsid w:val="30D22C4D"/>
    <w:rsid w:val="30E8604C"/>
    <w:rsid w:val="31832045"/>
    <w:rsid w:val="31980BDD"/>
    <w:rsid w:val="31BC324A"/>
    <w:rsid w:val="31DD1A19"/>
    <w:rsid w:val="31E32CEF"/>
    <w:rsid w:val="322319DA"/>
    <w:rsid w:val="32A068E9"/>
    <w:rsid w:val="32A23292"/>
    <w:rsid w:val="32CB7E65"/>
    <w:rsid w:val="32DC06BB"/>
    <w:rsid w:val="330B75BD"/>
    <w:rsid w:val="33AF76FE"/>
    <w:rsid w:val="34E038B6"/>
    <w:rsid w:val="34F01269"/>
    <w:rsid w:val="351241C6"/>
    <w:rsid w:val="351F02B8"/>
    <w:rsid w:val="35480EDF"/>
    <w:rsid w:val="35687EBB"/>
    <w:rsid w:val="35784769"/>
    <w:rsid w:val="358D7A7B"/>
    <w:rsid w:val="359A3107"/>
    <w:rsid w:val="361D0887"/>
    <w:rsid w:val="36974B8F"/>
    <w:rsid w:val="369B37BE"/>
    <w:rsid w:val="36B409CC"/>
    <w:rsid w:val="36CC20D7"/>
    <w:rsid w:val="36DC2A3B"/>
    <w:rsid w:val="36DF2AB3"/>
    <w:rsid w:val="36E07DEB"/>
    <w:rsid w:val="36EA511D"/>
    <w:rsid w:val="36F44D99"/>
    <w:rsid w:val="36F70883"/>
    <w:rsid w:val="371C5979"/>
    <w:rsid w:val="37370121"/>
    <w:rsid w:val="37866BA0"/>
    <w:rsid w:val="37D65746"/>
    <w:rsid w:val="382E3032"/>
    <w:rsid w:val="386C42FF"/>
    <w:rsid w:val="387306D3"/>
    <w:rsid w:val="38753B9D"/>
    <w:rsid w:val="389A2C3B"/>
    <w:rsid w:val="38A356B6"/>
    <w:rsid w:val="38B6134F"/>
    <w:rsid w:val="38B94A25"/>
    <w:rsid w:val="38E4492B"/>
    <w:rsid w:val="38EE644D"/>
    <w:rsid w:val="38F335E0"/>
    <w:rsid w:val="38FE3638"/>
    <w:rsid w:val="391A03B8"/>
    <w:rsid w:val="396F6F4F"/>
    <w:rsid w:val="39710EB7"/>
    <w:rsid w:val="39C67D0A"/>
    <w:rsid w:val="39D049E4"/>
    <w:rsid w:val="39DD1FC0"/>
    <w:rsid w:val="39E278CB"/>
    <w:rsid w:val="3A2B5335"/>
    <w:rsid w:val="3A31153A"/>
    <w:rsid w:val="3A3274F4"/>
    <w:rsid w:val="3A336219"/>
    <w:rsid w:val="3A4F3E22"/>
    <w:rsid w:val="3A8527BD"/>
    <w:rsid w:val="3AF87CF3"/>
    <w:rsid w:val="3B5318A0"/>
    <w:rsid w:val="3B6B5381"/>
    <w:rsid w:val="3BB57FF7"/>
    <w:rsid w:val="3BF40B5B"/>
    <w:rsid w:val="3BF674FE"/>
    <w:rsid w:val="3C411F3D"/>
    <w:rsid w:val="3C461A3C"/>
    <w:rsid w:val="3C54676F"/>
    <w:rsid w:val="3C611C77"/>
    <w:rsid w:val="3C8015C6"/>
    <w:rsid w:val="3CAC1A05"/>
    <w:rsid w:val="3CBF2113"/>
    <w:rsid w:val="3CC5059F"/>
    <w:rsid w:val="3CE109FF"/>
    <w:rsid w:val="3CF6320B"/>
    <w:rsid w:val="3D4D2885"/>
    <w:rsid w:val="3D8524B9"/>
    <w:rsid w:val="3DCC6E48"/>
    <w:rsid w:val="3E51379D"/>
    <w:rsid w:val="3E721BE4"/>
    <w:rsid w:val="3EBD4C84"/>
    <w:rsid w:val="3EBD5746"/>
    <w:rsid w:val="3ECD0A86"/>
    <w:rsid w:val="3F126C25"/>
    <w:rsid w:val="3F2E1884"/>
    <w:rsid w:val="3F406847"/>
    <w:rsid w:val="3F486D14"/>
    <w:rsid w:val="3F8B38F8"/>
    <w:rsid w:val="3FB60A8F"/>
    <w:rsid w:val="3FD50823"/>
    <w:rsid w:val="3FE6620E"/>
    <w:rsid w:val="40190984"/>
    <w:rsid w:val="402D5AAC"/>
    <w:rsid w:val="40923A38"/>
    <w:rsid w:val="409F62B0"/>
    <w:rsid w:val="40BF28FF"/>
    <w:rsid w:val="41251ED8"/>
    <w:rsid w:val="414D1A11"/>
    <w:rsid w:val="41541E79"/>
    <w:rsid w:val="415E5EAB"/>
    <w:rsid w:val="417437BF"/>
    <w:rsid w:val="41C6087A"/>
    <w:rsid w:val="41E106C4"/>
    <w:rsid w:val="42464C1F"/>
    <w:rsid w:val="42647007"/>
    <w:rsid w:val="42927BEF"/>
    <w:rsid w:val="42A261A9"/>
    <w:rsid w:val="430272B9"/>
    <w:rsid w:val="43437508"/>
    <w:rsid w:val="43A728DB"/>
    <w:rsid w:val="43B64B82"/>
    <w:rsid w:val="43F35274"/>
    <w:rsid w:val="43FD6BD7"/>
    <w:rsid w:val="445143F6"/>
    <w:rsid w:val="44515A1D"/>
    <w:rsid w:val="44D4142E"/>
    <w:rsid w:val="44D54043"/>
    <w:rsid w:val="454A7BD2"/>
    <w:rsid w:val="459A5AE0"/>
    <w:rsid w:val="45A71986"/>
    <w:rsid w:val="45B2417A"/>
    <w:rsid w:val="45D05C04"/>
    <w:rsid w:val="46792153"/>
    <w:rsid w:val="477C7EA2"/>
    <w:rsid w:val="479902B6"/>
    <w:rsid w:val="47DA073E"/>
    <w:rsid w:val="47E41BE3"/>
    <w:rsid w:val="47F628FA"/>
    <w:rsid w:val="48651EF8"/>
    <w:rsid w:val="486561CC"/>
    <w:rsid w:val="487333F6"/>
    <w:rsid w:val="48774DFE"/>
    <w:rsid w:val="489A1C79"/>
    <w:rsid w:val="48B03E9F"/>
    <w:rsid w:val="48E00AC5"/>
    <w:rsid w:val="4918362D"/>
    <w:rsid w:val="49183BBE"/>
    <w:rsid w:val="491A4ED9"/>
    <w:rsid w:val="49252B13"/>
    <w:rsid w:val="494708E3"/>
    <w:rsid w:val="497C0AAC"/>
    <w:rsid w:val="498216FD"/>
    <w:rsid w:val="49B84D2C"/>
    <w:rsid w:val="4A0715DF"/>
    <w:rsid w:val="4A192CFD"/>
    <w:rsid w:val="4A262F2E"/>
    <w:rsid w:val="4A306175"/>
    <w:rsid w:val="4A3F15B8"/>
    <w:rsid w:val="4A8169BE"/>
    <w:rsid w:val="4A8A3E4B"/>
    <w:rsid w:val="4A9506F7"/>
    <w:rsid w:val="4AC07187"/>
    <w:rsid w:val="4B176EEC"/>
    <w:rsid w:val="4B2C56D0"/>
    <w:rsid w:val="4B2E2D9C"/>
    <w:rsid w:val="4B5D46DE"/>
    <w:rsid w:val="4B935B69"/>
    <w:rsid w:val="4BDE1EA4"/>
    <w:rsid w:val="4C272A15"/>
    <w:rsid w:val="4C2F1755"/>
    <w:rsid w:val="4C344AA1"/>
    <w:rsid w:val="4C8E5216"/>
    <w:rsid w:val="4CFF366F"/>
    <w:rsid w:val="4D3A7C59"/>
    <w:rsid w:val="4D3B644C"/>
    <w:rsid w:val="4D3C2959"/>
    <w:rsid w:val="4DAF3144"/>
    <w:rsid w:val="4E033A95"/>
    <w:rsid w:val="4E054997"/>
    <w:rsid w:val="4E545DE4"/>
    <w:rsid w:val="4EF86E1A"/>
    <w:rsid w:val="4F32218E"/>
    <w:rsid w:val="4F4D4A7F"/>
    <w:rsid w:val="4F4E26AD"/>
    <w:rsid w:val="4F965F99"/>
    <w:rsid w:val="4FA51FC1"/>
    <w:rsid w:val="4FBA02D7"/>
    <w:rsid w:val="4FBD302C"/>
    <w:rsid w:val="4FCE2834"/>
    <w:rsid w:val="4FEE729E"/>
    <w:rsid w:val="4FF25B13"/>
    <w:rsid w:val="50111B63"/>
    <w:rsid w:val="501D1529"/>
    <w:rsid w:val="508F4E81"/>
    <w:rsid w:val="50F80D92"/>
    <w:rsid w:val="51064251"/>
    <w:rsid w:val="511D6223"/>
    <w:rsid w:val="51296F56"/>
    <w:rsid w:val="519F60B2"/>
    <w:rsid w:val="51AE15D4"/>
    <w:rsid w:val="51B95E72"/>
    <w:rsid w:val="52347744"/>
    <w:rsid w:val="52393C1D"/>
    <w:rsid w:val="52521A3D"/>
    <w:rsid w:val="527B5F26"/>
    <w:rsid w:val="529F4222"/>
    <w:rsid w:val="52A55CB3"/>
    <w:rsid w:val="52A91F2B"/>
    <w:rsid w:val="52B23FA9"/>
    <w:rsid w:val="52E45DE5"/>
    <w:rsid w:val="53195672"/>
    <w:rsid w:val="535457FD"/>
    <w:rsid w:val="538C0DB6"/>
    <w:rsid w:val="53D109CC"/>
    <w:rsid w:val="54026EF3"/>
    <w:rsid w:val="54120CE3"/>
    <w:rsid w:val="54224AEE"/>
    <w:rsid w:val="54366104"/>
    <w:rsid w:val="54381B54"/>
    <w:rsid w:val="54533030"/>
    <w:rsid w:val="54706F37"/>
    <w:rsid w:val="549B0BFD"/>
    <w:rsid w:val="54EC5526"/>
    <w:rsid w:val="54F713F9"/>
    <w:rsid w:val="55102B46"/>
    <w:rsid w:val="5539209E"/>
    <w:rsid w:val="556E1E0E"/>
    <w:rsid w:val="557B5091"/>
    <w:rsid w:val="55964F95"/>
    <w:rsid w:val="559A6F4B"/>
    <w:rsid w:val="55AA20C6"/>
    <w:rsid w:val="55CD2683"/>
    <w:rsid w:val="55CE5218"/>
    <w:rsid w:val="55F02B37"/>
    <w:rsid w:val="55F52A95"/>
    <w:rsid w:val="56AD2F65"/>
    <w:rsid w:val="56E04480"/>
    <w:rsid w:val="572E1DC4"/>
    <w:rsid w:val="57751DA1"/>
    <w:rsid w:val="57A976CF"/>
    <w:rsid w:val="57D90E3A"/>
    <w:rsid w:val="58051E72"/>
    <w:rsid w:val="582A524A"/>
    <w:rsid w:val="58535237"/>
    <w:rsid w:val="586D2587"/>
    <w:rsid w:val="587D70BF"/>
    <w:rsid w:val="58845475"/>
    <w:rsid w:val="589E3082"/>
    <w:rsid w:val="589E51D8"/>
    <w:rsid w:val="58B26326"/>
    <w:rsid w:val="592E6E44"/>
    <w:rsid w:val="59427279"/>
    <w:rsid w:val="59443F0F"/>
    <w:rsid w:val="594606B0"/>
    <w:rsid w:val="595A4F46"/>
    <w:rsid w:val="597804E9"/>
    <w:rsid w:val="59B355A8"/>
    <w:rsid w:val="59DC5C31"/>
    <w:rsid w:val="5A41796E"/>
    <w:rsid w:val="5A6B2536"/>
    <w:rsid w:val="5A902353"/>
    <w:rsid w:val="5AC83137"/>
    <w:rsid w:val="5AED4CE2"/>
    <w:rsid w:val="5AFE4B41"/>
    <w:rsid w:val="5AFE6C9F"/>
    <w:rsid w:val="5B61273E"/>
    <w:rsid w:val="5B740E56"/>
    <w:rsid w:val="5B901EF3"/>
    <w:rsid w:val="5BD0210D"/>
    <w:rsid w:val="5C256739"/>
    <w:rsid w:val="5C2C016F"/>
    <w:rsid w:val="5C384E29"/>
    <w:rsid w:val="5C3B42D6"/>
    <w:rsid w:val="5C4B7D70"/>
    <w:rsid w:val="5C78176A"/>
    <w:rsid w:val="5C89301D"/>
    <w:rsid w:val="5C91003A"/>
    <w:rsid w:val="5C941E9A"/>
    <w:rsid w:val="5CD45A79"/>
    <w:rsid w:val="5CFD2BAF"/>
    <w:rsid w:val="5D372D3D"/>
    <w:rsid w:val="5DA97C2A"/>
    <w:rsid w:val="5DF904C3"/>
    <w:rsid w:val="5E0619EE"/>
    <w:rsid w:val="5E18530F"/>
    <w:rsid w:val="5E83792B"/>
    <w:rsid w:val="5EB22C18"/>
    <w:rsid w:val="5ECD13E0"/>
    <w:rsid w:val="5EDA5E4B"/>
    <w:rsid w:val="5EE24148"/>
    <w:rsid w:val="5EEF2C72"/>
    <w:rsid w:val="5EFB6652"/>
    <w:rsid w:val="5F113FE6"/>
    <w:rsid w:val="5F1F04B3"/>
    <w:rsid w:val="5F54205E"/>
    <w:rsid w:val="5F7F0FCC"/>
    <w:rsid w:val="5F864151"/>
    <w:rsid w:val="5FA16171"/>
    <w:rsid w:val="5FDC54B2"/>
    <w:rsid w:val="60290442"/>
    <w:rsid w:val="60396B20"/>
    <w:rsid w:val="60397D0D"/>
    <w:rsid w:val="603E4C08"/>
    <w:rsid w:val="607B0F50"/>
    <w:rsid w:val="60866833"/>
    <w:rsid w:val="60A564FB"/>
    <w:rsid w:val="60A772D5"/>
    <w:rsid w:val="6100428F"/>
    <w:rsid w:val="61325CA3"/>
    <w:rsid w:val="61B31EEA"/>
    <w:rsid w:val="622B4947"/>
    <w:rsid w:val="623C29CA"/>
    <w:rsid w:val="62642FCC"/>
    <w:rsid w:val="629321D7"/>
    <w:rsid w:val="62972F0F"/>
    <w:rsid w:val="62DA1607"/>
    <w:rsid w:val="630579C8"/>
    <w:rsid w:val="6309664E"/>
    <w:rsid w:val="63284643"/>
    <w:rsid w:val="632A0132"/>
    <w:rsid w:val="632B7E9C"/>
    <w:rsid w:val="633817A6"/>
    <w:rsid w:val="63520053"/>
    <w:rsid w:val="636433B8"/>
    <w:rsid w:val="63A60C4C"/>
    <w:rsid w:val="63DA744D"/>
    <w:rsid w:val="63F130FF"/>
    <w:rsid w:val="64022E8C"/>
    <w:rsid w:val="640E4306"/>
    <w:rsid w:val="64357186"/>
    <w:rsid w:val="64401FB1"/>
    <w:rsid w:val="644244C6"/>
    <w:rsid w:val="645455F2"/>
    <w:rsid w:val="647C41D5"/>
    <w:rsid w:val="649D4F05"/>
    <w:rsid w:val="64CA54C0"/>
    <w:rsid w:val="64E57549"/>
    <w:rsid w:val="651057F3"/>
    <w:rsid w:val="651A6DCE"/>
    <w:rsid w:val="65466BDA"/>
    <w:rsid w:val="65753AF2"/>
    <w:rsid w:val="657A5CEE"/>
    <w:rsid w:val="65BA7C51"/>
    <w:rsid w:val="65E21C88"/>
    <w:rsid w:val="661E0E6E"/>
    <w:rsid w:val="6643305A"/>
    <w:rsid w:val="66817794"/>
    <w:rsid w:val="672A14EE"/>
    <w:rsid w:val="672A527A"/>
    <w:rsid w:val="674468F2"/>
    <w:rsid w:val="67525CE9"/>
    <w:rsid w:val="67600DEC"/>
    <w:rsid w:val="67694B6F"/>
    <w:rsid w:val="67D46CBE"/>
    <w:rsid w:val="68273E23"/>
    <w:rsid w:val="68717FC0"/>
    <w:rsid w:val="688F28C6"/>
    <w:rsid w:val="68931A71"/>
    <w:rsid w:val="690E470A"/>
    <w:rsid w:val="69455631"/>
    <w:rsid w:val="69511D7C"/>
    <w:rsid w:val="69AF334E"/>
    <w:rsid w:val="69B20BA4"/>
    <w:rsid w:val="69B338D7"/>
    <w:rsid w:val="69E61A81"/>
    <w:rsid w:val="6A0B4A62"/>
    <w:rsid w:val="6A272C44"/>
    <w:rsid w:val="6A4A53D9"/>
    <w:rsid w:val="6A4C1F16"/>
    <w:rsid w:val="6A584D82"/>
    <w:rsid w:val="6AC53309"/>
    <w:rsid w:val="6B5B4C25"/>
    <w:rsid w:val="6B82310F"/>
    <w:rsid w:val="6B9955C4"/>
    <w:rsid w:val="6BA94B6C"/>
    <w:rsid w:val="6BBE23AC"/>
    <w:rsid w:val="6BC9393A"/>
    <w:rsid w:val="6BC965DC"/>
    <w:rsid w:val="6BD05FE0"/>
    <w:rsid w:val="6C15278F"/>
    <w:rsid w:val="6C192C77"/>
    <w:rsid w:val="6C680B1C"/>
    <w:rsid w:val="6C6830AB"/>
    <w:rsid w:val="6CA35071"/>
    <w:rsid w:val="6CAA2244"/>
    <w:rsid w:val="6D176C50"/>
    <w:rsid w:val="6D6B1A32"/>
    <w:rsid w:val="6D830976"/>
    <w:rsid w:val="6D9C47D4"/>
    <w:rsid w:val="6DB3004E"/>
    <w:rsid w:val="6DEF27A5"/>
    <w:rsid w:val="6DF1004A"/>
    <w:rsid w:val="6DF76419"/>
    <w:rsid w:val="6E2E21AD"/>
    <w:rsid w:val="6E5B527C"/>
    <w:rsid w:val="6E865950"/>
    <w:rsid w:val="6E8B12C4"/>
    <w:rsid w:val="6E921DF4"/>
    <w:rsid w:val="6F74384E"/>
    <w:rsid w:val="6F7A1086"/>
    <w:rsid w:val="6F7D30C6"/>
    <w:rsid w:val="6F855C15"/>
    <w:rsid w:val="6FCD6A80"/>
    <w:rsid w:val="6FDF228C"/>
    <w:rsid w:val="701048BF"/>
    <w:rsid w:val="70404FC8"/>
    <w:rsid w:val="70644806"/>
    <w:rsid w:val="70A44053"/>
    <w:rsid w:val="70B23DA1"/>
    <w:rsid w:val="710B2E1E"/>
    <w:rsid w:val="7198751A"/>
    <w:rsid w:val="71A51555"/>
    <w:rsid w:val="71C56B06"/>
    <w:rsid w:val="71E276CC"/>
    <w:rsid w:val="729E0354"/>
    <w:rsid w:val="72F05E81"/>
    <w:rsid w:val="73150265"/>
    <w:rsid w:val="733D0A3C"/>
    <w:rsid w:val="73E867D3"/>
    <w:rsid w:val="73F21569"/>
    <w:rsid w:val="74281E02"/>
    <w:rsid w:val="7453209B"/>
    <w:rsid w:val="74741EC6"/>
    <w:rsid w:val="74BE0F07"/>
    <w:rsid w:val="74C9150D"/>
    <w:rsid w:val="74D11297"/>
    <w:rsid w:val="74F77888"/>
    <w:rsid w:val="755B23F0"/>
    <w:rsid w:val="756441E0"/>
    <w:rsid w:val="759D43E0"/>
    <w:rsid w:val="75D13ED7"/>
    <w:rsid w:val="75E354AB"/>
    <w:rsid w:val="75FD0190"/>
    <w:rsid w:val="76001D27"/>
    <w:rsid w:val="76270C98"/>
    <w:rsid w:val="7659795A"/>
    <w:rsid w:val="76635F77"/>
    <w:rsid w:val="76912DA9"/>
    <w:rsid w:val="76BE2084"/>
    <w:rsid w:val="76C67A20"/>
    <w:rsid w:val="76FA32E0"/>
    <w:rsid w:val="777A7C3A"/>
    <w:rsid w:val="77B40DE8"/>
    <w:rsid w:val="77D2431F"/>
    <w:rsid w:val="786C031B"/>
    <w:rsid w:val="787B4D40"/>
    <w:rsid w:val="78B80928"/>
    <w:rsid w:val="78EB6EB1"/>
    <w:rsid w:val="791B599B"/>
    <w:rsid w:val="79374CE7"/>
    <w:rsid w:val="794319BF"/>
    <w:rsid w:val="799035A9"/>
    <w:rsid w:val="79B81A90"/>
    <w:rsid w:val="79E6546C"/>
    <w:rsid w:val="79F8170D"/>
    <w:rsid w:val="79FD14B8"/>
    <w:rsid w:val="7A096A08"/>
    <w:rsid w:val="7A2A11C4"/>
    <w:rsid w:val="7A2B2F1C"/>
    <w:rsid w:val="7A3A0843"/>
    <w:rsid w:val="7A3E6A0A"/>
    <w:rsid w:val="7A4447A6"/>
    <w:rsid w:val="7A6A7C3A"/>
    <w:rsid w:val="7ABF5A43"/>
    <w:rsid w:val="7AC77976"/>
    <w:rsid w:val="7ADA60BB"/>
    <w:rsid w:val="7B151CB1"/>
    <w:rsid w:val="7B343384"/>
    <w:rsid w:val="7B557A15"/>
    <w:rsid w:val="7BA13BF2"/>
    <w:rsid w:val="7BFC0376"/>
    <w:rsid w:val="7C0773BC"/>
    <w:rsid w:val="7C0943F2"/>
    <w:rsid w:val="7C1823A4"/>
    <w:rsid w:val="7C1E37BA"/>
    <w:rsid w:val="7C3634B1"/>
    <w:rsid w:val="7C561668"/>
    <w:rsid w:val="7C920129"/>
    <w:rsid w:val="7CA91F8C"/>
    <w:rsid w:val="7CAE0131"/>
    <w:rsid w:val="7CB876F9"/>
    <w:rsid w:val="7D4164FE"/>
    <w:rsid w:val="7D576356"/>
    <w:rsid w:val="7D632F91"/>
    <w:rsid w:val="7D8E5DA9"/>
    <w:rsid w:val="7D980DF8"/>
    <w:rsid w:val="7DCC6265"/>
    <w:rsid w:val="7E867A69"/>
    <w:rsid w:val="7E8E2BAE"/>
    <w:rsid w:val="7E900D73"/>
    <w:rsid w:val="7ED1289E"/>
    <w:rsid w:val="7EF40520"/>
    <w:rsid w:val="7EF77DD6"/>
    <w:rsid w:val="7F3F1296"/>
    <w:rsid w:val="7F581501"/>
    <w:rsid w:val="7F8E256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80</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2018-10-16T14:14:14Z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