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53.15</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55.78</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早盘急速下跌，买入做T，</w:t>
            </w:r>
            <w:r>
              <w:rPr>
                <w:rFonts w:hint="eastAsia"/>
                <w:lang w:val="en-US" w:eastAsia="zh-CN"/>
              </w:rPr>
              <w:t>左侧交易完成，寻找反弹卖点</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w:t>
            </w:r>
            <w:r>
              <w:rPr>
                <w:rFonts w:hint="default" w:asciiTheme="minorEastAsia" w:hAnsiTheme="minorEastAsia" w:cstheme="minorEastAsia"/>
                <w:b w:val="0"/>
                <w:i w:val="0"/>
                <w:color w:val="000000"/>
                <w:kern w:val="0"/>
                <w:sz w:val="21"/>
                <w:szCs w:val="21"/>
                <w:u w:val="none"/>
                <w:lang w:val="en-US" w:eastAsia="zh-CN" w:bidi="ar"/>
              </w:rPr>
              <w:t>4</w:t>
            </w:r>
            <w:r>
              <w:rPr>
                <w:rFonts w:hint="eastAsia" w:asciiTheme="minorEastAsia" w:hAnsiTheme="minorEastAsia" w:cstheme="minorEastAsia"/>
                <w:b w:val="0"/>
                <w:i w:val="0"/>
                <w:color w:val="000000"/>
                <w:kern w:val="0"/>
                <w:sz w:val="21"/>
                <w:szCs w:val="21"/>
                <w:u w:val="none"/>
                <w:lang w:val="en-US" w:eastAsia="zh-CN" w:bidi="ar"/>
              </w:rPr>
              <w:t>00股，持仓</w:t>
            </w:r>
            <w:r>
              <w:rPr>
                <w:rFonts w:hint="default" w:asciiTheme="minorEastAsia" w:hAnsiTheme="minorEastAsia" w:cstheme="minorEastAsia"/>
                <w:b w:val="0"/>
                <w:i w:val="0"/>
                <w:color w:val="000000"/>
                <w:kern w:val="0"/>
                <w:sz w:val="21"/>
                <w:szCs w:val="21"/>
                <w:u w:val="none"/>
                <w:lang w:val="en-US" w:eastAsia="zh-CN" w:bidi="ar"/>
              </w:rPr>
              <w:t>11</w:t>
            </w:r>
            <w:r>
              <w:rPr>
                <w:rFonts w:hint="eastAsia" w:asciiTheme="minorEastAsia" w:hAnsiTheme="minorEastAsia" w:cstheme="minorEastAsia"/>
                <w:b w:val="0"/>
                <w:i w:val="0"/>
                <w:color w:val="000000"/>
                <w:kern w:val="0"/>
                <w:sz w:val="21"/>
                <w:szCs w:val="21"/>
                <w:u w:val="none"/>
                <w:lang w:val="en-US" w:eastAsia="zh-CN" w:bidi="ar"/>
              </w:rPr>
              <w:t>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片仔癀</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78.93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83.99</w:t>
            </w:r>
          </w:p>
        </w:tc>
        <w:tc>
          <w:tcPr>
            <w:tcW w:w="2235" w:type="dxa"/>
            <w:vAlign w:val="top"/>
          </w:tcPr>
          <w:p>
            <w:pPr>
              <w:keepNext w:val="0"/>
              <w:keepLines w:val="0"/>
              <w:widowControl/>
              <w:suppressLineNumbers w:val="0"/>
              <w:jc w:val="left"/>
              <w:textAlignment w:val="top"/>
              <w:rPr>
                <w:rFonts w:hint="eastAsia"/>
                <w:lang w:val="en-US" w:eastAsia="zh-CN"/>
              </w:rPr>
            </w:pPr>
            <w:r>
              <w:rPr>
                <w:rFonts w:hint="eastAsia"/>
                <w:lang w:val="en-US" w:eastAsia="zh-CN"/>
              </w:rPr>
              <w:t>跌倒M头的下跌一倍的位置78.93，完成加仓，左侧交易完成，寻找反弹卖点</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w:t>
            </w:r>
            <w:r>
              <w:rPr>
                <w:rFonts w:hint="default" w:asciiTheme="minorEastAsia" w:hAnsiTheme="minorEastAsia" w:cstheme="minorEastAsia"/>
                <w:b w:val="0"/>
                <w:i w:val="0"/>
                <w:color w:val="000000"/>
                <w:kern w:val="0"/>
                <w:sz w:val="21"/>
                <w:szCs w:val="21"/>
                <w:u w:val="none"/>
                <w:lang w:val="en-US" w:eastAsia="zh-CN" w:bidi="ar"/>
              </w:rPr>
              <w:t>2</w:t>
            </w:r>
            <w:r>
              <w:rPr>
                <w:rFonts w:hint="eastAsia" w:asciiTheme="minorEastAsia" w:hAnsiTheme="minorEastAsia" w:cstheme="minorEastAsia"/>
                <w:b w:val="0"/>
                <w:i w:val="0"/>
                <w:color w:val="000000"/>
                <w:kern w:val="0"/>
                <w:sz w:val="21"/>
                <w:szCs w:val="21"/>
                <w:u w:val="none"/>
                <w:lang w:val="en-US" w:eastAsia="zh-CN" w:bidi="ar"/>
              </w:rPr>
              <w:t>00股，持仓</w:t>
            </w:r>
            <w:r>
              <w:rPr>
                <w:rFonts w:hint="default" w:asciiTheme="minorEastAsia" w:hAnsiTheme="minorEastAsia" w:cstheme="minorEastAsia"/>
                <w:b w:val="0"/>
                <w:i w:val="0"/>
                <w:color w:val="000000"/>
                <w:kern w:val="0"/>
                <w:sz w:val="21"/>
                <w:szCs w:val="21"/>
                <w:u w:val="none"/>
                <w:lang w:val="en-US" w:eastAsia="zh-CN" w:bidi="ar"/>
              </w:rPr>
              <w:t>11</w:t>
            </w:r>
            <w:r>
              <w:rPr>
                <w:rFonts w:hint="eastAsia" w:asciiTheme="minorEastAsia" w:hAnsiTheme="minorEastAsia" w:cstheme="minorEastAsia"/>
                <w:b w:val="0"/>
                <w:i w:val="0"/>
                <w:color w:val="000000"/>
                <w:kern w:val="0"/>
                <w:sz w:val="21"/>
                <w:szCs w:val="21"/>
                <w:u w:val="none"/>
                <w:lang w:val="en-US" w:eastAsia="zh-CN" w:bidi="ar"/>
              </w:rPr>
              <w:t>00股</w:t>
            </w:r>
          </w:p>
        </w:tc>
      </w:tr>
    </w:tbl>
    <w:p>
      <w:pPr>
        <w:spacing w:line="240" w:lineRule="auto"/>
      </w:pPr>
      <w:bookmarkStart w:id="0" w:name="9057-1536542303601"/>
      <w:bookmarkEnd w:id="0"/>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8</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6</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2/6</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-473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4</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lang w:val="en-US"/>
              </w:rPr>
            </w:pPr>
            <w:r>
              <w:rPr>
                <w:rFonts w:hint="default"/>
                <w:lang w:val="en-US" w:eastAsia="zh-CN"/>
              </w:rPr>
              <w:t>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2/0</w:t>
            </w:r>
          </w:p>
        </w:tc>
        <w:tc>
          <w:tcPr>
            <w:tcW w:w="1111" w:type="dxa"/>
            <w:vAlign w:val="center"/>
          </w:tcPr>
          <w:p>
            <w:pPr>
              <w:keepNext w:val="0"/>
              <w:keepLines w:val="0"/>
              <w:widowControl/>
              <w:suppressLineNumbers w:val="0"/>
              <w:jc w:val="left"/>
              <w:rPr>
                <w:lang w:val="en-US"/>
              </w:rPr>
            </w:pPr>
            <w:r>
              <w:rPr>
                <w:rFonts w:hint="default" w:ascii="微软雅黑" w:hAnsi="微软雅黑" w:eastAsia="微软雅黑" w:cs="微软雅黑"/>
                <w:b w:val="0"/>
                <w:i w:val="0"/>
                <w:color w:val="000000"/>
                <w:kern w:val="0"/>
                <w:sz w:val="21"/>
                <w:szCs w:val="21"/>
                <w:u w:val="none"/>
                <w:lang w:val="en-US" w:eastAsia="zh-CN" w:bidi="ar"/>
              </w:rPr>
              <w:t>850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1840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10</w:t>
            </w:r>
          </w:p>
        </w:tc>
        <w:tc>
          <w:tcPr>
            <w:tcW w:w="1111" w:type="dxa"/>
            <w:vAlign w:val="center"/>
          </w:tcPr>
          <w:p>
            <w:pPr>
              <w:keepNext w:val="0"/>
              <w:keepLines w:val="0"/>
              <w:widowControl/>
              <w:suppressLineNumbers w:val="0"/>
              <w:jc w:val="left"/>
              <w:rPr>
                <w:lang w:val="en-US"/>
              </w:rPr>
            </w:pPr>
            <w:r>
              <w:rPr>
                <w:rFonts w:hint="default"/>
                <w:lang w:val="en-US" w:eastAsia="zh-CN"/>
              </w:rPr>
              <w:t>5</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10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5/10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2150</w:t>
            </w:r>
          </w:p>
        </w:tc>
        <w:tc>
          <w:tcPr>
            <w:tcW w:w="1111" w:type="dxa"/>
            <w:vAlign w:val="center"/>
          </w:tcPr>
          <w:p>
            <w:pPr>
              <w:keepNext w:val="0"/>
              <w:keepLines w:val="0"/>
              <w:widowControl/>
              <w:suppressLineNumbers w:val="0"/>
              <w:jc w:val="left"/>
              <w:rPr>
                <w:lang w:val="en-US"/>
              </w:rPr>
            </w:pPr>
            <w:r>
              <w:rPr>
                <w:rFonts w:hint="default"/>
                <w:lang w:val="en-US" w:eastAsia="zh-CN"/>
              </w:rPr>
              <w:t>-1200</w:t>
            </w:r>
          </w:p>
        </w:tc>
        <w:tc>
          <w:tcPr>
            <w:tcW w:w="1044" w:type="dxa"/>
            <w:vAlign w:val="center"/>
          </w:tcPr>
          <w:p>
            <w:pPr>
              <w:keepNext w:val="0"/>
              <w:keepLines w:val="0"/>
              <w:widowControl/>
              <w:suppressLineNumbers w:val="0"/>
              <w:jc w:val="left"/>
              <w:rPr>
                <w:lang w:val="en-US"/>
              </w:rPr>
            </w:pPr>
            <w:r>
              <w:rPr>
                <w:rFonts w:hint="default"/>
                <w:lang w:val="en-US" w:eastAsia="zh-CN"/>
              </w:rPr>
              <w:t>-633</w:t>
            </w:r>
          </w:p>
        </w:tc>
      </w:tr>
    </w:tbl>
    <w:p>
      <w:pPr>
        <w:spacing w:line="240" w:lineRule="auto"/>
        <w:rPr>
          <w:rFonts w:ascii="微软雅黑" w:hAnsi="微软雅黑" w:eastAsia="微软雅黑" w:cs="微软雅黑"/>
          <w:b/>
          <w:sz w:val="22"/>
        </w:rPr>
      </w:pPr>
      <w:bookmarkStart w:id="2" w:name="2911-1536542303635"/>
      <w:bookmarkEnd w:id="2"/>
      <w:bookmarkStart w:id="3" w:name="3677-1536542303641"/>
      <w:bookmarkEnd w:id="3"/>
      <w:bookmarkStart w:id="4" w:name="2151-1536542303645"/>
      <w:bookmarkEnd w:id="4"/>
      <w:bookmarkStart w:id="5" w:name="1096-1536542303639"/>
      <w:bookmarkEnd w:id="5"/>
      <w:bookmarkStart w:id="6" w:name="8416-1536542303643"/>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cstheme="minorEastAsia"/>
          <w:b w:val="0"/>
          <w:bCs/>
          <w:sz w:val="21"/>
          <w:szCs w:val="21"/>
          <w:lang w:val="en-US" w:eastAsia="zh-CN"/>
        </w:rPr>
        <w:t>1.</w:t>
      </w:r>
      <w:r>
        <w:rPr>
          <w:rFonts w:hint="eastAsia" w:asciiTheme="minorEastAsia" w:hAnsiTheme="minorEastAsia" w:cstheme="minorEastAsia"/>
          <w:sz w:val="21"/>
          <w:szCs w:val="21"/>
          <w:lang w:val="en-US" w:eastAsia="zh-CN"/>
        </w:rPr>
        <w:t>上证：</w:t>
      </w:r>
    </w:p>
    <w:p>
      <w:pPr>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C1-5走了延长浪下跌，早盘下跌动能有效释放，万华化学Q3出来封死跌停造成白马股的恐慌性抛压，中国国旅继续恐慌性下杀-5.63%。大盘围绕2500点反复争夺，随着午后“王炸”消息出来开始完成反包走势。在30分钟缺口2558.12停下交易，等待周六、周日消息面发酵。周一关键点2570，看能否站上，然后等待回踩之后再向上。</w:t>
      </w:r>
    </w:p>
    <w:p>
      <w:pPr>
        <w:spacing w:line="240" w:lineRule="auto"/>
        <w:rPr>
          <w:rFonts w:hint="eastAsia" w:asciiTheme="minorEastAsia" w:hAnsiTheme="minorEastAsia" w:cstheme="minorEastAsia"/>
          <w:sz w:val="21"/>
          <w:szCs w:val="21"/>
          <w:lang w:val="en-US" w:eastAsia="zh-CN"/>
        </w:rPr>
      </w:pPr>
      <w:r>
        <w:drawing>
          <wp:inline distT="0" distB="0" distL="114300" distR="114300">
            <wp:extent cx="5261610" cy="2621915"/>
            <wp:effectExtent l="0" t="0" r="1524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1610" cy="2621915"/>
                    </a:xfrm>
                    <a:prstGeom prst="rect">
                      <a:avLst/>
                    </a:prstGeom>
                    <a:noFill/>
                    <a:ln w="9525">
                      <a:noFill/>
                    </a:ln>
                  </pic:spPr>
                </pic:pic>
              </a:graphicData>
            </a:graphic>
          </wp:inline>
        </w:drawing>
      </w:r>
    </w:p>
    <w:p>
      <w:pPr>
        <w:spacing w:line="240" w:lineRule="auto"/>
      </w:pPr>
    </w:p>
    <w:p>
      <w:pPr>
        <w:spacing w:line="240" w:lineRule="auto"/>
        <w:rPr>
          <w:rFonts w:hint="eastAsia"/>
          <w:lang w:val="en-US" w:eastAsia="zh-CN"/>
        </w:rPr>
      </w:pPr>
      <w:r>
        <w:rPr>
          <w:rFonts w:hint="eastAsia"/>
          <w:lang w:val="en-US" w:eastAsia="zh-CN"/>
        </w:rPr>
        <w:t>2.上证50的跌破平台，然后反包上来。</w:t>
      </w:r>
    </w:p>
    <w:p>
      <w:pPr>
        <w:spacing w:line="240" w:lineRule="auto"/>
        <w:rPr>
          <w:rFonts w:hint="eastAsia"/>
          <w:lang w:val="en-US" w:eastAsia="zh-CN"/>
        </w:rPr>
      </w:pPr>
      <w:r>
        <w:drawing>
          <wp:inline distT="0" distB="0" distL="114300" distR="114300">
            <wp:extent cx="5265420" cy="2424430"/>
            <wp:effectExtent l="0" t="0" r="1143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5420" cy="2424430"/>
                    </a:xfrm>
                    <a:prstGeom prst="rect">
                      <a:avLst/>
                    </a:prstGeom>
                    <a:noFill/>
                    <a:ln w="9525">
                      <a:noFill/>
                    </a:ln>
                  </pic:spPr>
                </pic:pic>
              </a:graphicData>
            </a:graphic>
          </wp:inline>
        </w:drawing>
      </w:r>
    </w:p>
    <w:p>
      <w:pPr>
        <w:numPr>
          <w:ilvl w:val="0"/>
          <w:numId w:val="1"/>
        </w:numPr>
        <w:spacing w:line="240" w:lineRule="auto"/>
        <w:rPr>
          <w:rFonts w:hint="eastAsia"/>
          <w:lang w:val="en-US" w:eastAsia="zh-CN"/>
        </w:rPr>
      </w:pPr>
      <w:r>
        <w:rPr>
          <w:rFonts w:hint="eastAsia"/>
          <w:lang w:val="en-US" w:eastAsia="zh-CN"/>
        </w:rPr>
        <w:t>港股：下跌25561.4， +0.42%</w:t>
      </w:r>
    </w:p>
    <w:p>
      <w:pPr>
        <w:numPr>
          <w:ilvl w:val="0"/>
          <w:numId w:val="1"/>
        </w:numPr>
        <w:spacing w:line="240" w:lineRule="auto"/>
        <w:rPr>
          <w:rFonts w:hint="eastAsia"/>
          <w:lang w:val="en-US" w:eastAsia="zh-CN"/>
        </w:rPr>
      </w:pPr>
      <w:r>
        <w:rPr>
          <w:rFonts w:hint="eastAsia"/>
          <w:lang w:val="en-US" w:eastAsia="zh-CN"/>
        </w:rPr>
        <w:t>人民币： 贬值创新低6.9337  ，-75基点</w:t>
      </w:r>
    </w:p>
    <w:p>
      <w:pPr>
        <w:numPr>
          <w:ilvl w:val="0"/>
          <w:numId w:val="1"/>
        </w:numPr>
        <w:spacing w:line="240" w:lineRule="auto"/>
        <w:rPr>
          <w:rFonts w:hint="eastAsia"/>
          <w:lang w:val="en-US" w:eastAsia="zh-CN"/>
        </w:rPr>
      </w:pPr>
      <w:r>
        <w:rPr>
          <w:rFonts w:hint="eastAsia"/>
          <w:lang w:val="en-US" w:eastAsia="zh-CN"/>
        </w:rPr>
        <w:t>GC001：2.605 ，+14.51%</w:t>
      </w:r>
    </w:p>
    <w:p>
      <w:pPr>
        <w:numPr>
          <w:ilvl w:val="0"/>
          <w:numId w:val="1"/>
        </w:numPr>
        <w:spacing w:line="240" w:lineRule="auto"/>
        <w:rPr>
          <w:rFonts w:hint="eastAsia"/>
          <w:lang w:val="en-US" w:eastAsia="zh-CN"/>
        </w:rPr>
      </w:pPr>
      <w:r>
        <w:rPr>
          <w:rFonts w:hint="eastAsia"/>
          <w:lang w:val="en-US" w:eastAsia="zh-CN"/>
        </w:rPr>
        <w:t>融资融券余额：7770亿，-50.83亿</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【宏观新闻】 </w:t>
      </w:r>
    </w:p>
    <w:p>
      <w:pPr>
        <w:spacing w:line="240" w:lineRule="auto"/>
        <w:rPr>
          <w:rFonts w:hint="eastAsia"/>
          <w:lang w:val="en-US" w:eastAsia="zh-CN"/>
        </w:rPr>
      </w:pPr>
      <w:r>
        <w:rPr>
          <w:rFonts w:hint="eastAsia"/>
          <w:lang w:val="en-US" w:eastAsia="zh-CN"/>
        </w:rPr>
        <w:t xml:space="preserve">证监会今日核发1家企业IPO批文 </w:t>
      </w:r>
    </w:p>
    <w:p>
      <w:pPr>
        <w:spacing w:line="240" w:lineRule="auto"/>
        <w:rPr>
          <w:rFonts w:hint="eastAsia"/>
          <w:lang w:val="en-US" w:eastAsia="zh-CN"/>
        </w:rPr>
      </w:pPr>
      <w:r>
        <w:rPr>
          <w:rFonts w:hint="eastAsia"/>
          <w:lang w:val="en-US" w:eastAsia="zh-CN"/>
        </w:rPr>
        <w:t xml:space="preserve">证监会：10月19日，我会按法定程序核准了浙江新农化工股份有限公司的首发申请。上述企业及其承销商将与交易所协商确定发行日程，并刊登招股文件。上述企业融资总额不超过5亿元。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证监会：积极支持优质境外上市企业到A股上市 </w:t>
      </w:r>
    </w:p>
    <w:p>
      <w:pPr>
        <w:spacing w:line="240" w:lineRule="auto"/>
        <w:rPr>
          <w:rFonts w:hint="eastAsia"/>
          <w:lang w:val="en-US" w:eastAsia="zh-CN"/>
        </w:rPr>
      </w:pPr>
      <w:r>
        <w:rPr>
          <w:rFonts w:hint="eastAsia"/>
          <w:lang w:val="en-US" w:eastAsia="zh-CN"/>
        </w:rPr>
        <w:t xml:space="preserve">证监会通报近期上市公司并购重组情况，为服务推进并购重组工作做出了以下措施：进一步简政放权，提高审核效率；针对小额交易推出快速通道；继续深化改革，完善基础性制度等；特别强调调价的合理性，加强中小投资者保护；积极支持优质境外上市企业到A股上市，回归A股市场；对于境外企业一视同仁，不设门槛。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三部委：扩大国有科技型企业股权和分红激励暂行办法实施范围 </w:t>
      </w:r>
    </w:p>
    <w:p>
      <w:pPr>
        <w:spacing w:line="240" w:lineRule="auto"/>
        <w:rPr>
          <w:rFonts w:hint="eastAsia"/>
          <w:lang w:val="en-US" w:eastAsia="zh-CN"/>
        </w:rPr>
      </w:pPr>
      <w:r>
        <w:rPr>
          <w:rFonts w:hint="eastAsia"/>
          <w:lang w:val="en-US" w:eastAsia="zh-CN"/>
        </w:rPr>
        <w:t xml:space="preserve">财政部、科技部、国资委发布关于扩大国有科技型企业股权和分红激励暂行办法实施范围等有关事项的通知，将国有科技型中小企业、国有控股上市公司所出资的各级未上市科技子企业、转制院所企业投资的科技企业纳入激励实施范围。对于国家认定的高新技术企业不再设定研发费用和研发人员指标条件。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刘鹤透露，最近以来，人民银行、银保监会、证监会以及其他相关部门都在研究出台新的改革措施，有了一些新的制度安排和政策工具。10月19日上午，这些政策已经陆续宣布，至少包括以下几个方面。</w:t>
      </w:r>
    </w:p>
    <w:p>
      <w:pPr>
        <w:spacing w:line="240" w:lineRule="auto"/>
        <w:rPr>
          <w:rFonts w:hint="eastAsia"/>
          <w:lang w:val="en-US" w:eastAsia="zh-CN"/>
        </w:rPr>
      </w:pPr>
      <w:r>
        <w:rPr>
          <w:rFonts w:hint="eastAsia"/>
          <w:lang w:val="en-US" w:eastAsia="zh-CN"/>
        </w:rPr>
        <w:t>　　一是在稳定市场方面，允许银行理财子公司对资本市场进行投资，要求金融机构科学合理做好股权质押融资业务风险管理，鼓励地方政府管理的基金、私募股权基金帮助有发展前景的公司纾解股权质押困难。</w:t>
      </w:r>
    </w:p>
    <w:p>
      <w:pPr>
        <w:spacing w:line="240" w:lineRule="auto"/>
        <w:rPr>
          <w:rFonts w:hint="eastAsia"/>
          <w:lang w:val="en-US" w:eastAsia="zh-CN"/>
        </w:rPr>
      </w:pPr>
      <w:r>
        <w:rPr>
          <w:rFonts w:hint="eastAsia"/>
          <w:lang w:val="en-US" w:eastAsia="zh-CN"/>
        </w:rPr>
        <w:t>　　二是在市场基本制度改革方面，制定《证券期货经营机构私募资产管理业务管理办法》，完善上市公司股份回购制度，深化并购重组市场化改革，推进新三板制度改革，加大对科技创新企业上市的支持力度等。</w:t>
      </w:r>
    </w:p>
    <w:p>
      <w:pPr>
        <w:spacing w:line="240" w:lineRule="auto"/>
        <w:rPr>
          <w:rFonts w:hint="eastAsia"/>
          <w:lang w:val="en-US" w:eastAsia="zh-CN"/>
        </w:rPr>
      </w:pPr>
      <w:r>
        <w:rPr>
          <w:rFonts w:hint="eastAsia"/>
          <w:lang w:val="en-US" w:eastAsia="zh-CN"/>
        </w:rPr>
        <w:t>　　三是在鼓励市场长期资金来源方面，加大保险资金财务性和战略性投资优质上市公司力度，壮大机构投资者力量，巩固市场长期投资的基础。</w:t>
      </w:r>
    </w:p>
    <w:p>
      <w:pPr>
        <w:spacing w:line="240" w:lineRule="auto"/>
        <w:rPr>
          <w:rFonts w:hint="eastAsia"/>
          <w:lang w:val="en-US" w:eastAsia="zh-CN"/>
        </w:rPr>
      </w:pPr>
      <w:r>
        <w:rPr>
          <w:rFonts w:hint="eastAsia"/>
          <w:lang w:val="en-US" w:eastAsia="zh-CN"/>
        </w:rPr>
        <w:t>　　四是在促进国企改革和民企发展方面，加快推出一系列新举措，包括推动国有企业在资本市场进行混合所有制改革，支持行业龙头民营企业进行产业兼并重组，推出民营企业债券融资支持计划以及股权融资支持计划等。</w:t>
      </w:r>
    </w:p>
    <w:p>
      <w:pPr>
        <w:spacing w:line="240" w:lineRule="auto"/>
        <w:rPr>
          <w:rFonts w:hint="eastAsia"/>
          <w:lang w:val="en-US" w:eastAsia="zh-CN"/>
        </w:rPr>
      </w:pPr>
      <w:r>
        <w:rPr>
          <w:rFonts w:hint="eastAsia"/>
          <w:lang w:val="en-US" w:eastAsia="zh-CN"/>
        </w:rPr>
        <w:t>　　五是在扩大开放方面，继续全方位扩大开放，按照习近平总书记博鳌讲话精神，加快银行、证券、保险等领域的开放。</w:t>
      </w:r>
    </w:p>
    <w:p>
      <w:pPr>
        <w:spacing w:line="240" w:lineRule="auto"/>
        <w:rPr>
          <w:rFonts w:hint="eastAsia"/>
          <w:lang w:val="en-US" w:eastAsia="zh-CN"/>
        </w:rPr>
      </w:pPr>
      <w:bookmarkStart w:id="14" w:name="_GoBack"/>
      <w:bookmarkEnd w:id="14"/>
      <w:r>
        <w:rPr>
          <w:rFonts w:hint="eastAsia"/>
          <w:lang w:val="en-US" w:eastAsia="zh-CN"/>
        </w:rPr>
        <w:t>　　在刘鹤看来，2018年是改革开放四十周年，改革开放大政方针已定，关键在狠抓落实。现在是一个行动胜过一打纲领的关键时刻，各方面落实的力度要大一点，责任心要强一点，敢于担当，快速行动，切实推出一些具体政策，推动股市健康发展。</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lang w:val="en-US" w:eastAsia="zh-CN"/>
        </w:rPr>
      </w:pPr>
      <w:r>
        <w:rPr>
          <w:rFonts w:hint="eastAsia"/>
          <w:lang w:val="en-US" w:eastAsia="zh-CN"/>
        </w:rPr>
        <w:t xml:space="preserve">证监会对4宗操纵ETF案做出行政处罚 </w:t>
      </w:r>
    </w:p>
    <w:p>
      <w:pPr>
        <w:spacing w:line="240" w:lineRule="auto"/>
        <w:rPr>
          <w:rFonts w:hint="eastAsia"/>
          <w:lang w:val="en-US" w:eastAsia="zh-CN"/>
        </w:rPr>
      </w:pPr>
      <w:r>
        <w:rPr>
          <w:rFonts w:hint="eastAsia"/>
          <w:lang w:val="en-US" w:eastAsia="zh-CN"/>
        </w:rPr>
        <w:t xml:space="preserve">深交所：本周共对439起证券异常交易行为采取了自律监管措施 </w:t>
      </w:r>
    </w:p>
    <w:p>
      <w:pPr>
        <w:spacing w:line="240" w:lineRule="auto"/>
        <w:rPr>
          <w:rFonts w:hint="eastAsia"/>
          <w:lang w:val="en-US" w:eastAsia="zh-CN"/>
        </w:rPr>
      </w:pPr>
      <w:r>
        <w:rPr>
          <w:rFonts w:hint="eastAsia"/>
          <w:lang w:val="en-US" w:eastAsia="zh-CN"/>
        </w:rPr>
        <w:t xml:space="preserve">FF控制权未明：北京数十名员工提起劳动仲裁 </w:t>
      </w:r>
    </w:p>
    <w:p>
      <w:pPr>
        <w:spacing w:line="240" w:lineRule="auto"/>
        <w:rPr>
          <w:rFonts w:hint="eastAsia"/>
          <w:lang w:val="en-US" w:eastAsia="zh-CN"/>
        </w:rPr>
      </w:pPr>
      <w:r>
        <w:rPr>
          <w:rFonts w:hint="eastAsia"/>
          <w:lang w:val="en-US" w:eastAsia="zh-CN"/>
        </w:rPr>
        <w:t xml:space="preserve">我国将加快构建完善区块链标准体系 </w:t>
      </w:r>
    </w:p>
    <w:p>
      <w:pPr>
        <w:spacing w:line="240" w:lineRule="auto"/>
        <w:rPr>
          <w:rFonts w:hint="eastAsia"/>
          <w:lang w:val="en-US" w:eastAsia="zh-CN"/>
        </w:rPr>
      </w:pPr>
      <w:r>
        <w:rPr>
          <w:rFonts w:hint="eastAsia"/>
          <w:lang w:val="en-US" w:eastAsia="zh-CN"/>
        </w:rPr>
        <w:t xml:space="preserve">今晚油价要涨了：每箱多花6.5元 </w:t>
      </w:r>
    </w:p>
    <w:p>
      <w:pPr>
        <w:spacing w:line="240" w:lineRule="auto"/>
        <w:rPr>
          <w:rFonts w:hint="eastAsia"/>
          <w:lang w:val="en-US" w:eastAsia="zh-CN"/>
        </w:rPr>
      </w:pPr>
      <w:r>
        <w:rPr>
          <w:rFonts w:hint="eastAsia"/>
          <w:lang w:val="en-US" w:eastAsia="zh-CN"/>
        </w:rPr>
        <w:t xml:space="preserve">中基协重申：私募股权投资基金可以参与上市公司并购重组 </w:t>
      </w:r>
    </w:p>
    <w:p>
      <w:pPr>
        <w:spacing w:line="240" w:lineRule="auto"/>
        <w:rPr>
          <w:rFonts w:hint="eastAsia"/>
          <w:lang w:val="en-US" w:eastAsia="zh-CN"/>
        </w:rPr>
      </w:pPr>
      <w:r>
        <w:rPr>
          <w:rFonts w:hint="eastAsia"/>
          <w:lang w:val="en-US" w:eastAsia="zh-CN"/>
        </w:rPr>
        <w:t xml:space="preserve">国务院国资委研究中心周丽莎：国资接盘是帮民企度难关 </w:t>
      </w:r>
    </w:p>
    <w:p>
      <w:pPr>
        <w:spacing w:line="240" w:lineRule="auto"/>
        <w:rPr>
          <w:rFonts w:hint="eastAsia"/>
          <w:lang w:val="en-US" w:eastAsia="zh-CN"/>
        </w:rPr>
      </w:pPr>
      <w:r>
        <w:rPr>
          <w:rFonts w:hint="eastAsia"/>
          <w:lang w:val="en-US" w:eastAsia="zh-CN"/>
        </w:rPr>
        <w:t xml:space="preserve">北京海淀召开政、银、企联合座谈会：将出台措施化解上市民企股权质押问题 </w:t>
      </w:r>
    </w:p>
    <w:p>
      <w:pPr>
        <w:spacing w:line="240" w:lineRule="auto"/>
        <w:rPr>
          <w:rFonts w:hint="eastAsia"/>
          <w:lang w:val="en-US" w:eastAsia="zh-CN"/>
        </w:rPr>
      </w:pPr>
      <w:r>
        <w:rPr>
          <w:rFonts w:hint="eastAsia"/>
          <w:lang w:val="en-US" w:eastAsia="zh-CN"/>
        </w:rPr>
        <w:t xml:space="preserve">证监会：进一步新增并购重组审核分道制豁免/快速通道产业类型 </w:t>
      </w:r>
    </w:p>
    <w:p>
      <w:pPr>
        <w:spacing w:line="240" w:lineRule="auto"/>
        <w:rPr>
          <w:rFonts w:hint="eastAsia"/>
          <w:lang w:val="en-US" w:eastAsia="zh-CN"/>
        </w:rPr>
      </w:pPr>
      <w:r>
        <w:rPr>
          <w:rFonts w:hint="eastAsia"/>
          <w:lang w:val="en-US" w:eastAsia="zh-CN"/>
        </w:rPr>
        <w:t xml:space="preserve">中国第一家外资控股券商年内或花落瑞银证券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【利好公告】 </w:t>
      </w:r>
    </w:p>
    <w:p>
      <w:pPr>
        <w:spacing w:line="240" w:lineRule="auto"/>
        <w:rPr>
          <w:rFonts w:hint="eastAsia"/>
          <w:lang w:val="en-US" w:eastAsia="zh-CN"/>
        </w:rPr>
      </w:pPr>
      <w:r>
        <w:rPr>
          <w:rFonts w:hint="eastAsia"/>
          <w:lang w:val="en-US" w:eastAsia="zh-CN"/>
        </w:rPr>
        <w:t xml:space="preserve">碧水源(300070)：参股公司拟正式启动中国境内A股发行的相关事宜 </w:t>
      </w:r>
    </w:p>
    <w:p>
      <w:pPr>
        <w:spacing w:line="240" w:lineRule="auto"/>
        <w:rPr>
          <w:rFonts w:hint="eastAsia"/>
          <w:lang w:val="en-US" w:eastAsia="zh-CN"/>
        </w:rPr>
      </w:pPr>
      <w:r>
        <w:rPr>
          <w:rFonts w:hint="eastAsia"/>
          <w:lang w:val="en-US" w:eastAsia="zh-CN"/>
        </w:rPr>
        <w:t xml:space="preserve">首开股份(600376)：预计前三季净利同比增60%至80% </w:t>
      </w:r>
    </w:p>
    <w:p>
      <w:pPr>
        <w:spacing w:line="240" w:lineRule="auto"/>
        <w:rPr>
          <w:rFonts w:hint="eastAsia"/>
          <w:lang w:val="en-US" w:eastAsia="zh-CN"/>
        </w:rPr>
      </w:pPr>
      <w:r>
        <w:rPr>
          <w:rFonts w:hint="eastAsia"/>
          <w:lang w:val="en-US" w:eastAsia="zh-CN"/>
        </w:rPr>
        <w:t xml:space="preserve">鲁阳节能(002088)：前三季净利2.3亿元 同比增65% </w:t>
      </w:r>
    </w:p>
    <w:p>
      <w:pPr>
        <w:spacing w:line="240" w:lineRule="auto"/>
        <w:rPr>
          <w:rFonts w:hint="eastAsia"/>
          <w:lang w:val="en-US" w:eastAsia="zh-CN"/>
        </w:rPr>
      </w:pPr>
      <w:r>
        <w:rPr>
          <w:rFonts w:hint="eastAsia"/>
          <w:lang w:val="en-US" w:eastAsia="zh-CN"/>
        </w:rPr>
        <w:t xml:space="preserve">欧菲科技(002456)：三季报：净利同比增长34.69% </w:t>
      </w:r>
    </w:p>
    <w:p>
      <w:pPr>
        <w:spacing w:line="240" w:lineRule="auto"/>
        <w:rPr>
          <w:rFonts w:hint="eastAsia"/>
          <w:lang w:val="en-US" w:eastAsia="zh-CN"/>
        </w:rPr>
      </w:pPr>
      <w:r>
        <w:rPr>
          <w:rFonts w:hint="eastAsia"/>
          <w:lang w:val="en-US" w:eastAsia="zh-CN"/>
        </w:rPr>
        <w:t xml:space="preserve">中恒电气(002364)：中标阿里巴巴数据中心项目高压直流及列头柜设备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lang w:val="en-US" w:eastAsia="zh-CN"/>
        </w:rPr>
      </w:pPr>
      <w:r>
        <w:rPr>
          <w:rFonts w:hint="eastAsia"/>
          <w:lang w:val="en-US" w:eastAsia="zh-CN"/>
        </w:rPr>
        <w:t>10-15日关注股票</w:t>
      </w:r>
    </w:p>
    <w:p>
      <w:pPr>
        <w:spacing w:line="240" w:lineRule="auto"/>
        <w:rPr>
          <w:rFonts w:hint="eastAsia"/>
          <w:strike/>
          <w:dstrike w:val="0"/>
          <w:lang w:val="en-US" w:eastAsia="zh-CN"/>
        </w:rPr>
      </w:pPr>
      <w:r>
        <w:rPr>
          <w:rFonts w:hint="eastAsia"/>
          <w:strike/>
          <w:dstrike w:val="0"/>
          <w:lang w:val="en-US" w:eastAsia="zh-CN"/>
        </w:rPr>
        <w:t>汇川技术</w:t>
      </w:r>
      <w:r>
        <w:rPr>
          <w:rFonts w:hint="default"/>
          <w:strike/>
          <w:dstrike w:val="0"/>
          <w:lang w:val="en-US" w:eastAsia="zh-CN"/>
        </w:rPr>
        <w:t>(-5.05%)</w:t>
      </w:r>
    </w:p>
    <w:p>
      <w:pPr>
        <w:spacing w:line="240" w:lineRule="auto"/>
        <w:rPr>
          <w:rFonts w:hint="eastAsia"/>
          <w:lang w:val="en-US" w:eastAsia="zh-CN"/>
        </w:rPr>
      </w:pPr>
    </w:p>
    <w:p>
      <w:pPr>
        <w:spacing w:line="240" w:lineRule="auto"/>
        <w:rPr>
          <w:rFonts w:hint="eastAsia"/>
          <w:lang w:val="en-US" w:eastAsia="zh-CN"/>
        </w:rPr>
      </w:pPr>
      <w:r>
        <w:rPr>
          <w:rFonts w:hint="default"/>
          <w:lang w:val="en-US" w:eastAsia="zh-CN"/>
        </w:rPr>
        <w:t>10-16</w:t>
      </w:r>
      <w:r>
        <w:rPr>
          <w:rFonts w:hint="eastAsia"/>
          <w:lang w:val="en-US" w:eastAsia="zh-CN"/>
        </w:rPr>
        <w:t>日关注股票：</w:t>
      </w:r>
    </w:p>
    <w:p>
      <w:pPr>
        <w:spacing w:line="240" w:lineRule="auto"/>
        <w:rPr>
          <w:rFonts w:hint="default"/>
          <w:strike/>
          <w:dstrike w:val="0"/>
          <w:lang w:val="en-US" w:eastAsia="zh-CN"/>
        </w:rPr>
      </w:pPr>
      <w:r>
        <w:rPr>
          <w:rFonts w:hint="eastAsia"/>
          <w:strike/>
          <w:dstrike w:val="0"/>
          <w:lang w:val="en-US" w:eastAsia="zh-CN"/>
        </w:rPr>
        <w:t>云南城投</w:t>
      </w:r>
      <w:r>
        <w:rPr>
          <w:rFonts w:hint="default"/>
          <w:strike/>
          <w:dstrike w:val="0"/>
          <w:lang w:val="en-US" w:eastAsia="zh-CN"/>
        </w:rPr>
        <w:t>(-5.16%)</w:t>
      </w:r>
      <w:r>
        <w:rPr>
          <w:rFonts w:hint="eastAsia"/>
          <w:strike/>
          <w:dstrike w:val="0"/>
          <w:lang w:val="en-US" w:eastAsia="zh-CN"/>
        </w:rPr>
        <w:t>、大东海A</w:t>
      </w:r>
      <w:r>
        <w:rPr>
          <w:rFonts w:hint="default"/>
          <w:strike/>
          <w:dstrike w:val="0"/>
          <w:lang w:val="en-US" w:eastAsia="zh-CN"/>
        </w:rPr>
        <w:t>(+1.12%)</w:t>
      </w:r>
      <w:r>
        <w:rPr>
          <w:rFonts w:hint="eastAsia"/>
          <w:strike/>
          <w:dstrike w:val="0"/>
          <w:lang w:val="en-US" w:eastAsia="zh-CN"/>
        </w:rPr>
        <w:t>、海峡股份</w:t>
      </w:r>
      <w:r>
        <w:rPr>
          <w:rFonts w:hint="default"/>
          <w:strike/>
          <w:dstrike w:val="0"/>
          <w:lang w:val="en-US" w:eastAsia="zh-CN"/>
        </w:rPr>
        <w:t>(+1.79%)</w:t>
      </w:r>
      <w:r>
        <w:rPr>
          <w:rFonts w:hint="eastAsia"/>
          <w:strike/>
          <w:dstrike w:val="0"/>
          <w:lang w:val="en-US" w:eastAsia="zh-CN"/>
        </w:rPr>
        <w:t>、海航基础</w:t>
      </w:r>
      <w:r>
        <w:rPr>
          <w:rFonts w:hint="default"/>
          <w:strike/>
          <w:dstrike w:val="0"/>
          <w:lang w:val="en-US" w:eastAsia="zh-CN"/>
        </w:rPr>
        <w:t>(+5.13%)</w:t>
      </w:r>
      <w:r>
        <w:rPr>
          <w:rFonts w:hint="eastAsia"/>
          <w:strike/>
          <w:dstrike w:val="0"/>
          <w:lang w:val="en-US" w:eastAsia="zh-CN"/>
        </w:rPr>
        <w:t>、钧达股份</w:t>
      </w:r>
      <w:r>
        <w:rPr>
          <w:rFonts w:hint="default"/>
          <w:strike/>
          <w:dstrike w:val="0"/>
          <w:lang w:val="en-US" w:eastAsia="zh-CN"/>
        </w:rPr>
        <w:t>(+2.73%)</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10-17日关注股票：</w:t>
      </w:r>
    </w:p>
    <w:p>
      <w:pPr>
        <w:spacing w:line="240" w:lineRule="auto"/>
        <w:rPr>
          <w:rFonts w:hint="eastAsia"/>
          <w:lang w:val="en-US" w:eastAsia="zh-CN"/>
        </w:rPr>
      </w:pPr>
      <w:r>
        <w:rPr>
          <w:rFonts w:hint="eastAsia"/>
          <w:color w:val="FF0000"/>
          <w:lang w:val="en-US" w:eastAsia="zh-CN"/>
        </w:rPr>
        <w:t>青松股份（</w:t>
      </w:r>
      <w:r>
        <w:rPr>
          <w:rFonts w:hint="default"/>
          <w:color w:val="FF0000"/>
          <w:lang w:val="en-US" w:eastAsia="zh-CN"/>
        </w:rPr>
        <w:t>+5.59</w:t>
      </w:r>
      <w:r>
        <w:rPr>
          <w:rFonts w:hint="eastAsia"/>
          <w:color w:val="FF0000"/>
          <w:lang w:val="en-US" w:eastAsia="zh-CN"/>
        </w:rPr>
        <w:t>%）</w:t>
      </w:r>
      <w:r>
        <w:rPr>
          <w:rFonts w:hint="eastAsia"/>
          <w:lang w:val="en-US" w:eastAsia="zh-CN"/>
        </w:rPr>
        <w:t>、</w:t>
      </w:r>
      <w:r>
        <w:rPr>
          <w:rFonts w:hint="eastAsia"/>
          <w:strike/>
          <w:dstrike w:val="0"/>
          <w:lang w:val="en-US" w:eastAsia="zh-CN"/>
        </w:rPr>
        <w:t>金龙机电</w:t>
      </w:r>
      <w:r>
        <w:rPr>
          <w:rFonts w:hint="default"/>
          <w:strike/>
          <w:dstrike w:val="0"/>
          <w:lang w:val="en-US" w:eastAsia="zh-CN"/>
        </w:rPr>
        <w:t>(-4.73%)</w:t>
      </w:r>
      <w:r>
        <w:rPr>
          <w:rFonts w:hint="eastAsia"/>
          <w:lang w:val="en-US" w:eastAsia="zh-CN"/>
        </w:rPr>
        <w:t>、</w:t>
      </w:r>
      <w:r>
        <w:rPr>
          <w:rFonts w:hint="eastAsia"/>
          <w:strike/>
          <w:dstrike w:val="0"/>
          <w:lang w:val="en-US" w:eastAsia="zh-CN"/>
        </w:rPr>
        <w:t>天润数媒</w:t>
      </w:r>
      <w:r>
        <w:rPr>
          <w:rFonts w:hint="default"/>
          <w:strike/>
          <w:dstrike w:val="0"/>
          <w:lang w:val="en-US" w:eastAsia="zh-CN"/>
        </w:rPr>
        <w:t>(-10.07%)</w:t>
      </w:r>
      <w:r>
        <w:rPr>
          <w:rFonts w:hint="eastAsia"/>
          <w:lang w:val="en-US" w:eastAsia="zh-CN"/>
        </w:rPr>
        <w:t>、</w:t>
      </w:r>
      <w:r>
        <w:rPr>
          <w:rFonts w:hint="eastAsia"/>
          <w:strike/>
          <w:dstrike w:val="0"/>
          <w:lang w:val="en-US" w:eastAsia="zh-CN"/>
        </w:rPr>
        <w:t>山推股份</w:t>
      </w:r>
      <w:r>
        <w:rPr>
          <w:rFonts w:hint="default"/>
          <w:strike/>
          <w:dstrike w:val="0"/>
          <w:lang w:val="en-US" w:eastAsia="zh-CN"/>
        </w:rPr>
        <w:t>(5.49%)</w:t>
      </w:r>
    </w:p>
    <w:p>
      <w:pPr>
        <w:spacing w:line="240" w:lineRule="auto"/>
        <w:rPr>
          <w:rFonts w:hint="eastAsia"/>
          <w:lang w:val="en-US" w:eastAsia="zh-CN"/>
        </w:rPr>
      </w:pPr>
    </w:p>
    <w:p>
      <w:pPr>
        <w:spacing w:line="240" w:lineRule="auto"/>
        <w:rPr>
          <w:rFonts w:hint="eastAsia" w:eastAsiaTheme="minorEastAsia"/>
          <w:lang w:val="en-US" w:eastAsia="zh-CN"/>
        </w:rPr>
      </w:pPr>
      <w:r>
        <w:rPr>
          <w:rFonts w:hint="default"/>
          <w:lang w:val="en-US" w:eastAsia="zh-CN"/>
        </w:rPr>
        <w:t>10-18</w:t>
      </w:r>
      <w:r>
        <w:rPr>
          <w:rFonts w:hint="eastAsia"/>
          <w:lang w:val="en-US" w:eastAsia="zh-CN"/>
        </w:rPr>
        <w:t>日关注股票：</w:t>
      </w:r>
    </w:p>
    <w:p>
      <w:pPr>
        <w:spacing w:line="240" w:lineRule="auto"/>
        <w:rPr>
          <w:rFonts w:hint="eastAsia" w:eastAsiaTheme="minorEastAsia"/>
          <w:color w:val="FF0000"/>
          <w:lang w:val="en-US" w:eastAsia="zh-CN"/>
        </w:rPr>
      </w:pPr>
      <w:r>
        <w:rPr>
          <w:rFonts w:hint="eastAsia"/>
          <w:color w:val="FF0000"/>
          <w:lang w:val="en-US" w:eastAsia="zh-CN"/>
        </w:rPr>
        <w:t>中国国旅</w:t>
      </w:r>
      <w:r>
        <w:rPr>
          <w:rFonts w:hint="default"/>
          <w:color w:val="FF0000"/>
          <w:lang w:val="en-US" w:eastAsia="zh-CN"/>
        </w:rPr>
        <w:t>(+2.70%)</w:t>
      </w:r>
      <w:r>
        <w:rPr>
          <w:rFonts w:hint="eastAsia"/>
          <w:color w:val="FF0000"/>
          <w:lang w:val="en-US" w:eastAsia="zh-CN"/>
        </w:rPr>
        <w:t>、片仔癀</w:t>
      </w:r>
      <w:r>
        <w:rPr>
          <w:rFonts w:hint="default"/>
          <w:color w:val="FF0000"/>
          <w:lang w:val="en-US" w:eastAsia="zh-CN"/>
        </w:rPr>
        <w:t>(+2.36%)</w:t>
      </w:r>
      <w:r>
        <w:rPr>
          <w:rFonts w:hint="eastAsia"/>
          <w:color w:val="FF0000"/>
          <w:lang w:val="en-US" w:eastAsia="zh-CN"/>
        </w:rPr>
        <w:t>、恒立液压</w:t>
      </w:r>
      <w:r>
        <w:rPr>
          <w:rFonts w:hint="default"/>
          <w:color w:val="FF0000"/>
          <w:lang w:val="en-US" w:eastAsia="zh-CN"/>
        </w:rPr>
        <w:t>(+4.15%)</w:t>
      </w:r>
      <w:r>
        <w:rPr>
          <w:rFonts w:hint="eastAsia"/>
          <w:color w:val="FF0000"/>
          <w:lang w:val="en-US" w:eastAsia="zh-CN"/>
        </w:rPr>
        <w:t>、涪陵榨菜</w:t>
      </w:r>
      <w:r>
        <w:rPr>
          <w:rFonts w:hint="default"/>
          <w:color w:val="FF0000"/>
          <w:lang w:val="en-US" w:eastAsia="zh-CN"/>
        </w:rPr>
        <w:t>(+5.43%)</w:t>
      </w:r>
      <w:r>
        <w:rPr>
          <w:rFonts w:hint="eastAsia"/>
          <w:color w:val="FF0000"/>
          <w:lang w:val="en-US" w:eastAsia="zh-CN"/>
        </w:rPr>
        <w:t>、</w:t>
      </w:r>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eastAsiaTheme="minor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52221C"/>
    <w:rsid w:val="006764BA"/>
    <w:rsid w:val="00697FC3"/>
    <w:rsid w:val="00901FB1"/>
    <w:rsid w:val="00C11855"/>
    <w:rsid w:val="01056385"/>
    <w:rsid w:val="0152242D"/>
    <w:rsid w:val="01647B7E"/>
    <w:rsid w:val="01977FEF"/>
    <w:rsid w:val="0202356D"/>
    <w:rsid w:val="026A4625"/>
    <w:rsid w:val="026C250E"/>
    <w:rsid w:val="02840E6B"/>
    <w:rsid w:val="02873DC1"/>
    <w:rsid w:val="0293307A"/>
    <w:rsid w:val="029B43B0"/>
    <w:rsid w:val="029F1E5F"/>
    <w:rsid w:val="03217E12"/>
    <w:rsid w:val="033B014F"/>
    <w:rsid w:val="03D77D11"/>
    <w:rsid w:val="03DA5A87"/>
    <w:rsid w:val="04220426"/>
    <w:rsid w:val="044D03F6"/>
    <w:rsid w:val="04525AAA"/>
    <w:rsid w:val="04A641E4"/>
    <w:rsid w:val="04AF28FE"/>
    <w:rsid w:val="04CE0549"/>
    <w:rsid w:val="051801EF"/>
    <w:rsid w:val="05224B2F"/>
    <w:rsid w:val="0563041F"/>
    <w:rsid w:val="057E173A"/>
    <w:rsid w:val="058E3BE7"/>
    <w:rsid w:val="059F2277"/>
    <w:rsid w:val="05DB0C89"/>
    <w:rsid w:val="05F42636"/>
    <w:rsid w:val="06253556"/>
    <w:rsid w:val="062D1854"/>
    <w:rsid w:val="062F1F01"/>
    <w:rsid w:val="066107E1"/>
    <w:rsid w:val="066C601E"/>
    <w:rsid w:val="067A6AFF"/>
    <w:rsid w:val="06B03E2C"/>
    <w:rsid w:val="06C47C16"/>
    <w:rsid w:val="06D30ADE"/>
    <w:rsid w:val="070A6F35"/>
    <w:rsid w:val="075B55B8"/>
    <w:rsid w:val="078270AF"/>
    <w:rsid w:val="07DB23C7"/>
    <w:rsid w:val="082D6981"/>
    <w:rsid w:val="084322AE"/>
    <w:rsid w:val="08447F53"/>
    <w:rsid w:val="084721DB"/>
    <w:rsid w:val="084C0D07"/>
    <w:rsid w:val="084F6707"/>
    <w:rsid w:val="085E77E3"/>
    <w:rsid w:val="0912413A"/>
    <w:rsid w:val="092B4110"/>
    <w:rsid w:val="092D0512"/>
    <w:rsid w:val="092F2F78"/>
    <w:rsid w:val="093670EF"/>
    <w:rsid w:val="093B7917"/>
    <w:rsid w:val="094F49CA"/>
    <w:rsid w:val="09740E46"/>
    <w:rsid w:val="097A36CE"/>
    <w:rsid w:val="098C590A"/>
    <w:rsid w:val="09C162DD"/>
    <w:rsid w:val="09C3792A"/>
    <w:rsid w:val="09D47958"/>
    <w:rsid w:val="0A2C5CA0"/>
    <w:rsid w:val="0A400DBB"/>
    <w:rsid w:val="0A647BE1"/>
    <w:rsid w:val="0A895E24"/>
    <w:rsid w:val="0A8F079E"/>
    <w:rsid w:val="0ACC444A"/>
    <w:rsid w:val="0AD31BA2"/>
    <w:rsid w:val="0B034842"/>
    <w:rsid w:val="0B0E0B30"/>
    <w:rsid w:val="0B264614"/>
    <w:rsid w:val="0B543CA0"/>
    <w:rsid w:val="0B5F4434"/>
    <w:rsid w:val="0BA85F8D"/>
    <w:rsid w:val="0BF86B96"/>
    <w:rsid w:val="0C1A48EA"/>
    <w:rsid w:val="0C212C19"/>
    <w:rsid w:val="0C2D340E"/>
    <w:rsid w:val="0C3F4D9B"/>
    <w:rsid w:val="0C6E045E"/>
    <w:rsid w:val="0C880409"/>
    <w:rsid w:val="0CAA6A0A"/>
    <w:rsid w:val="0CB44896"/>
    <w:rsid w:val="0CE272BE"/>
    <w:rsid w:val="0D2627E2"/>
    <w:rsid w:val="0D275AA8"/>
    <w:rsid w:val="0D4C6DF5"/>
    <w:rsid w:val="0D5669F9"/>
    <w:rsid w:val="0D5A65C9"/>
    <w:rsid w:val="0D5E2687"/>
    <w:rsid w:val="0D7E4FD5"/>
    <w:rsid w:val="0DBA54E4"/>
    <w:rsid w:val="0DE62585"/>
    <w:rsid w:val="0E0A098D"/>
    <w:rsid w:val="0E43440D"/>
    <w:rsid w:val="0E6924DC"/>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0FF109F"/>
    <w:rsid w:val="110F72C1"/>
    <w:rsid w:val="114C1096"/>
    <w:rsid w:val="115724B6"/>
    <w:rsid w:val="117F785F"/>
    <w:rsid w:val="11A17BC3"/>
    <w:rsid w:val="11D86036"/>
    <w:rsid w:val="122020CC"/>
    <w:rsid w:val="1231010E"/>
    <w:rsid w:val="125C533A"/>
    <w:rsid w:val="12703CF2"/>
    <w:rsid w:val="129313C9"/>
    <w:rsid w:val="129F0628"/>
    <w:rsid w:val="12A42AB2"/>
    <w:rsid w:val="13155065"/>
    <w:rsid w:val="13264D6F"/>
    <w:rsid w:val="13430B4B"/>
    <w:rsid w:val="136F1A34"/>
    <w:rsid w:val="137E241C"/>
    <w:rsid w:val="138B4200"/>
    <w:rsid w:val="13CA5C4D"/>
    <w:rsid w:val="13D552EC"/>
    <w:rsid w:val="13EE15FA"/>
    <w:rsid w:val="14244DD5"/>
    <w:rsid w:val="14C0137C"/>
    <w:rsid w:val="14EA5225"/>
    <w:rsid w:val="15120F09"/>
    <w:rsid w:val="15270E26"/>
    <w:rsid w:val="15325154"/>
    <w:rsid w:val="157113EA"/>
    <w:rsid w:val="157C53E9"/>
    <w:rsid w:val="157F1CD1"/>
    <w:rsid w:val="15993577"/>
    <w:rsid w:val="159F78B9"/>
    <w:rsid w:val="15A0313A"/>
    <w:rsid w:val="15F10798"/>
    <w:rsid w:val="15F51D1C"/>
    <w:rsid w:val="160659D5"/>
    <w:rsid w:val="163E0050"/>
    <w:rsid w:val="1640732D"/>
    <w:rsid w:val="16430633"/>
    <w:rsid w:val="167B04FF"/>
    <w:rsid w:val="16BF0588"/>
    <w:rsid w:val="16C64BFD"/>
    <w:rsid w:val="16D84322"/>
    <w:rsid w:val="17007DC5"/>
    <w:rsid w:val="17026F67"/>
    <w:rsid w:val="17186B97"/>
    <w:rsid w:val="171F7A92"/>
    <w:rsid w:val="174E190C"/>
    <w:rsid w:val="17816124"/>
    <w:rsid w:val="179842AB"/>
    <w:rsid w:val="17C32C1C"/>
    <w:rsid w:val="17C42329"/>
    <w:rsid w:val="1824019C"/>
    <w:rsid w:val="1879447F"/>
    <w:rsid w:val="1889738D"/>
    <w:rsid w:val="18A422C2"/>
    <w:rsid w:val="18AB7038"/>
    <w:rsid w:val="18B51EC3"/>
    <w:rsid w:val="18FE0B3F"/>
    <w:rsid w:val="191E07B4"/>
    <w:rsid w:val="192073CC"/>
    <w:rsid w:val="192478B7"/>
    <w:rsid w:val="19552F51"/>
    <w:rsid w:val="19B47DD1"/>
    <w:rsid w:val="19DC4D71"/>
    <w:rsid w:val="1A6B657D"/>
    <w:rsid w:val="1A815BD3"/>
    <w:rsid w:val="1A8B02F0"/>
    <w:rsid w:val="1ABA7984"/>
    <w:rsid w:val="1ACB3375"/>
    <w:rsid w:val="1AD9601A"/>
    <w:rsid w:val="1B4367F4"/>
    <w:rsid w:val="1B5C2C5D"/>
    <w:rsid w:val="1B747074"/>
    <w:rsid w:val="1B9149EE"/>
    <w:rsid w:val="1B944CB1"/>
    <w:rsid w:val="1B9E6861"/>
    <w:rsid w:val="1BD2095A"/>
    <w:rsid w:val="1BDB4AD2"/>
    <w:rsid w:val="1BDD3CBF"/>
    <w:rsid w:val="1C036B4B"/>
    <w:rsid w:val="1C0C4EF8"/>
    <w:rsid w:val="1C104715"/>
    <w:rsid w:val="1C47333D"/>
    <w:rsid w:val="1C504041"/>
    <w:rsid w:val="1CA519D5"/>
    <w:rsid w:val="1CB0205B"/>
    <w:rsid w:val="1D0D6955"/>
    <w:rsid w:val="1D1046F8"/>
    <w:rsid w:val="1D2B026D"/>
    <w:rsid w:val="1D3578F8"/>
    <w:rsid w:val="1D5F1195"/>
    <w:rsid w:val="1D7C27F7"/>
    <w:rsid w:val="1D88197B"/>
    <w:rsid w:val="1D9C1A16"/>
    <w:rsid w:val="1D9F5997"/>
    <w:rsid w:val="1DBF12C0"/>
    <w:rsid w:val="1DD60858"/>
    <w:rsid w:val="1DE368CE"/>
    <w:rsid w:val="1E066BFD"/>
    <w:rsid w:val="1E716A79"/>
    <w:rsid w:val="1EAC0280"/>
    <w:rsid w:val="1EF13AE1"/>
    <w:rsid w:val="1F0E46A0"/>
    <w:rsid w:val="1F280B33"/>
    <w:rsid w:val="1F5E07AC"/>
    <w:rsid w:val="1F6B3A55"/>
    <w:rsid w:val="1FD239CE"/>
    <w:rsid w:val="1FFB7524"/>
    <w:rsid w:val="2017413E"/>
    <w:rsid w:val="202F2459"/>
    <w:rsid w:val="203568E0"/>
    <w:rsid w:val="2094409D"/>
    <w:rsid w:val="20BF12E3"/>
    <w:rsid w:val="210B33AA"/>
    <w:rsid w:val="211018D5"/>
    <w:rsid w:val="211853CD"/>
    <w:rsid w:val="212267F3"/>
    <w:rsid w:val="21580063"/>
    <w:rsid w:val="215C5CA2"/>
    <w:rsid w:val="21710A68"/>
    <w:rsid w:val="2184486A"/>
    <w:rsid w:val="21980957"/>
    <w:rsid w:val="219D3E29"/>
    <w:rsid w:val="21BA4D5A"/>
    <w:rsid w:val="21C61DDE"/>
    <w:rsid w:val="21C7795A"/>
    <w:rsid w:val="21F9403C"/>
    <w:rsid w:val="220130C8"/>
    <w:rsid w:val="221F3F25"/>
    <w:rsid w:val="22333AA1"/>
    <w:rsid w:val="22D05A47"/>
    <w:rsid w:val="22D26EAF"/>
    <w:rsid w:val="22EB6D0C"/>
    <w:rsid w:val="23020B57"/>
    <w:rsid w:val="2348188E"/>
    <w:rsid w:val="2369588F"/>
    <w:rsid w:val="23887625"/>
    <w:rsid w:val="23930482"/>
    <w:rsid w:val="23C920C1"/>
    <w:rsid w:val="23D55828"/>
    <w:rsid w:val="24134497"/>
    <w:rsid w:val="241C417A"/>
    <w:rsid w:val="24680AE8"/>
    <w:rsid w:val="2491482B"/>
    <w:rsid w:val="249433B6"/>
    <w:rsid w:val="24944D34"/>
    <w:rsid w:val="24967AC6"/>
    <w:rsid w:val="24D421CB"/>
    <w:rsid w:val="24D4787D"/>
    <w:rsid w:val="24DE5BF2"/>
    <w:rsid w:val="24EE5C15"/>
    <w:rsid w:val="24F66AC0"/>
    <w:rsid w:val="250235F1"/>
    <w:rsid w:val="25590CC6"/>
    <w:rsid w:val="257229A7"/>
    <w:rsid w:val="259C0B3C"/>
    <w:rsid w:val="25A0482C"/>
    <w:rsid w:val="25B0357A"/>
    <w:rsid w:val="25B14002"/>
    <w:rsid w:val="25C1260B"/>
    <w:rsid w:val="25E41222"/>
    <w:rsid w:val="25FA399D"/>
    <w:rsid w:val="260F4A69"/>
    <w:rsid w:val="2654390B"/>
    <w:rsid w:val="26745E1B"/>
    <w:rsid w:val="267C0312"/>
    <w:rsid w:val="269B26E9"/>
    <w:rsid w:val="26D85EDD"/>
    <w:rsid w:val="2721255F"/>
    <w:rsid w:val="275C3451"/>
    <w:rsid w:val="27706349"/>
    <w:rsid w:val="277978A5"/>
    <w:rsid w:val="27C73D38"/>
    <w:rsid w:val="27D6481D"/>
    <w:rsid w:val="27E92A96"/>
    <w:rsid w:val="28022CC6"/>
    <w:rsid w:val="28411F49"/>
    <w:rsid w:val="284E2E6C"/>
    <w:rsid w:val="28DA7E14"/>
    <w:rsid w:val="28DC7F94"/>
    <w:rsid w:val="28E20191"/>
    <w:rsid w:val="29032593"/>
    <w:rsid w:val="291B5B6D"/>
    <w:rsid w:val="29384755"/>
    <w:rsid w:val="29474E9E"/>
    <w:rsid w:val="29901482"/>
    <w:rsid w:val="29F35878"/>
    <w:rsid w:val="2A0744E4"/>
    <w:rsid w:val="2A220264"/>
    <w:rsid w:val="2A7B42A5"/>
    <w:rsid w:val="2A802D8A"/>
    <w:rsid w:val="2AAF3433"/>
    <w:rsid w:val="2B021229"/>
    <w:rsid w:val="2B3137EA"/>
    <w:rsid w:val="2B3570BB"/>
    <w:rsid w:val="2B613F8A"/>
    <w:rsid w:val="2B715FF9"/>
    <w:rsid w:val="2B7C2469"/>
    <w:rsid w:val="2B8667B4"/>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DE16921"/>
    <w:rsid w:val="2E251C9D"/>
    <w:rsid w:val="2E5D7A1B"/>
    <w:rsid w:val="2E6922D6"/>
    <w:rsid w:val="2E7D14DA"/>
    <w:rsid w:val="2E8B4E7A"/>
    <w:rsid w:val="2EA15342"/>
    <w:rsid w:val="2EA67169"/>
    <w:rsid w:val="2EA87494"/>
    <w:rsid w:val="2EB21604"/>
    <w:rsid w:val="2EB84CFE"/>
    <w:rsid w:val="2ED912C5"/>
    <w:rsid w:val="2EDC5069"/>
    <w:rsid w:val="2EFA7779"/>
    <w:rsid w:val="2F115E9C"/>
    <w:rsid w:val="2F331442"/>
    <w:rsid w:val="2F3A36A2"/>
    <w:rsid w:val="2F6C637F"/>
    <w:rsid w:val="2F6E3251"/>
    <w:rsid w:val="2FB8673A"/>
    <w:rsid w:val="2FC1718F"/>
    <w:rsid w:val="2FD53C66"/>
    <w:rsid w:val="2FD57AE6"/>
    <w:rsid w:val="300D1A47"/>
    <w:rsid w:val="302A76D8"/>
    <w:rsid w:val="30325457"/>
    <w:rsid w:val="307642F8"/>
    <w:rsid w:val="307C2FD5"/>
    <w:rsid w:val="308927E7"/>
    <w:rsid w:val="30D22C4D"/>
    <w:rsid w:val="30D824CE"/>
    <w:rsid w:val="30E8604C"/>
    <w:rsid w:val="31832045"/>
    <w:rsid w:val="318A56D9"/>
    <w:rsid w:val="31980BDD"/>
    <w:rsid w:val="31BC324A"/>
    <w:rsid w:val="31DD1A19"/>
    <w:rsid w:val="31E32CEF"/>
    <w:rsid w:val="322319DA"/>
    <w:rsid w:val="322E6F2F"/>
    <w:rsid w:val="32473ADF"/>
    <w:rsid w:val="32A068E9"/>
    <w:rsid w:val="32A23292"/>
    <w:rsid w:val="32CB7E65"/>
    <w:rsid w:val="32DC06BB"/>
    <w:rsid w:val="330B75BD"/>
    <w:rsid w:val="33524A45"/>
    <w:rsid w:val="33AF76FE"/>
    <w:rsid w:val="34132FF2"/>
    <w:rsid w:val="34E038B6"/>
    <w:rsid w:val="34F01269"/>
    <w:rsid w:val="351241C6"/>
    <w:rsid w:val="351F02B8"/>
    <w:rsid w:val="35480EDF"/>
    <w:rsid w:val="35686F69"/>
    <w:rsid w:val="35687EBB"/>
    <w:rsid w:val="35784769"/>
    <w:rsid w:val="358D7A7B"/>
    <w:rsid w:val="35923A51"/>
    <w:rsid w:val="359A3107"/>
    <w:rsid w:val="3611115D"/>
    <w:rsid w:val="361D0887"/>
    <w:rsid w:val="36824A32"/>
    <w:rsid w:val="36974B8F"/>
    <w:rsid w:val="369B37BE"/>
    <w:rsid w:val="36B409CC"/>
    <w:rsid w:val="36CC20D7"/>
    <w:rsid w:val="36DC2A3B"/>
    <w:rsid w:val="36DF2AB3"/>
    <w:rsid w:val="36E07DEB"/>
    <w:rsid w:val="36EA511D"/>
    <w:rsid w:val="36F44D99"/>
    <w:rsid w:val="36F70883"/>
    <w:rsid w:val="371C5979"/>
    <w:rsid w:val="37370121"/>
    <w:rsid w:val="373B4262"/>
    <w:rsid w:val="37866BA0"/>
    <w:rsid w:val="37D65746"/>
    <w:rsid w:val="37ED3EEE"/>
    <w:rsid w:val="382E3032"/>
    <w:rsid w:val="38574525"/>
    <w:rsid w:val="38650B7B"/>
    <w:rsid w:val="386C42FF"/>
    <w:rsid w:val="387306D3"/>
    <w:rsid w:val="38753B9D"/>
    <w:rsid w:val="389A2C3B"/>
    <w:rsid w:val="38A356B6"/>
    <w:rsid w:val="38B6134F"/>
    <w:rsid w:val="38B77B89"/>
    <w:rsid w:val="38B94A25"/>
    <w:rsid w:val="38E4492B"/>
    <w:rsid w:val="38EE644D"/>
    <w:rsid w:val="38F335E0"/>
    <w:rsid w:val="38FE3638"/>
    <w:rsid w:val="391A03B8"/>
    <w:rsid w:val="39291FA1"/>
    <w:rsid w:val="396F6F4F"/>
    <w:rsid w:val="39710EB7"/>
    <w:rsid w:val="39884BFF"/>
    <w:rsid w:val="39C67D0A"/>
    <w:rsid w:val="39D049E4"/>
    <w:rsid w:val="39DD1FC0"/>
    <w:rsid w:val="39E278CB"/>
    <w:rsid w:val="3A224586"/>
    <w:rsid w:val="3A2B5335"/>
    <w:rsid w:val="3A31153A"/>
    <w:rsid w:val="3A3274F4"/>
    <w:rsid w:val="3A336219"/>
    <w:rsid w:val="3A4F3E22"/>
    <w:rsid w:val="3A6C47E6"/>
    <w:rsid w:val="3A7B4085"/>
    <w:rsid w:val="3A8527BD"/>
    <w:rsid w:val="3AA54A51"/>
    <w:rsid w:val="3AF87CF3"/>
    <w:rsid w:val="3B4A3954"/>
    <w:rsid w:val="3B5318A0"/>
    <w:rsid w:val="3B6B5381"/>
    <w:rsid w:val="3B9E1812"/>
    <w:rsid w:val="3BAF248D"/>
    <w:rsid w:val="3BB57FF7"/>
    <w:rsid w:val="3BF40B5B"/>
    <w:rsid w:val="3BF674FE"/>
    <w:rsid w:val="3C411F3D"/>
    <w:rsid w:val="3C461A3C"/>
    <w:rsid w:val="3C54676F"/>
    <w:rsid w:val="3C611C77"/>
    <w:rsid w:val="3C8015C6"/>
    <w:rsid w:val="3C9F1451"/>
    <w:rsid w:val="3CA5557B"/>
    <w:rsid w:val="3CAC1A05"/>
    <w:rsid w:val="3CBF2113"/>
    <w:rsid w:val="3CC5059F"/>
    <w:rsid w:val="3CE109FF"/>
    <w:rsid w:val="3CF6320B"/>
    <w:rsid w:val="3D4D2885"/>
    <w:rsid w:val="3D501F86"/>
    <w:rsid w:val="3D6C7970"/>
    <w:rsid w:val="3D8524B9"/>
    <w:rsid w:val="3DCC6E48"/>
    <w:rsid w:val="3E51379D"/>
    <w:rsid w:val="3E721BE4"/>
    <w:rsid w:val="3EBD4C84"/>
    <w:rsid w:val="3EBD5746"/>
    <w:rsid w:val="3EC40A9D"/>
    <w:rsid w:val="3ECD0A86"/>
    <w:rsid w:val="3F126C25"/>
    <w:rsid w:val="3F2E1884"/>
    <w:rsid w:val="3F406847"/>
    <w:rsid w:val="3F486D14"/>
    <w:rsid w:val="3F8B38F8"/>
    <w:rsid w:val="3FB60A8F"/>
    <w:rsid w:val="3FD50823"/>
    <w:rsid w:val="3FE57A37"/>
    <w:rsid w:val="3FE6620E"/>
    <w:rsid w:val="40190984"/>
    <w:rsid w:val="402D5AAC"/>
    <w:rsid w:val="40923A38"/>
    <w:rsid w:val="409F62B0"/>
    <w:rsid w:val="40BF28FF"/>
    <w:rsid w:val="41161BA3"/>
    <w:rsid w:val="41251ED8"/>
    <w:rsid w:val="414D1A11"/>
    <w:rsid w:val="41541E79"/>
    <w:rsid w:val="415E5EAB"/>
    <w:rsid w:val="417437BF"/>
    <w:rsid w:val="41C6087A"/>
    <w:rsid w:val="41E106C4"/>
    <w:rsid w:val="42464C1F"/>
    <w:rsid w:val="42647007"/>
    <w:rsid w:val="42927BEF"/>
    <w:rsid w:val="42A261A9"/>
    <w:rsid w:val="430272B9"/>
    <w:rsid w:val="433567C5"/>
    <w:rsid w:val="43437508"/>
    <w:rsid w:val="4369441A"/>
    <w:rsid w:val="43A728DB"/>
    <w:rsid w:val="43B64B82"/>
    <w:rsid w:val="43F35274"/>
    <w:rsid w:val="43FD6BD7"/>
    <w:rsid w:val="44133473"/>
    <w:rsid w:val="444A0646"/>
    <w:rsid w:val="445143F6"/>
    <w:rsid w:val="44515A1D"/>
    <w:rsid w:val="44D4142E"/>
    <w:rsid w:val="44D54043"/>
    <w:rsid w:val="452A40ED"/>
    <w:rsid w:val="454A7BD2"/>
    <w:rsid w:val="459A5AE0"/>
    <w:rsid w:val="45A71986"/>
    <w:rsid w:val="45B2417A"/>
    <w:rsid w:val="45D05C04"/>
    <w:rsid w:val="46792153"/>
    <w:rsid w:val="475F2ECF"/>
    <w:rsid w:val="477C7EA2"/>
    <w:rsid w:val="479902B6"/>
    <w:rsid w:val="47DA073E"/>
    <w:rsid w:val="47E41BE3"/>
    <w:rsid w:val="47F628FA"/>
    <w:rsid w:val="48014BE7"/>
    <w:rsid w:val="48651EF8"/>
    <w:rsid w:val="486561CC"/>
    <w:rsid w:val="487333F6"/>
    <w:rsid w:val="48774DFE"/>
    <w:rsid w:val="489A1C79"/>
    <w:rsid w:val="48B03E9F"/>
    <w:rsid w:val="48E00AC5"/>
    <w:rsid w:val="48F55B45"/>
    <w:rsid w:val="4918362D"/>
    <w:rsid w:val="49183BBE"/>
    <w:rsid w:val="491A4ED9"/>
    <w:rsid w:val="49252B13"/>
    <w:rsid w:val="494708E3"/>
    <w:rsid w:val="497C0AAC"/>
    <w:rsid w:val="498216FD"/>
    <w:rsid w:val="49B84D2C"/>
    <w:rsid w:val="4A0715DF"/>
    <w:rsid w:val="4A192CFD"/>
    <w:rsid w:val="4A262F2E"/>
    <w:rsid w:val="4A306175"/>
    <w:rsid w:val="4A3F15B8"/>
    <w:rsid w:val="4A6B6D2C"/>
    <w:rsid w:val="4A8169BE"/>
    <w:rsid w:val="4A8A3E4B"/>
    <w:rsid w:val="4A9506F7"/>
    <w:rsid w:val="4AC07187"/>
    <w:rsid w:val="4B176EEC"/>
    <w:rsid w:val="4B2C56D0"/>
    <w:rsid w:val="4B2E2D9C"/>
    <w:rsid w:val="4B5D46DE"/>
    <w:rsid w:val="4B807F14"/>
    <w:rsid w:val="4B935B69"/>
    <w:rsid w:val="4BDE1EA4"/>
    <w:rsid w:val="4C272A15"/>
    <w:rsid w:val="4C2F1755"/>
    <w:rsid w:val="4C344AA1"/>
    <w:rsid w:val="4C3E1770"/>
    <w:rsid w:val="4C8E5216"/>
    <w:rsid w:val="4CE65642"/>
    <w:rsid w:val="4CEF5956"/>
    <w:rsid w:val="4CFF366F"/>
    <w:rsid w:val="4D1917A8"/>
    <w:rsid w:val="4D1E230F"/>
    <w:rsid w:val="4D3A7C59"/>
    <w:rsid w:val="4D3B644C"/>
    <w:rsid w:val="4D3C2959"/>
    <w:rsid w:val="4DAF3144"/>
    <w:rsid w:val="4DBE19C2"/>
    <w:rsid w:val="4E001CC7"/>
    <w:rsid w:val="4E033A95"/>
    <w:rsid w:val="4E054997"/>
    <w:rsid w:val="4E545DE4"/>
    <w:rsid w:val="4EC02376"/>
    <w:rsid w:val="4EF86E1A"/>
    <w:rsid w:val="4F32218E"/>
    <w:rsid w:val="4F4D4A7F"/>
    <w:rsid w:val="4F4E26AD"/>
    <w:rsid w:val="4F965F99"/>
    <w:rsid w:val="4FA51FC1"/>
    <w:rsid w:val="4FBA02D7"/>
    <w:rsid w:val="4FBD302C"/>
    <w:rsid w:val="4FCE2834"/>
    <w:rsid w:val="4FEE729E"/>
    <w:rsid w:val="4FF25B13"/>
    <w:rsid w:val="50111B63"/>
    <w:rsid w:val="501D1529"/>
    <w:rsid w:val="505A1473"/>
    <w:rsid w:val="507F46AC"/>
    <w:rsid w:val="508F4E81"/>
    <w:rsid w:val="50F80D92"/>
    <w:rsid w:val="51064251"/>
    <w:rsid w:val="511D6223"/>
    <w:rsid w:val="51296F56"/>
    <w:rsid w:val="518A531D"/>
    <w:rsid w:val="519F60B2"/>
    <w:rsid w:val="51AE15D4"/>
    <w:rsid w:val="51B95E72"/>
    <w:rsid w:val="51DF03CE"/>
    <w:rsid w:val="52347744"/>
    <w:rsid w:val="52393C1D"/>
    <w:rsid w:val="52521A3D"/>
    <w:rsid w:val="52716292"/>
    <w:rsid w:val="527B5F26"/>
    <w:rsid w:val="529F4222"/>
    <w:rsid w:val="52A55CB3"/>
    <w:rsid w:val="52A91F2B"/>
    <w:rsid w:val="52B23FA9"/>
    <w:rsid w:val="52E45DE5"/>
    <w:rsid w:val="52FE26CC"/>
    <w:rsid w:val="53195672"/>
    <w:rsid w:val="532845D8"/>
    <w:rsid w:val="535457FD"/>
    <w:rsid w:val="536461D5"/>
    <w:rsid w:val="538C0DB6"/>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D2683"/>
    <w:rsid w:val="55CE5218"/>
    <w:rsid w:val="55F02B37"/>
    <w:rsid w:val="55F52A95"/>
    <w:rsid w:val="56AD2F65"/>
    <w:rsid w:val="56BE5DE9"/>
    <w:rsid w:val="56E04480"/>
    <w:rsid w:val="572E1DC4"/>
    <w:rsid w:val="57751DA1"/>
    <w:rsid w:val="57A976CF"/>
    <w:rsid w:val="57D44AE6"/>
    <w:rsid w:val="57D90E3A"/>
    <w:rsid w:val="58051E72"/>
    <w:rsid w:val="582A524A"/>
    <w:rsid w:val="58535237"/>
    <w:rsid w:val="586D2587"/>
    <w:rsid w:val="587D70BF"/>
    <w:rsid w:val="58845475"/>
    <w:rsid w:val="5889606F"/>
    <w:rsid w:val="589E3082"/>
    <w:rsid w:val="589E51D8"/>
    <w:rsid w:val="58B20FE9"/>
    <w:rsid w:val="58B26326"/>
    <w:rsid w:val="592E6E44"/>
    <w:rsid w:val="5931771A"/>
    <w:rsid w:val="59427279"/>
    <w:rsid w:val="59443F0F"/>
    <w:rsid w:val="594606B0"/>
    <w:rsid w:val="595A4F46"/>
    <w:rsid w:val="595B5C1B"/>
    <w:rsid w:val="595E5DBD"/>
    <w:rsid w:val="597804E9"/>
    <w:rsid w:val="59AA7631"/>
    <w:rsid w:val="59B355A8"/>
    <w:rsid w:val="59CC778D"/>
    <w:rsid w:val="59DC5C31"/>
    <w:rsid w:val="5A1C2B94"/>
    <w:rsid w:val="5A41796E"/>
    <w:rsid w:val="5A5E660A"/>
    <w:rsid w:val="5A6B2536"/>
    <w:rsid w:val="5A902353"/>
    <w:rsid w:val="5AC83137"/>
    <w:rsid w:val="5AED4CE2"/>
    <w:rsid w:val="5AFE4B41"/>
    <w:rsid w:val="5AFE6C9F"/>
    <w:rsid w:val="5AFF2C16"/>
    <w:rsid w:val="5B0A38CB"/>
    <w:rsid w:val="5B61273E"/>
    <w:rsid w:val="5B740E56"/>
    <w:rsid w:val="5B901EF3"/>
    <w:rsid w:val="5BD0210D"/>
    <w:rsid w:val="5C256739"/>
    <w:rsid w:val="5C2C016F"/>
    <w:rsid w:val="5C384E29"/>
    <w:rsid w:val="5C3B42D6"/>
    <w:rsid w:val="5C4B7D70"/>
    <w:rsid w:val="5C78176A"/>
    <w:rsid w:val="5C89301D"/>
    <w:rsid w:val="5C91003A"/>
    <w:rsid w:val="5C941E9A"/>
    <w:rsid w:val="5CD45A79"/>
    <w:rsid w:val="5CFD2BAF"/>
    <w:rsid w:val="5D372D3D"/>
    <w:rsid w:val="5DA97C2A"/>
    <w:rsid w:val="5DDB5902"/>
    <w:rsid w:val="5DF904C3"/>
    <w:rsid w:val="5E0619EE"/>
    <w:rsid w:val="5E18530F"/>
    <w:rsid w:val="5E4F212A"/>
    <w:rsid w:val="5E5A6482"/>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7B0F50"/>
    <w:rsid w:val="60866833"/>
    <w:rsid w:val="60A564FB"/>
    <w:rsid w:val="60A772D5"/>
    <w:rsid w:val="6100428F"/>
    <w:rsid w:val="61325CA3"/>
    <w:rsid w:val="61B2107A"/>
    <w:rsid w:val="61B31EEA"/>
    <w:rsid w:val="61B95D15"/>
    <w:rsid w:val="62144378"/>
    <w:rsid w:val="622B4947"/>
    <w:rsid w:val="623C29CA"/>
    <w:rsid w:val="62642FCC"/>
    <w:rsid w:val="629321D7"/>
    <w:rsid w:val="62972F0F"/>
    <w:rsid w:val="62994F30"/>
    <w:rsid w:val="62DA1607"/>
    <w:rsid w:val="630579C8"/>
    <w:rsid w:val="6309664E"/>
    <w:rsid w:val="63284643"/>
    <w:rsid w:val="632A0132"/>
    <w:rsid w:val="632B7E9C"/>
    <w:rsid w:val="633817A6"/>
    <w:rsid w:val="63520053"/>
    <w:rsid w:val="63524BC7"/>
    <w:rsid w:val="636433B8"/>
    <w:rsid w:val="6394008A"/>
    <w:rsid w:val="63A60C4C"/>
    <w:rsid w:val="63D27CE5"/>
    <w:rsid w:val="63DA744D"/>
    <w:rsid w:val="63F130FF"/>
    <w:rsid w:val="64022E8C"/>
    <w:rsid w:val="640E4306"/>
    <w:rsid w:val="64357186"/>
    <w:rsid w:val="64401FB1"/>
    <w:rsid w:val="644244C6"/>
    <w:rsid w:val="645455F2"/>
    <w:rsid w:val="647C41D5"/>
    <w:rsid w:val="649D4F05"/>
    <w:rsid w:val="64CA54C0"/>
    <w:rsid w:val="64E57549"/>
    <w:rsid w:val="651057F3"/>
    <w:rsid w:val="651A6DCE"/>
    <w:rsid w:val="65466BDA"/>
    <w:rsid w:val="655E2FF8"/>
    <w:rsid w:val="65753AF2"/>
    <w:rsid w:val="657A5CEE"/>
    <w:rsid w:val="65BA7C51"/>
    <w:rsid w:val="65E21C88"/>
    <w:rsid w:val="661E0E6E"/>
    <w:rsid w:val="6643305A"/>
    <w:rsid w:val="66721D70"/>
    <w:rsid w:val="66817794"/>
    <w:rsid w:val="670D0ADC"/>
    <w:rsid w:val="672A14EE"/>
    <w:rsid w:val="672A527A"/>
    <w:rsid w:val="674468F2"/>
    <w:rsid w:val="67525CE9"/>
    <w:rsid w:val="67600DEC"/>
    <w:rsid w:val="67694B6F"/>
    <w:rsid w:val="67D46CBE"/>
    <w:rsid w:val="67FB6AF8"/>
    <w:rsid w:val="68273E23"/>
    <w:rsid w:val="686C1BB7"/>
    <w:rsid w:val="68717FC0"/>
    <w:rsid w:val="688F28C6"/>
    <w:rsid w:val="689204D6"/>
    <w:rsid w:val="68931A71"/>
    <w:rsid w:val="690C73C1"/>
    <w:rsid w:val="690E470A"/>
    <w:rsid w:val="69455631"/>
    <w:rsid w:val="69511D7C"/>
    <w:rsid w:val="69667239"/>
    <w:rsid w:val="69AF334E"/>
    <w:rsid w:val="69B20BA4"/>
    <w:rsid w:val="69B338D7"/>
    <w:rsid w:val="69E61A81"/>
    <w:rsid w:val="6A0B4A62"/>
    <w:rsid w:val="6A272C44"/>
    <w:rsid w:val="6A4A53D9"/>
    <w:rsid w:val="6A4C1F16"/>
    <w:rsid w:val="6A584D82"/>
    <w:rsid w:val="6AC53309"/>
    <w:rsid w:val="6B5B4C25"/>
    <w:rsid w:val="6B82310F"/>
    <w:rsid w:val="6B9955C4"/>
    <w:rsid w:val="6BA94B6C"/>
    <w:rsid w:val="6BBE23AC"/>
    <w:rsid w:val="6BC9393A"/>
    <w:rsid w:val="6BC965DC"/>
    <w:rsid w:val="6BD05FE0"/>
    <w:rsid w:val="6C15278F"/>
    <w:rsid w:val="6C192C77"/>
    <w:rsid w:val="6C680B1C"/>
    <w:rsid w:val="6C6830AB"/>
    <w:rsid w:val="6CA35071"/>
    <w:rsid w:val="6CAA2244"/>
    <w:rsid w:val="6D176C50"/>
    <w:rsid w:val="6D6B1A32"/>
    <w:rsid w:val="6D830976"/>
    <w:rsid w:val="6D8D1556"/>
    <w:rsid w:val="6D9C47D4"/>
    <w:rsid w:val="6DA878E5"/>
    <w:rsid w:val="6DB3004E"/>
    <w:rsid w:val="6DC64084"/>
    <w:rsid w:val="6DDA18E4"/>
    <w:rsid w:val="6DE31FA4"/>
    <w:rsid w:val="6DEF27A5"/>
    <w:rsid w:val="6DF1004A"/>
    <w:rsid w:val="6DF76419"/>
    <w:rsid w:val="6E2E21AD"/>
    <w:rsid w:val="6E5B527C"/>
    <w:rsid w:val="6E865950"/>
    <w:rsid w:val="6E8B12C4"/>
    <w:rsid w:val="6E921DF4"/>
    <w:rsid w:val="6F257E2B"/>
    <w:rsid w:val="6F74384E"/>
    <w:rsid w:val="6F7A1086"/>
    <w:rsid w:val="6F7D30C6"/>
    <w:rsid w:val="6F855C15"/>
    <w:rsid w:val="6FCD6A80"/>
    <w:rsid w:val="6FDF228C"/>
    <w:rsid w:val="701048BF"/>
    <w:rsid w:val="70404FC8"/>
    <w:rsid w:val="70644806"/>
    <w:rsid w:val="70A44053"/>
    <w:rsid w:val="70B23DA1"/>
    <w:rsid w:val="70D42F6E"/>
    <w:rsid w:val="710B2E1E"/>
    <w:rsid w:val="713B6F9B"/>
    <w:rsid w:val="7198751A"/>
    <w:rsid w:val="71A51555"/>
    <w:rsid w:val="71C56B06"/>
    <w:rsid w:val="71E276CC"/>
    <w:rsid w:val="7209211A"/>
    <w:rsid w:val="729E0354"/>
    <w:rsid w:val="72C546A9"/>
    <w:rsid w:val="72F05E81"/>
    <w:rsid w:val="72FE1849"/>
    <w:rsid w:val="73150265"/>
    <w:rsid w:val="733D0A3C"/>
    <w:rsid w:val="734961CD"/>
    <w:rsid w:val="73902F8B"/>
    <w:rsid w:val="73CF37E0"/>
    <w:rsid w:val="73E867D3"/>
    <w:rsid w:val="73F02CE7"/>
    <w:rsid w:val="73F21569"/>
    <w:rsid w:val="74281E02"/>
    <w:rsid w:val="7453209B"/>
    <w:rsid w:val="74741EC6"/>
    <w:rsid w:val="74BE0F07"/>
    <w:rsid w:val="74C9150D"/>
    <w:rsid w:val="74D11297"/>
    <w:rsid w:val="74F77888"/>
    <w:rsid w:val="7503560E"/>
    <w:rsid w:val="755B23F0"/>
    <w:rsid w:val="756441E0"/>
    <w:rsid w:val="759D43E0"/>
    <w:rsid w:val="75D13ED7"/>
    <w:rsid w:val="75E354AB"/>
    <w:rsid w:val="75FD0190"/>
    <w:rsid w:val="76001D27"/>
    <w:rsid w:val="76270C98"/>
    <w:rsid w:val="7659795A"/>
    <w:rsid w:val="76635F77"/>
    <w:rsid w:val="76912DA9"/>
    <w:rsid w:val="76BE2084"/>
    <w:rsid w:val="76C67A20"/>
    <w:rsid w:val="76FA32E0"/>
    <w:rsid w:val="777A7C3A"/>
    <w:rsid w:val="77B40DE8"/>
    <w:rsid w:val="77D2431F"/>
    <w:rsid w:val="78295A57"/>
    <w:rsid w:val="782E504C"/>
    <w:rsid w:val="786C031B"/>
    <w:rsid w:val="787108B6"/>
    <w:rsid w:val="787B4D40"/>
    <w:rsid w:val="78B80928"/>
    <w:rsid w:val="78C339EC"/>
    <w:rsid w:val="78CD3E56"/>
    <w:rsid w:val="78D939E3"/>
    <w:rsid w:val="78EB6EB1"/>
    <w:rsid w:val="791B599B"/>
    <w:rsid w:val="79374CE7"/>
    <w:rsid w:val="794319BF"/>
    <w:rsid w:val="7955353C"/>
    <w:rsid w:val="799035A9"/>
    <w:rsid w:val="79B81A90"/>
    <w:rsid w:val="79E6546C"/>
    <w:rsid w:val="79F8170D"/>
    <w:rsid w:val="79FD14B8"/>
    <w:rsid w:val="7A096A08"/>
    <w:rsid w:val="7A2A11C4"/>
    <w:rsid w:val="7A2B2F1C"/>
    <w:rsid w:val="7A3A0843"/>
    <w:rsid w:val="7A3E6A0A"/>
    <w:rsid w:val="7A4447A6"/>
    <w:rsid w:val="7A6A7C3A"/>
    <w:rsid w:val="7ABF5A43"/>
    <w:rsid w:val="7AC77976"/>
    <w:rsid w:val="7ADA60BB"/>
    <w:rsid w:val="7B151CB1"/>
    <w:rsid w:val="7B343384"/>
    <w:rsid w:val="7B452A87"/>
    <w:rsid w:val="7B557A15"/>
    <w:rsid w:val="7BA13BF2"/>
    <w:rsid w:val="7BFC0376"/>
    <w:rsid w:val="7C0773BC"/>
    <w:rsid w:val="7C0943F2"/>
    <w:rsid w:val="7C1823A4"/>
    <w:rsid w:val="7C1E37BA"/>
    <w:rsid w:val="7C3634B1"/>
    <w:rsid w:val="7C561668"/>
    <w:rsid w:val="7C920129"/>
    <w:rsid w:val="7CA91F8C"/>
    <w:rsid w:val="7CAE0131"/>
    <w:rsid w:val="7CB876F9"/>
    <w:rsid w:val="7D2D607C"/>
    <w:rsid w:val="7D4164FE"/>
    <w:rsid w:val="7D576356"/>
    <w:rsid w:val="7D632F91"/>
    <w:rsid w:val="7D8E5DA9"/>
    <w:rsid w:val="7D980DF8"/>
    <w:rsid w:val="7D9C6FEC"/>
    <w:rsid w:val="7DCC6265"/>
    <w:rsid w:val="7E3F6376"/>
    <w:rsid w:val="7E602E99"/>
    <w:rsid w:val="7E867A69"/>
    <w:rsid w:val="7E8E2BAE"/>
    <w:rsid w:val="7E900D73"/>
    <w:rsid w:val="7ED1289E"/>
    <w:rsid w:val="7EF40520"/>
    <w:rsid w:val="7EF77DD6"/>
    <w:rsid w:val="7F380987"/>
    <w:rsid w:val="7F3F1296"/>
    <w:rsid w:val="7F581501"/>
    <w:rsid w:val="7F805815"/>
    <w:rsid w:val="7F833067"/>
    <w:rsid w:val="7F8E256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2018-10-19T15:16:55Z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