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41"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中国国旅</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做T</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55.38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57.08</w:t>
            </w: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开盘回调，买入做T</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买入200股做T，今日未卖出，等待明日卖点，剩余600股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片仔癀</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做T</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82.93</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8</w:t>
            </w:r>
            <w:r>
              <w:rPr>
                <w:rFonts w:hint="default" w:asciiTheme="minorEastAsia" w:hAnsiTheme="minorEastAsia" w:cstheme="minorEastAsia"/>
                <w:b w:val="0"/>
                <w:i w:val="0"/>
                <w:color w:val="000000"/>
                <w:kern w:val="0"/>
                <w:sz w:val="21"/>
                <w:szCs w:val="21"/>
                <w:u w:val="none"/>
                <w:lang w:val="en-US" w:eastAsia="zh-CN" w:bidi="ar"/>
              </w:rPr>
              <w:t>5.78</w:t>
            </w:r>
          </w:p>
        </w:tc>
        <w:tc>
          <w:tcPr>
            <w:tcW w:w="2235" w:type="dxa"/>
            <w:vAlign w:val="top"/>
          </w:tcPr>
          <w:p>
            <w:pPr>
              <w:keepNext w:val="0"/>
              <w:keepLines w:val="0"/>
              <w:widowControl/>
              <w:suppressLineNumbers w:val="0"/>
              <w:jc w:val="left"/>
              <w:textAlignment w:val="top"/>
              <w:rPr>
                <w:rFonts w:hint="eastAsia"/>
                <w:lang w:val="en-US" w:eastAsia="zh-CN"/>
              </w:rPr>
            </w:pPr>
            <w:r>
              <w:rPr>
                <w:rFonts w:hint="eastAsia" w:asciiTheme="minorEastAsia" w:hAnsiTheme="minorEastAsia" w:cstheme="minorEastAsia"/>
                <w:sz w:val="21"/>
                <w:szCs w:val="21"/>
                <w:lang w:val="en-US" w:eastAsia="zh-CN"/>
              </w:rPr>
              <w:t>开盘回调，买入做T</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买入400股，做T卖出200股，剩余600股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 xml:space="preserve"> 斯太尔</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3.39</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3.70</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汽车零件+资产重组版块多股涨停：特尔佳、恒立实业。昨日4股一起涨停，今天3个未开板，买入今天未涨停的。考虑到要过做龙头，该股不是龙头短线快进快出，明日卖出。</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买入2000做底仓</w:t>
            </w:r>
          </w:p>
        </w:tc>
      </w:tr>
    </w:tbl>
    <w:p>
      <w:pPr>
        <w:spacing w:line="240" w:lineRule="auto"/>
        <w:rPr>
          <w:lang w:val="en-US"/>
        </w:rPr>
      </w:pPr>
      <w:bookmarkStart w:id="0" w:name="9057-1536542303601"/>
      <w:bookmarkEnd w:id="0"/>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5200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3</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lang w:val="en-US" w:eastAsia="zh-CN"/>
              </w:rPr>
              <w:t>0</w:t>
            </w:r>
          </w:p>
        </w:tc>
      </w:tr>
    </w:tbl>
    <w:p>
      <w:pPr>
        <w:spacing w:line="240" w:lineRule="auto"/>
        <w:rPr>
          <w:rFonts w:ascii="微软雅黑" w:hAnsi="微软雅黑" w:eastAsia="微软雅黑" w:cs="微软雅黑"/>
          <w:b/>
          <w:sz w:val="22"/>
        </w:rPr>
      </w:pPr>
      <w:bookmarkStart w:id="2" w:name="2911-1536542303635"/>
      <w:bookmarkEnd w:id="2"/>
      <w:bookmarkStart w:id="3" w:name="3677-1536542303641"/>
      <w:bookmarkEnd w:id="3"/>
      <w:bookmarkStart w:id="4" w:name="1096-1536542303639"/>
      <w:bookmarkEnd w:id="4"/>
      <w:bookmarkStart w:id="5" w:name="2151-1536542303645"/>
      <w:bookmarkEnd w:id="5"/>
      <w:bookmarkStart w:id="6" w:name="1227-1536542303637"/>
      <w:bookmarkEnd w:id="6"/>
      <w:bookmarkStart w:id="7" w:name="8416-1536542303643"/>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收盘2594回调超预期，明日关注2553的得失，看是否回补缺口。回补缺口之后，是做T买点。</w:t>
      </w:r>
    </w:p>
    <w:p>
      <w:pPr>
        <w:numPr>
          <w:ilvl w:val="0"/>
          <w:numId w:val="0"/>
        </w:numPr>
        <w:spacing w:line="240" w:lineRule="auto"/>
        <w:ind w:left="105" w:leftChars="0"/>
      </w:pPr>
    </w:p>
    <w:p>
      <w:pPr>
        <w:numPr>
          <w:ilvl w:val="0"/>
          <w:numId w:val="0"/>
        </w:numPr>
        <w:spacing w:line="240" w:lineRule="auto"/>
        <w:ind w:left="105" w:leftChars="0"/>
      </w:pPr>
      <w:r>
        <w:drawing>
          <wp:inline distT="0" distB="0" distL="114300" distR="114300">
            <wp:extent cx="5267325" cy="3212465"/>
            <wp:effectExtent l="0" t="0" r="952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325" cy="3212465"/>
                    </a:xfrm>
                    <a:prstGeom prst="rect">
                      <a:avLst/>
                    </a:prstGeom>
                    <a:noFill/>
                    <a:ln w="9525">
                      <a:noFill/>
                    </a:ln>
                  </pic:spPr>
                </pic:pic>
              </a:graphicData>
            </a:graphic>
          </wp:inline>
        </w:drawing>
      </w:r>
    </w:p>
    <w:p>
      <w:pPr>
        <w:spacing w:line="240" w:lineRule="auto"/>
      </w:pPr>
    </w:p>
    <w:p>
      <w:pPr>
        <w:numPr>
          <w:ilvl w:val="0"/>
          <w:numId w:val="1"/>
        </w:numPr>
        <w:spacing w:line="240" w:lineRule="auto"/>
        <w:ind w:left="105" w:leftChars="0" w:firstLine="0" w:firstLineChars="0"/>
        <w:rPr>
          <w:rFonts w:hint="eastAsia"/>
          <w:lang w:val="en-US" w:eastAsia="zh-CN"/>
        </w:rPr>
      </w:pPr>
      <w:r>
        <w:rPr>
          <w:rFonts w:hint="eastAsia"/>
          <w:lang w:val="en-US" w:eastAsia="zh-CN"/>
        </w:rPr>
        <w:t>上证50：</w:t>
      </w:r>
    </w:p>
    <w:p>
      <w:pPr>
        <w:spacing w:line="240" w:lineRule="auto"/>
        <w:rPr>
          <w:rFonts w:hint="eastAsia"/>
          <w:lang w:val="en-US" w:eastAsia="zh-CN"/>
        </w:rPr>
      </w:pPr>
      <w:r>
        <w:rPr>
          <w:rFonts w:hint="eastAsia"/>
          <w:lang w:val="en-US" w:eastAsia="zh-CN"/>
        </w:rPr>
        <w:t>贵州茅台带领下跌，超预期，不过已经回补缺口。预判明日下跌空间有限。</w:t>
      </w:r>
    </w:p>
    <w:p>
      <w:pPr>
        <w:spacing w:line="240" w:lineRule="auto"/>
        <w:rPr>
          <w:rFonts w:hint="eastAsia"/>
          <w:lang w:val="en-US" w:eastAsia="zh-CN"/>
        </w:rPr>
      </w:pPr>
      <w:r>
        <w:drawing>
          <wp:inline distT="0" distB="0" distL="114300" distR="114300">
            <wp:extent cx="5269230" cy="3608070"/>
            <wp:effectExtent l="0" t="0" r="762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230" cy="3608070"/>
                    </a:xfrm>
                    <a:prstGeom prst="rect">
                      <a:avLst/>
                    </a:prstGeom>
                    <a:noFill/>
                    <a:ln w="9525">
                      <a:noFill/>
                    </a:ln>
                  </pic:spPr>
                </pic:pic>
              </a:graphicData>
            </a:graphic>
          </wp:inline>
        </w:drawing>
      </w:r>
    </w:p>
    <w:p>
      <w:pPr>
        <w:numPr>
          <w:ilvl w:val="0"/>
          <w:numId w:val="2"/>
        </w:numPr>
        <w:spacing w:line="240" w:lineRule="auto"/>
        <w:rPr>
          <w:rFonts w:hint="eastAsia"/>
          <w:lang w:val="en-US" w:eastAsia="zh-CN"/>
        </w:rPr>
      </w:pPr>
      <w:r>
        <w:rPr>
          <w:rFonts w:hint="eastAsia"/>
          <w:lang w:val="en-US" w:eastAsia="zh-CN"/>
        </w:rPr>
        <w:t>港股：收盘25356.55， -3.08%</w:t>
      </w:r>
    </w:p>
    <w:p>
      <w:pPr>
        <w:numPr>
          <w:ilvl w:val="0"/>
          <w:numId w:val="2"/>
        </w:numPr>
        <w:spacing w:line="240" w:lineRule="auto"/>
        <w:rPr>
          <w:rFonts w:hint="eastAsia"/>
          <w:lang w:val="en-US" w:eastAsia="zh-CN"/>
        </w:rPr>
      </w:pPr>
      <w:r>
        <w:rPr>
          <w:rFonts w:hint="eastAsia"/>
          <w:lang w:val="en-US" w:eastAsia="zh-CN"/>
        </w:rPr>
        <w:t>人民币： 贬值创新低6.9779，+95基点</w:t>
      </w:r>
    </w:p>
    <w:p>
      <w:pPr>
        <w:numPr>
          <w:ilvl w:val="0"/>
          <w:numId w:val="2"/>
        </w:numPr>
        <w:spacing w:line="240" w:lineRule="auto"/>
        <w:rPr>
          <w:rFonts w:hint="eastAsia"/>
          <w:lang w:val="en-US" w:eastAsia="zh-CN"/>
        </w:rPr>
      </w:pPr>
      <w:r>
        <w:rPr>
          <w:rFonts w:hint="eastAsia"/>
          <w:lang w:val="en-US" w:eastAsia="zh-CN"/>
        </w:rPr>
        <w:t>GC001：2.490，0.00%</w:t>
      </w:r>
    </w:p>
    <w:p>
      <w:pPr>
        <w:numPr>
          <w:ilvl w:val="0"/>
          <w:numId w:val="2"/>
        </w:numPr>
        <w:spacing w:line="240" w:lineRule="auto"/>
        <w:rPr>
          <w:rFonts w:hint="eastAsia"/>
          <w:lang w:val="en-US" w:eastAsia="zh-CN"/>
        </w:rPr>
      </w:pPr>
      <w:r>
        <w:rPr>
          <w:rFonts w:hint="eastAsia"/>
          <w:lang w:val="en-US" w:eastAsia="zh-CN"/>
        </w:rPr>
        <w:t>融资融券余额：7735亿，+14亿</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【宏观要闻】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第二批养老目标基金获批 正式名单或将于近期公布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第二批养老目标基金日前已经获批，正式名单或将于近期公布。第二批获批公司名单中，有部分和第一批重叠。在发行方面，基金公司人士称，因为首批的养老目标基金还未全部发完，所以第二批养老目标基金如果在发行时撞上和首批养老目标基金同样的发行渠道(主要是银行)，估计会等前序产品结束募集后才会发行新产品。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【资讯快报】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养老金现身5只个股 全部为新建仓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广州海关检出今年国内首例输入性寨卡病毒病病例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外资持续流入A股 南方A50ETF两日总共获超1.3亿美金净流入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上交所：蔚蓝生物首发过会 主板申报8000万净利润要求不攻自破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交易商协会组织中债增进等专业机构为民企缓解融资压力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11家出资券商名单公布 设立资管计划纾解股权质押风险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马蜂窝CEO陈罡回应点评数据争议：我们欢迎各界善意的监督和建议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万钢：今年新能源汽车产销量将超百万辆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证监会：2公司首发过会 1公司被否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央行据悉拟向中债增信提供100亿元，为民企发债提供增信支持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上周新增投资者数环比减少4.62%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深圳市政府：拟2035年基本建成全球海洋中心城市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港交所回应：确认汉能薄膜发电适用新规 逾期未复牌将被取消上市地位 </w:t>
      </w:r>
    </w:p>
    <w:p>
      <w:pPr>
        <w:spacing w:line="240" w:lineRule="auto"/>
        <w:rPr>
          <w:rFonts w:hint="eastAsia"/>
          <w:lang w:val="en-US" w:eastAsia="zh-CN"/>
        </w:rPr>
      </w:pPr>
      <w:r>
        <w:rPr>
          <w:rFonts w:hint="eastAsia"/>
          <w:lang w:val="en-US" w:eastAsia="zh-CN"/>
        </w:rPr>
        <w:t xml:space="preserve">【利好公告】 </w:t>
      </w:r>
    </w:p>
    <w:p>
      <w:pPr>
        <w:spacing w:line="240" w:lineRule="auto"/>
        <w:rPr>
          <w:rFonts w:hint="eastAsia"/>
          <w:lang w:val="en-US" w:eastAsia="zh-CN"/>
        </w:rPr>
      </w:pPr>
    </w:p>
    <w:p>
      <w:pPr>
        <w:spacing w:line="240" w:lineRule="auto"/>
        <w:rPr>
          <w:rFonts w:hint="eastAsia"/>
          <w:color w:val="FF0000"/>
          <w:lang w:val="en-US" w:eastAsia="zh-CN"/>
        </w:rPr>
      </w:pPr>
      <w:r>
        <w:rPr>
          <w:rFonts w:hint="eastAsia"/>
          <w:color w:val="FF0000"/>
          <w:lang w:val="en-US" w:eastAsia="zh-CN"/>
        </w:rPr>
        <w:t xml:space="preserve">赞宇科技(002637)：2018年度净利预增57%至101% </w:t>
      </w:r>
    </w:p>
    <w:p>
      <w:pPr>
        <w:spacing w:line="240" w:lineRule="auto"/>
        <w:rPr>
          <w:rFonts w:hint="eastAsia"/>
          <w:lang w:val="en-US" w:eastAsia="zh-CN"/>
        </w:rPr>
      </w:pPr>
      <w:r>
        <w:rPr>
          <w:rFonts w:hint="eastAsia"/>
          <w:lang w:val="en-US" w:eastAsia="zh-CN"/>
        </w:rPr>
        <w:t xml:space="preserve">南京港(002040)：前三季度净利同比增长74% </w:t>
      </w:r>
    </w:p>
    <w:p>
      <w:pPr>
        <w:spacing w:line="240" w:lineRule="auto"/>
        <w:rPr>
          <w:rFonts w:hint="eastAsia"/>
          <w:color w:val="FF0000"/>
          <w:lang w:val="en-US" w:eastAsia="zh-CN"/>
        </w:rPr>
      </w:pPr>
      <w:r>
        <w:rPr>
          <w:rFonts w:hint="eastAsia"/>
          <w:color w:val="FF0000"/>
          <w:lang w:val="en-US" w:eastAsia="zh-CN"/>
        </w:rPr>
        <w:t xml:space="preserve">华昌化工(002274)：前三季度净利1.22亿元 同比增逾5倍 </w:t>
      </w:r>
    </w:p>
    <w:p>
      <w:pPr>
        <w:spacing w:line="240" w:lineRule="auto"/>
        <w:rPr>
          <w:rFonts w:hint="eastAsia"/>
          <w:color w:val="FF0000"/>
          <w:lang w:val="en-US" w:eastAsia="zh-CN"/>
        </w:rPr>
      </w:pPr>
      <w:r>
        <w:rPr>
          <w:rFonts w:hint="eastAsia"/>
          <w:color w:val="FF0000"/>
          <w:lang w:val="en-US" w:eastAsia="zh-CN"/>
        </w:rPr>
        <w:t>博深工具(002282)：2018年度净利预</w:t>
      </w:r>
      <w:bookmarkStart w:id="14" w:name="_GoBack"/>
      <w:bookmarkEnd w:id="14"/>
      <w:r>
        <w:rPr>
          <w:rFonts w:hint="eastAsia"/>
          <w:color w:val="FF0000"/>
          <w:lang w:val="en-US" w:eastAsia="zh-CN"/>
        </w:rPr>
        <w:t xml:space="preserve">增90%至140% </w:t>
      </w:r>
    </w:p>
    <w:p>
      <w:pPr>
        <w:spacing w:line="240" w:lineRule="auto"/>
        <w:rPr>
          <w:rFonts w:hint="eastAsia"/>
          <w:color w:val="FF0000"/>
          <w:lang w:val="en-US" w:eastAsia="zh-CN"/>
        </w:rPr>
      </w:pPr>
      <w:r>
        <w:rPr>
          <w:rFonts w:hint="eastAsia"/>
          <w:color w:val="FF0000"/>
          <w:lang w:val="en-US" w:eastAsia="zh-CN"/>
        </w:rPr>
        <w:t xml:space="preserve">精工钢构(600496)：前三季度净利预增123%-155% </w:t>
      </w:r>
    </w:p>
    <w:p>
      <w:pPr>
        <w:spacing w:line="240" w:lineRule="auto"/>
        <w:rPr>
          <w:rFonts w:hint="eastAsia"/>
          <w:lang w:val="en-US" w:eastAsia="zh-CN"/>
        </w:rPr>
      </w:pPr>
      <w:r>
        <w:rPr>
          <w:rFonts w:hint="eastAsia"/>
          <w:lang w:val="en-US" w:eastAsia="zh-CN"/>
        </w:rPr>
        <w:t xml:space="preserve">三一重工(600031)：预计前三季度净利润同比增长160%-180% </w:t>
      </w:r>
    </w:p>
    <w:p>
      <w:pPr>
        <w:spacing w:line="240" w:lineRule="auto"/>
        <w:rPr>
          <w:rFonts w:hint="eastAsia"/>
          <w:lang w:val="en-US" w:eastAsia="zh-CN"/>
        </w:rPr>
      </w:pPr>
      <w:r>
        <w:rPr>
          <w:rFonts w:hint="eastAsia"/>
          <w:lang w:val="en-US" w:eastAsia="zh-CN"/>
        </w:rPr>
        <w:t xml:space="preserve">浙江医药(600216)：前三季度净利5.15亿元 同比增近3倍 </w:t>
      </w:r>
    </w:p>
    <w:p>
      <w:pPr>
        <w:spacing w:line="240" w:lineRule="auto"/>
        <w:rPr>
          <w:rFonts w:hint="eastAsia"/>
          <w:lang w:val="en-US" w:eastAsia="zh-CN"/>
        </w:rPr>
      </w:pPr>
      <w:r>
        <w:rPr>
          <w:rFonts w:hint="eastAsia"/>
          <w:lang w:val="en-US" w:eastAsia="zh-CN"/>
        </w:rPr>
        <w:t xml:space="preserve">华东重机(002685)：前三季度净利同比增逾13倍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lang w:val="en-US" w:eastAsia="zh-CN"/>
        </w:rPr>
      </w:pPr>
      <w:r>
        <w:rPr>
          <w:rFonts w:hint="eastAsia"/>
          <w:lang w:val="en-US" w:eastAsia="zh-CN"/>
        </w:rPr>
        <w:t>10-15日关注股票</w:t>
      </w:r>
    </w:p>
    <w:p>
      <w:pPr>
        <w:spacing w:line="240" w:lineRule="auto"/>
        <w:rPr>
          <w:rFonts w:hint="eastAsia"/>
          <w:strike/>
          <w:dstrike w:val="0"/>
          <w:lang w:val="en-US" w:eastAsia="zh-CN"/>
        </w:rPr>
      </w:pPr>
      <w:r>
        <w:rPr>
          <w:rFonts w:hint="eastAsia"/>
          <w:strike/>
          <w:dstrike w:val="0"/>
          <w:lang w:val="en-US" w:eastAsia="zh-CN"/>
        </w:rPr>
        <w:t>汇川技术</w:t>
      </w:r>
      <w:r>
        <w:rPr>
          <w:rFonts w:hint="default"/>
          <w:strike/>
          <w:dstrike w:val="0"/>
          <w:lang w:val="en-US" w:eastAsia="zh-CN"/>
        </w:rPr>
        <w:t>(-5.05%)</w:t>
      </w:r>
    </w:p>
    <w:p>
      <w:pPr>
        <w:spacing w:line="240" w:lineRule="auto"/>
        <w:rPr>
          <w:rFonts w:hint="eastAsia"/>
          <w:lang w:val="en-US" w:eastAsia="zh-CN"/>
        </w:rPr>
      </w:pPr>
    </w:p>
    <w:p>
      <w:pPr>
        <w:spacing w:line="240" w:lineRule="auto"/>
        <w:rPr>
          <w:rFonts w:hint="eastAsia"/>
          <w:lang w:val="en-US" w:eastAsia="zh-CN"/>
        </w:rPr>
      </w:pPr>
      <w:r>
        <w:rPr>
          <w:rFonts w:hint="default"/>
          <w:lang w:val="en-US" w:eastAsia="zh-CN"/>
        </w:rPr>
        <w:t>10-16</w:t>
      </w:r>
      <w:r>
        <w:rPr>
          <w:rFonts w:hint="eastAsia"/>
          <w:lang w:val="en-US" w:eastAsia="zh-CN"/>
        </w:rPr>
        <w:t>日关注股票：</w:t>
      </w:r>
    </w:p>
    <w:p>
      <w:pPr>
        <w:spacing w:line="240" w:lineRule="auto"/>
        <w:rPr>
          <w:rFonts w:hint="default"/>
          <w:strike/>
          <w:dstrike w:val="0"/>
          <w:lang w:val="en-US" w:eastAsia="zh-CN"/>
        </w:rPr>
      </w:pPr>
      <w:r>
        <w:rPr>
          <w:rFonts w:hint="eastAsia"/>
          <w:strike/>
          <w:dstrike w:val="0"/>
          <w:lang w:val="en-US" w:eastAsia="zh-CN"/>
        </w:rPr>
        <w:t>云南城投</w:t>
      </w:r>
      <w:r>
        <w:rPr>
          <w:rFonts w:hint="default"/>
          <w:strike/>
          <w:dstrike w:val="0"/>
          <w:lang w:val="en-US" w:eastAsia="zh-CN"/>
        </w:rPr>
        <w:t>(-5.16%)</w:t>
      </w:r>
      <w:r>
        <w:rPr>
          <w:rFonts w:hint="eastAsia"/>
          <w:strike/>
          <w:dstrike w:val="0"/>
          <w:lang w:val="en-US" w:eastAsia="zh-CN"/>
        </w:rPr>
        <w:t>、大东海A</w:t>
      </w:r>
      <w:r>
        <w:rPr>
          <w:rFonts w:hint="default"/>
          <w:strike/>
          <w:dstrike w:val="0"/>
          <w:lang w:val="en-US" w:eastAsia="zh-CN"/>
        </w:rPr>
        <w:t>(+1.12%)</w:t>
      </w:r>
      <w:r>
        <w:rPr>
          <w:rFonts w:hint="eastAsia"/>
          <w:strike/>
          <w:dstrike w:val="0"/>
          <w:lang w:val="en-US" w:eastAsia="zh-CN"/>
        </w:rPr>
        <w:t>、海峡股份</w:t>
      </w:r>
      <w:r>
        <w:rPr>
          <w:rFonts w:hint="default"/>
          <w:strike/>
          <w:dstrike w:val="0"/>
          <w:lang w:val="en-US" w:eastAsia="zh-CN"/>
        </w:rPr>
        <w:t>(+1.79%)</w:t>
      </w:r>
      <w:r>
        <w:rPr>
          <w:rFonts w:hint="eastAsia"/>
          <w:strike/>
          <w:dstrike w:val="0"/>
          <w:lang w:val="en-US" w:eastAsia="zh-CN"/>
        </w:rPr>
        <w:t>、海航基础</w:t>
      </w:r>
      <w:r>
        <w:rPr>
          <w:rFonts w:hint="default"/>
          <w:strike/>
          <w:dstrike w:val="0"/>
          <w:lang w:val="en-US" w:eastAsia="zh-CN"/>
        </w:rPr>
        <w:t>(+5.13%)</w:t>
      </w:r>
      <w:r>
        <w:rPr>
          <w:rFonts w:hint="eastAsia"/>
          <w:strike/>
          <w:dstrike w:val="0"/>
          <w:lang w:val="en-US" w:eastAsia="zh-CN"/>
        </w:rPr>
        <w:t>、钧达股份</w:t>
      </w:r>
      <w:r>
        <w:rPr>
          <w:rFonts w:hint="default"/>
          <w:strike/>
          <w:dstrike w:val="0"/>
          <w:lang w:val="en-US" w:eastAsia="zh-CN"/>
        </w:rPr>
        <w:t>(+2.73%)</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10-17日关注股票：</w:t>
      </w:r>
    </w:p>
    <w:p>
      <w:pPr>
        <w:spacing w:line="240" w:lineRule="auto"/>
        <w:rPr>
          <w:rFonts w:hint="eastAsia"/>
          <w:lang w:val="en-US" w:eastAsia="zh-CN"/>
        </w:rPr>
      </w:pPr>
      <w:r>
        <w:rPr>
          <w:rFonts w:hint="eastAsia"/>
          <w:color w:val="00B050"/>
          <w:lang w:val="en-US" w:eastAsia="zh-CN"/>
        </w:rPr>
        <w:t>青松股份（</w:t>
      </w:r>
      <w:r>
        <w:rPr>
          <w:rFonts w:hint="default"/>
          <w:color w:val="00B050"/>
          <w:lang w:val="en-US" w:eastAsia="zh-CN"/>
        </w:rPr>
        <w:t>-0.49</w:t>
      </w:r>
      <w:r>
        <w:rPr>
          <w:rFonts w:hint="eastAsia"/>
          <w:color w:val="00B050"/>
          <w:lang w:val="en-US" w:eastAsia="zh-CN"/>
        </w:rPr>
        <w:t>%）</w:t>
      </w:r>
      <w:r>
        <w:rPr>
          <w:rFonts w:hint="eastAsia"/>
          <w:lang w:val="en-US" w:eastAsia="zh-CN"/>
        </w:rPr>
        <w:t>、</w:t>
      </w:r>
      <w:r>
        <w:rPr>
          <w:rFonts w:hint="eastAsia"/>
          <w:strike/>
          <w:dstrike w:val="0"/>
          <w:lang w:val="en-US" w:eastAsia="zh-CN"/>
        </w:rPr>
        <w:t>金龙机电</w:t>
      </w:r>
      <w:r>
        <w:rPr>
          <w:rFonts w:hint="default"/>
          <w:strike/>
          <w:dstrike w:val="0"/>
          <w:lang w:val="en-US" w:eastAsia="zh-CN"/>
        </w:rPr>
        <w:t>(-4.73%)</w:t>
      </w:r>
      <w:r>
        <w:rPr>
          <w:rFonts w:hint="eastAsia"/>
          <w:lang w:val="en-US" w:eastAsia="zh-CN"/>
        </w:rPr>
        <w:t>、</w:t>
      </w:r>
      <w:r>
        <w:rPr>
          <w:rFonts w:hint="eastAsia"/>
          <w:strike/>
          <w:dstrike w:val="0"/>
          <w:lang w:val="en-US" w:eastAsia="zh-CN"/>
        </w:rPr>
        <w:t>天润数媒</w:t>
      </w:r>
      <w:r>
        <w:rPr>
          <w:rFonts w:hint="default"/>
          <w:strike/>
          <w:dstrike w:val="0"/>
          <w:lang w:val="en-US" w:eastAsia="zh-CN"/>
        </w:rPr>
        <w:t>(-10.07%)</w:t>
      </w:r>
      <w:r>
        <w:rPr>
          <w:rFonts w:hint="eastAsia"/>
          <w:lang w:val="en-US" w:eastAsia="zh-CN"/>
        </w:rPr>
        <w:t>、</w:t>
      </w:r>
      <w:r>
        <w:rPr>
          <w:rFonts w:hint="eastAsia"/>
          <w:strike/>
          <w:dstrike w:val="0"/>
          <w:lang w:val="en-US" w:eastAsia="zh-CN"/>
        </w:rPr>
        <w:t>山推股份</w:t>
      </w:r>
      <w:r>
        <w:rPr>
          <w:rFonts w:hint="default"/>
          <w:strike/>
          <w:dstrike w:val="0"/>
          <w:lang w:val="en-US" w:eastAsia="zh-CN"/>
        </w:rPr>
        <w:t>(5.49%)</w:t>
      </w:r>
    </w:p>
    <w:p>
      <w:pPr>
        <w:spacing w:line="240" w:lineRule="auto"/>
        <w:rPr>
          <w:rFonts w:hint="eastAsia"/>
          <w:lang w:val="en-US" w:eastAsia="zh-CN"/>
        </w:rPr>
      </w:pPr>
    </w:p>
    <w:p>
      <w:pPr>
        <w:spacing w:line="240" w:lineRule="auto"/>
        <w:rPr>
          <w:rFonts w:hint="eastAsia" w:eastAsiaTheme="minorEastAsia"/>
          <w:lang w:val="en-US" w:eastAsia="zh-CN"/>
        </w:rPr>
      </w:pPr>
      <w:r>
        <w:rPr>
          <w:rFonts w:hint="default"/>
          <w:lang w:val="en-US" w:eastAsia="zh-CN"/>
        </w:rPr>
        <w:t>10-18</w:t>
      </w:r>
      <w:r>
        <w:rPr>
          <w:rFonts w:hint="eastAsia"/>
          <w:lang w:val="en-US" w:eastAsia="zh-CN"/>
        </w:rPr>
        <w:t>日关注股票：</w:t>
      </w:r>
    </w:p>
    <w:p>
      <w:pPr>
        <w:spacing w:line="240" w:lineRule="auto"/>
        <w:rPr>
          <w:rFonts w:hint="default"/>
          <w:color w:val="FF0000"/>
          <w:lang w:val="en-US" w:eastAsia="zh-CN"/>
        </w:rPr>
      </w:pPr>
      <w:r>
        <w:rPr>
          <w:rFonts w:hint="eastAsia"/>
          <w:color w:val="FF0000"/>
          <w:lang w:val="en-US" w:eastAsia="zh-CN"/>
        </w:rPr>
        <w:t>中国国旅</w:t>
      </w:r>
      <w:r>
        <w:rPr>
          <w:rFonts w:hint="default"/>
          <w:color w:val="FF0000"/>
          <w:lang w:val="en-US" w:eastAsia="zh-CN"/>
        </w:rPr>
        <w:t>(</w:t>
      </w:r>
      <w:r>
        <w:rPr>
          <w:rFonts w:hint="eastAsia"/>
          <w:color w:val="FF0000"/>
          <w:lang w:val="en-US" w:eastAsia="zh-CN"/>
        </w:rPr>
        <w:t>-1.38%</w:t>
      </w:r>
      <w:r>
        <w:rPr>
          <w:rFonts w:hint="default"/>
          <w:color w:val="FF0000"/>
          <w:lang w:val="en-US" w:eastAsia="zh-CN"/>
        </w:rPr>
        <w:t>)</w:t>
      </w:r>
      <w:r>
        <w:rPr>
          <w:rFonts w:hint="eastAsia"/>
          <w:color w:val="FF0000"/>
          <w:lang w:val="en-US" w:eastAsia="zh-CN"/>
        </w:rPr>
        <w:t>、片仔癀</w:t>
      </w:r>
      <w:r>
        <w:rPr>
          <w:rFonts w:hint="default"/>
          <w:color w:val="FF0000"/>
          <w:lang w:val="en-US" w:eastAsia="zh-CN"/>
        </w:rPr>
        <w:t>(</w:t>
      </w:r>
      <w:r>
        <w:rPr>
          <w:rFonts w:hint="eastAsia"/>
          <w:color w:val="FF0000"/>
          <w:lang w:val="en-US" w:eastAsia="zh-CN"/>
        </w:rPr>
        <w:t>-5.35</w:t>
      </w:r>
      <w:r>
        <w:rPr>
          <w:rFonts w:hint="default"/>
          <w:color w:val="FF0000"/>
          <w:lang w:val="en-US" w:eastAsia="zh-CN"/>
        </w:rPr>
        <w:t>%)</w:t>
      </w:r>
      <w:r>
        <w:rPr>
          <w:rFonts w:hint="eastAsia"/>
          <w:color w:val="FF0000"/>
          <w:lang w:val="en-US" w:eastAsia="zh-CN"/>
        </w:rPr>
        <w:t>、恒立液压</w:t>
      </w:r>
      <w:r>
        <w:rPr>
          <w:rFonts w:hint="default"/>
          <w:color w:val="FF0000"/>
          <w:lang w:val="en-US" w:eastAsia="zh-CN"/>
        </w:rPr>
        <w:t>(-5.37%)</w:t>
      </w:r>
      <w:r>
        <w:rPr>
          <w:rFonts w:hint="eastAsia"/>
          <w:color w:val="FF0000"/>
          <w:lang w:val="en-US" w:eastAsia="zh-CN"/>
        </w:rPr>
        <w:t>、涪陵榨菜</w:t>
      </w:r>
      <w:r>
        <w:rPr>
          <w:rFonts w:hint="default"/>
          <w:color w:val="FF0000"/>
          <w:lang w:val="en-US" w:eastAsia="zh-CN"/>
        </w:rPr>
        <w:t>(-3.39%)</w:t>
      </w:r>
    </w:p>
    <w:p>
      <w:pPr>
        <w:spacing w:line="240" w:lineRule="auto"/>
        <w:rPr>
          <w:rFonts w:hint="default"/>
          <w:color w:val="FF0000"/>
          <w:lang w:val="en-US" w:eastAsia="zh-CN"/>
        </w:rPr>
      </w:pPr>
    </w:p>
    <w:p>
      <w:pPr>
        <w:spacing w:line="240" w:lineRule="auto"/>
        <w:rPr>
          <w:rFonts w:hint="eastAsia"/>
          <w:color w:val="auto"/>
          <w:lang w:val="en-US" w:eastAsia="zh-CN"/>
        </w:rPr>
      </w:pPr>
      <w:r>
        <w:rPr>
          <w:rFonts w:hint="default"/>
          <w:color w:val="auto"/>
          <w:lang w:val="en-US" w:eastAsia="zh-CN"/>
        </w:rPr>
        <w:t>10-22</w:t>
      </w:r>
      <w:r>
        <w:rPr>
          <w:rFonts w:hint="eastAsia"/>
          <w:color w:val="auto"/>
          <w:lang w:val="en-US" w:eastAsia="zh-CN"/>
        </w:rPr>
        <w:t>日关注股票：</w:t>
      </w:r>
    </w:p>
    <w:p>
      <w:pPr>
        <w:spacing w:line="240" w:lineRule="auto"/>
        <w:rPr>
          <w:rFonts w:hint="default"/>
          <w:color w:val="00B050"/>
          <w:lang w:val="en-US" w:eastAsia="zh-CN"/>
        </w:rPr>
      </w:pPr>
      <w:r>
        <w:rPr>
          <w:rFonts w:hint="eastAsia"/>
          <w:color w:val="FF0000"/>
          <w:lang w:val="en-US" w:eastAsia="zh-CN"/>
        </w:rPr>
        <w:t>群兴玩具</w:t>
      </w:r>
      <w:r>
        <w:rPr>
          <w:rFonts w:hint="default"/>
          <w:color w:val="FF0000"/>
          <w:lang w:val="en-US" w:eastAsia="zh-CN"/>
        </w:rPr>
        <w:t>(+9.91%)</w:t>
      </w:r>
      <w:r>
        <w:rPr>
          <w:rFonts w:hint="eastAsia"/>
          <w:color w:val="FF0000"/>
          <w:lang w:val="en-US" w:eastAsia="zh-CN"/>
        </w:rPr>
        <w:t>、乔治白</w:t>
      </w:r>
      <w:r>
        <w:rPr>
          <w:rFonts w:hint="default"/>
          <w:color w:val="FF0000"/>
          <w:lang w:val="en-US" w:eastAsia="zh-CN"/>
        </w:rPr>
        <w:t>(+10.08)</w:t>
      </w:r>
      <w:r>
        <w:rPr>
          <w:rFonts w:hint="eastAsia"/>
          <w:color w:val="FF0000"/>
          <w:lang w:val="en-US" w:eastAsia="zh-CN"/>
        </w:rPr>
        <w:t>、凤形股份</w:t>
      </w:r>
      <w:r>
        <w:rPr>
          <w:rFonts w:hint="default"/>
          <w:color w:val="FF0000"/>
          <w:lang w:val="en-US" w:eastAsia="zh-CN"/>
        </w:rPr>
        <w:t>(+10.04)</w:t>
      </w:r>
      <w:r>
        <w:rPr>
          <w:rFonts w:hint="eastAsia"/>
          <w:color w:val="FF0000"/>
          <w:lang w:val="en-US" w:eastAsia="zh-CN"/>
        </w:rPr>
        <w:t>、商业城</w:t>
      </w:r>
      <w:r>
        <w:rPr>
          <w:rFonts w:hint="default"/>
          <w:color w:val="FF0000"/>
          <w:lang w:val="en-US" w:eastAsia="zh-CN"/>
        </w:rPr>
        <w:t>(+10.02)</w:t>
      </w:r>
      <w:r>
        <w:rPr>
          <w:rFonts w:hint="default"/>
          <w:color w:val="auto"/>
          <w:lang w:val="en-US" w:eastAsia="zh-CN"/>
        </w:rPr>
        <w:t xml:space="preserve">  </w:t>
      </w:r>
      <w:r>
        <w:rPr>
          <w:rFonts w:hint="eastAsia"/>
          <w:color w:val="auto"/>
          <w:lang w:val="en-US" w:eastAsia="zh-CN"/>
        </w:rPr>
        <w:t>、</w:t>
      </w:r>
      <w:r>
        <w:rPr>
          <w:rFonts w:hint="eastAsia"/>
          <w:color w:val="00B050"/>
          <w:lang w:val="en-US" w:eastAsia="zh-CN"/>
        </w:rPr>
        <w:t>恒顺醋业</w:t>
      </w:r>
      <w:r>
        <w:rPr>
          <w:rFonts w:hint="default"/>
          <w:color w:val="00B050"/>
          <w:lang w:val="en-US" w:eastAsia="zh-CN"/>
        </w:rPr>
        <w:t>(-2.78%)</w:t>
      </w:r>
    </w:p>
    <w:p>
      <w:pPr>
        <w:spacing w:line="240" w:lineRule="auto"/>
        <w:rPr>
          <w:rFonts w:hint="default"/>
          <w:color w:val="auto"/>
          <w:lang w:val="en-US" w:eastAsia="zh-CN"/>
        </w:rPr>
      </w:pPr>
    </w:p>
    <w:p>
      <w:pPr>
        <w:spacing w:line="240" w:lineRule="auto"/>
        <w:rPr>
          <w:rFonts w:hint="eastAsia"/>
          <w:color w:val="auto"/>
          <w:lang w:val="en-US" w:eastAsia="zh-CN"/>
        </w:rPr>
      </w:pPr>
      <w:r>
        <w:rPr>
          <w:rFonts w:hint="eastAsia"/>
          <w:color w:val="auto"/>
          <w:lang w:val="en-US" w:eastAsia="zh-CN"/>
        </w:rPr>
        <w:t>10-23日关注股票</w:t>
      </w:r>
    </w:p>
    <w:p>
      <w:pPr>
        <w:spacing w:line="240" w:lineRule="auto"/>
        <w:rPr>
          <w:rFonts w:hint="eastAsia"/>
          <w:color w:val="auto"/>
          <w:lang w:val="en-US" w:eastAsia="zh-CN"/>
        </w:rPr>
      </w:pPr>
      <w:r>
        <w:rPr>
          <w:rFonts w:hint="eastAsia"/>
          <w:color w:val="auto"/>
          <w:lang w:val="en-US" w:eastAsia="zh-CN"/>
        </w:rPr>
        <w:t>斯太尔（+1.18%）</w:t>
      </w:r>
    </w:p>
    <w:p>
      <w:pPr>
        <w:spacing w:line="240" w:lineRule="auto"/>
        <w:rPr>
          <w:rFonts w:hint="eastAsia"/>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4197"/>
    <w:rsid w:val="0052221C"/>
    <w:rsid w:val="006764BA"/>
    <w:rsid w:val="00697FC3"/>
    <w:rsid w:val="00901FB1"/>
    <w:rsid w:val="00C11855"/>
    <w:rsid w:val="01056385"/>
    <w:rsid w:val="014F3B92"/>
    <w:rsid w:val="0152242D"/>
    <w:rsid w:val="01647B7E"/>
    <w:rsid w:val="017B05B5"/>
    <w:rsid w:val="01977FEF"/>
    <w:rsid w:val="0202356D"/>
    <w:rsid w:val="02450328"/>
    <w:rsid w:val="026A4625"/>
    <w:rsid w:val="026C250E"/>
    <w:rsid w:val="02840E6B"/>
    <w:rsid w:val="02873DC1"/>
    <w:rsid w:val="0293307A"/>
    <w:rsid w:val="029B43B0"/>
    <w:rsid w:val="029F1E5F"/>
    <w:rsid w:val="03217E12"/>
    <w:rsid w:val="033B014F"/>
    <w:rsid w:val="03D77D11"/>
    <w:rsid w:val="03DA5A87"/>
    <w:rsid w:val="04220426"/>
    <w:rsid w:val="044D03F6"/>
    <w:rsid w:val="04525AAA"/>
    <w:rsid w:val="04A641E4"/>
    <w:rsid w:val="04AF28FE"/>
    <w:rsid w:val="04CE0549"/>
    <w:rsid w:val="05016A5F"/>
    <w:rsid w:val="051801EF"/>
    <w:rsid w:val="05224B2F"/>
    <w:rsid w:val="05367AD1"/>
    <w:rsid w:val="0563041F"/>
    <w:rsid w:val="057E173A"/>
    <w:rsid w:val="058E3BE7"/>
    <w:rsid w:val="059F2277"/>
    <w:rsid w:val="05D61E65"/>
    <w:rsid w:val="05DB0C89"/>
    <w:rsid w:val="05F42636"/>
    <w:rsid w:val="06253556"/>
    <w:rsid w:val="062D1854"/>
    <w:rsid w:val="062F1F01"/>
    <w:rsid w:val="066107E1"/>
    <w:rsid w:val="066C601E"/>
    <w:rsid w:val="067A6AFF"/>
    <w:rsid w:val="06B03E2C"/>
    <w:rsid w:val="06C47C16"/>
    <w:rsid w:val="06D30ADE"/>
    <w:rsid w:val="070A6F35"/>
    <w:rsid w:val="075B55B8"/>
    <w:rsid w:val="078270AF"/>
    <w:rsid w:val="07DB23C7"/>
    <w:rsid w:val="082D6981"/>
    <w:rsid w:val="084322AE"/>
    <w:rsid w:val="08447F53"/>
    <w:rsid w:val="084721DB"/>
    <w:rsid w:val="084C0D07"/>
    <w:rsid w:val="084F6707"/>
    <w:rsid w:val="085E77E3"/>
    <w:rsid w:val="0912413A"/>
    <w:rsid w:val="092B4110"/>
    <w:rsid w:val="092D0512"/>
    <w:rsid w:val="092F2F78"/>
    <w:rsid w:val="093670EF"/>
    <w:rsid w:val="093B7917"/>
    <w:rsid w:val="094F49CA"/>
    <w:rsid w:val="09740E46"/>
    <w:rsid w:val="097A36CE"/>
    <w:rsid w:val="098C590A"/>
    <w:rsid w:val="09C162DD"/>
    <w:rsid w:val="09C3792A"/>
    <w:rsid w:val="09D47958"/>
    <w:rsid w:val="0A2C5CA0"/>
    <w:rsid w:val="0A400DBB"/>
    <w:rsid w:val="0A5C746A"/>
    <w:rsid w:val="0A647BE1"/>
    <w:rsid w:val="0A895E24"/>
    <w:rsid w:val="0A8F079E"/>
    <w:rsid w:val="0ACC444A"/>
    <w:rsid w:val="0AD31BA2"/>
    <w:rsid w:val="0B034842"/>
    <w:rsid w:val="0B0E0B30"/>
    <w:rsid w:val="0B264614"/>
    <w:rsid w:val="0B543CA0"/>
    <w:rsid w:val="0B5F4434"/>
    <w:rsid w:val="0BA85F8D"/>
    <w:rsid w:val="0BF86B96"/>
    <w:rsid w:val="0C1A48EA"/>
    <w:rsid w:val="0C212C19"/>
    <w:rsid w:val="0C2D340E"/>
    <w:rsid w:val="0C3F4D9B"/>
    <w:rsid w:val="0C6E045E"/>
    <w:rsid w:val="0C880409"/>
    <w:rsid w:val="0CAA6A0A"/>
    <w:rsid w:val="0CB44896"/>
    <w:rsid w:val="0CD013FA"/>
    <w:rsid w:val="0CE272BE"/>
    <w:rsid w:val="0D2627E2"/>
    <w:rsid w:val="0D275AA8"/>
    <w:rsid w:val="0D441CB0"/>
    <w:rsid w:val="0D4C6DF5"/>
    <w:rsid w:val="0D5669F9"/>
    <w:rsid w:val="0D5A65C9"/>
    <w:rsid w:val="0D5E2687"/>
    <w:rsid w:val="0D7E4FD5"/>
    <w:rsid w:val="0DBA54E4"/>
    <w:rsid w:val="0DE62585"/>
    <w:rsid w:val="0E0A098D"/>
    <w:rsid w:val="0E43440D"/>
    <w:rsid w:val="0E6924DC"/>
    <w:rsid w:val="0E921C32"/>
    <w:rsid w:val="0EA12E00"/>
    <w:rsid w:val="0EC71C3E"/>
    <w:rsid w:val="0EDE708A"/>
    <w:rsid w:val="0F305A06"/>
    <w:rsid w:val="0F5A3C27"/>
    <w:rsid w:val="0F905F80"/>
    <w:rsid w:val="0F9718D9"/>
    <w:rsid w:val="0FE75D85"/>
    <w:rsid w:val="0FEC709E"/>
    <w:rsid w:val="100B14A3"/>
    <w:rsid w:val="10214A7C"/>
    <w:rsid w:val="10295D8E"/>
    <w:rsid w:val="10603BF4"/>
    <w:rsid w:val="106415C5"/>
    <w:rsid w:val="10766EF7"/>
    <w:rsid w:val="10771EFF"/>
    <w:rsid w:val="107A0C96"/>
    <w:rsid w:val="108E1355"/>
    <w:rsid w:val="10F71086"/>
    <w:rsid w:val="10FF109F"/>
    <w:rsid w:val="110D2812"/>
    <w:rsid w:val="110F72C1"/>
    <w:rsid w:val="114C1096"/>
    <w:rsid w:val="115724B6"/>
    <w:rsid w:val="117F785F"/>
    <w:rsid w:val="119F149D"/>
    <w:rsid w:val="11A17BC3"/>
    <w:rsid w:val="11D86036"/>
    <w:rsid w:val="122020CC"/>
    <w:rsid w:val="1231010E"/>
    <w:rsid w:val="125C533A"/>
    <w:rsid w:val="12703CF2"/>
    <w:rsid w:val="129313C9"/>
    <w:rsid w:val="129F0628"/>
    <w:rsid w:val="12A42AB2"/>
    <w:rsid w:val="12A764BE"/>
    <w:rsid w:val="12F2076C"/>
    <w:rsid w:val="13155065"/>
    <w:rsid w:val="13264D6F"/>
    <w:rsid w:val="13430B4B"/>
    <w:rsid w:val="136F1A34"/>
    <w:rsid w:val="137E241C"/>
    <w:rsid w:val="138B4200"/>
    <w:rsid w:val="13CA5C4D"/>
    <w:rsid w:val="13D552EC"/>
    <w:rsid w:val="13EE15FA"/>
    <w:rsid w:val="14244DD5"/>
    <w:rsid w:val="14AA0805"/>
    <w:rsid w:val="14B72178"/>
    <w:rsid w:val="14C0137C"/>
    <w:rsid w:val="14EA5225"/>
    <w:rsid w:val="15120F09"/>
    <w:rsid w:val="15270E26"/>
    <w:rsid w:val="15325154"/>
    <w:rsid w:val="157113EA"/>
    <w:rsid w:val="157C53E9"/>
    <w:rsid w:val="157F1CD1"/>
    <w:rsid w:val="15993577"/>
    <w:rsid w:val="159F78B9"/>
    <w:rsid w:val="15A0313A"/>
    <w:rsid w:val="15F10798"/>
    <w:rsid w:val="15F51D1C"/>
    <w:rsid w:val="160659D5"/>
    <w:rsid w:val="163E0050"/>
    <w:rsid w:val="1640732D"/>
    <w:rsid w:val="16430633"/>
    <w:rsid w:val="167B04FF"/>
    <w:rsid w:val="16BF0588"/>
    <w:rsid w:val="16C64BFD"/>
    <w:rsid w:val="16D84322"/>
    <w:rsid w:val="17007DC5"/>
    <w:rsid w:val="17026F67"/>
    <w:rsid w:val="17186B97"/>
    <w:rsid w:val="171F7A92"/>
    <w:rsid w:val="174E190C"/>
    <w:rsid w:val="17816124"/>
    <w:rsid w:val="17821E79"/>
    <w:rsid w:val="179842AB"/>
    <w:rsid w:val="17C32C1C"/>
    <w:rsid w:val="17C42329"/>
    <w:rsid w:val="1824019C"/>
    <w:rsid w:val="1879447F"/>
    <w:rsid w:val="1889738D"/>
    <w:rsid w:val="18A422C2"/>
    <w:rsid w:val="18AB7038"/>
    <w:rsid w:val="18B51EC3"/>
    <w:rsid w:val="18E27BAA"/>
    <w:rsid w:val="18FE0B3F"/>
    <w:rsid w:val="191E07B4"/>
    <w:rsid w:val="192073CC"/>
    <w:rsid w:val="192478B7"/>
    <w:rsid w:val="192D31EB"/>
    <w:rsid w:val="19552F51"/>
    <w:rsid w:val="19B47DD1"/>
    <w:rsid w:val="19DC4D71"/>
    <w:rsid w:val="1A6B657D"/>
    <w:rsid w:val="1A815BD3"/>
    <w:rsid w:val="1A8B02F0"/>
    <w:rsid w:val="1ABA7984"/>
    <w:rsid w:val="1ACB3375"/>
    <w:rsid w:val="1AD9601A"/>
    <w:rsid w:val="1B4367F4"/>
    <w:rsid w:val="1B5C2C5D"/>
    <w:rsid w:val="1B747074"/>
    <w:rsid w:val="1B9149EE"/>
    <w:rsid w:val="1B944CB1"/>
    <w:rsid w:val="1B9E6861"/>
    <w:rsid w:val="1BD2095A"/>
    <w:rsid w:val="1BDB4AD2"/>
    <w:rsid w:val="1BDD3CBF"/>
    <w:rsid w:val="1C036B4B"/>
    <w:rsid w:val="1C0C4EF8"/>
    <w:rsid w:val="1C104715"/>
    <w:rsid w:val="1C47333D"/>
    <w:rsid w:val="1C504041"/>
    <w:rsid w:val="1CA519D5"/>
    <w:rsid w:val="1CB0205B"/>
    <w:rsid w:val="1D0D6955"/>
    <w:rsid w:val="1D1046F8"/>
    <w:rsid w:val="1D2B026D"/>
    <w:rsid w:val="1D3578F8"/>
    <w:rsid w:val="1D5F1195"/>
    <w:rsid w:val="1D7C27F7"/>
    <w:rsid w:val="1D88197B"/>
    <w:rsid w:val="1D9C1A16"/>
    <w:rsid w:val="1D9F5997"/>
    <w:rsid w:val="1DBF12C0"/>
    <w:rsid w:val="1DD60858"/>
    <w:rsid w:val="1DE368CE"/>
    <w:rsid w:val="1DFE763D"/>
    <w:rsid w:val="1E066BFD"/>
    <w:rsid w:val="1E716A79"/>
    <w:rsid w:val="1EAC0280"/>
    <w:rsid w:val="1EC44101"/>
    <w:rsid w:val="1EF13AE1"/>
    <w:rsid w:val="1F0E46A0"/>
    <w:rsid w:val="1F280B33"/>
    <w:rsid w:val="1F5E07AC"/>
    <w:rsid w:val="1F6B3A55"/>
    <w:rsid w:val="1FD239CE"/>
    <w:rsid w:val="1FFB7524"/>
    <w:rsid w:val="2017413E"/>
    <w:rsid w:val="202F2459"/>
    <w:rsid w:val="203568E0"/>
    <w:rsid w:val="2094409D"/>
    <w:rsid w:val="20BF12E3"/>
    <w:rsid w:val="210B33AA"/>
    <w:rsid w:val="211018D5"/>
    <w:rsid w:val="211853CD"/>
    <w:rsid w:val="212267F3"/>
    <w:rsid w:val="21580063"/>
    <w:rsid w:val="215C5CA2"/>
    <w:rsid w:val="21710A68"/>
    <w:rsid w:val="2184486A"/>
    <w:rsid w:val="21980957"/>
    <w:rsid w:val="219D3E29"/>
    <w:rsid w:val="21BA4D5A"/>
    <w:rsid w:val="21C61DDE"/>
    <w:rsid w:val="21C7795A"/>
    <w:rsid w:val="21F9403C"/>
    <w:rsid w:val="220130C8"/>
    <w:rsid w:val="221F3F25"/>
    <w:rsid w:val="22333AA1"/>
    <w:rsid w:val="22BD2E76"/>
    <w:rsid w:val="22C9023E"/>
    <w:rsid w:val="22D05A47"/>
    <w:rsid w:val="22D26EAF"/>
    <w:rsid w:val="22EB6D0C"/>
    <w:rsid w:val="23020B57"/>
    <w:rsid w:val="2348188E"/>
    <w:rsid w:val="2369588F"/>
    <w:rsid w:val="23887625"/>
    <w:rsid w:val="23930482"/>
    <w:rsid w:val="23C920C1"/>
    <w:rsid w:val="23D55828"/>
    <w:rsid w:val="24134497"/>
    <w:rsid w:val="241C417A"/>
    <w:rsid w:val="24680AE8"/>
    <w:rsid w:val="2491482B"/>
    <w:rsid w:val="249433B6"/>
    <w:rsid w:val="24944D34"/>
    <w:rsid w:val="24967AC6"/>
    <w:rsid w:val="24D421CB"/>
    <w:rsid w:val="24D4787D"/>
    <w:rsid w:val="24DE5BF2"/>
    <w:rsid w:val="24EE5C15"/>
    <w:rsid w:val="24F66AC0"/>
    <w:rsid w:val="250235F1"/>
    <w:rsid w:val="25590CC6"/>
    <w:rsid w:val="257229A7"/>
    <w:rsid w:val="259C0B3C"/>
    <w:rsid w:val="25A0482C"/>
    <w:rsid w:val="25B0357A"/>
    <w:rsid w:val="25B14002"/>
    <w:rsid w:val="25BC6888"/>
    <w:rsid w:val="25C1260B"/>
    <w:rsid w:val="25E41222"/>
    <w:rsid w:val="25FA399D"/>
    <w:rsid w:val="260F4A69"/>
    <w:rsid w:val="2654390B"/>
    <w:rsid w:val="26745E1B"/>
    <w:rsid w:val="267C0312"/>
    <w:rsid w:val="269B26E9"/>
    <w:rsid w:val="26D85EDD"/>
    <w:rsid w:val="271E441C"/>
    <w:rsid w:val="2721255F"/>
    <w:rsid w:val="275C3451"/>
    <w:rsid w:val="27706349"/>
    <w:rsid w:val="277978A5"/>
    <w:rsid w:val="27C73D38"/>
    <w:rsid w:val="27D6481D"/>
    <w:rsid w:val="27E60AEC"/>
    <w:rsid w:val="27E92A96"/>
    <w:rsid w:val="28022CC6"/>
    <w:rsid w:val="281A5848"/>
    <w:rsid w:val="28411F49"/>
    <w:rsid w:val="284E2E6C"/>
    <w:rsid w:val="28DA7E14"/>
    <w:rsid w:val="28DC7F94"/>
    <w:rsid w:val="28E20191"/>
    <w:rsid w:val="29032593"/>
    <w:rsid w:val="291B5B6D"/>
    <w:rsid w:val="29283595"/>
    <w:rsid w:val="29384755"/>
    <w:rsid w:val="29474E9E"/>
    <w:rsid w:val="29901482"/>
    <w:rsid w:val="29F35878"/>
    <w:rsid w:val="2A0744E4"/>
    <w:rsid w:val="2A220264"/>
    <w:rsid w:val="2A285457"/>
    <w:rsid w:val="2A665B39"/>
    <w:rsid w:val="2A7B42A5"/>
    <w:rsid w:val="2A802D8A"/>
    <w:rsid w:val="2AAF3433"/>
    <w:rsid w:val="2AD01279"/>
    <w:rsid w:val="2B021229"/>
    <w:rsid w:val="2B151C54"/>
    <w:rsid w:val="2B3137EA"/>
    <w:rsid w:val="2B3570BB"/>
    <w:rsid w:val="2B613F8A"/>
    <w:rsid w:val="2B715FF9"/>
    <w:rsid w:val="2B7C2469"/>
    <w:rsid w:val="2B8667B4"/>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5E3ABF"/>
    <w:rsid w:val="2D9E4763"/>
    <w:rsid w:val="2DA45761"/>
    <w:rsid w:val="2DE16921"/>
    <w:rsid w:val="2E251C9D"/>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A36A2"/>
    <w:rsid w:val="2F6C637F"/>
    <w:rsid w:val="2F6E3251"/>
    <w:rsid w:val="2FB8673A"/>
    <w:rsid w:val="2FC1718F"/>
    <w:rsid w:val="2FD53C66"/>
    <w:rsid w:val="2FD57AE6"/>
    <w:rsid w:val="2FE32137"/>
    <w:rsid w:val="300D1A47"/>
    <w:rsid w:val="302A76D8"/>
    <w:rsid w:val="30325457"/>
    <w:rsid w:val="307642F8"/>
    <w:rsid w:val="307C2FD5"/>
    <w:rsid w:val="308927E7"/>
    <w:rsid w:val="30D22C4D"/>
    <w:rsid w:val="30D824CE"/>
    <w:rsid w:val="30E8604C"/>
    <w:rsid w:val="313919B9"/>
    <w:rsid w:val="31832045"/>
    <w:rsid w:val="318A56D9"/>
    <w:rsid w:val="31980BDD"/>
    <w:rsid w:val="31BC324A"/>
    <w:rsid w:val="31DD1A19"/>
    <w:rsid w:val="31E32CEF"/>
    <w:rsid w:val="322319DA"/>
    <w:rsid w:val="322E6F2F"/>
    <w:rsid w:val="32473ADF"/>
    <w:rsid w:val="32A068E9"/>
    <w:rsid w:val="32A23292"/>
    <w:rsid w:val="32CB7E65"/>
    <w:rsid w:val="32DC06BB"/>
    <w:rsid w:val="330B75BD"/>
    <w:rsid w:val="33524A45"/>
    <w:rsid w:val="33696B21"/>
    <w:rsid w:val="33AF76FE"/>
    <w:rsid w:val="34132FF2"/>
    <w:rsid w:val="3471300F"/>
    <w:rsid w:val="34B775B2"/>
    <w:rsid w:val="34E038B6"/>
    <w:rsid w:val="34F01269"/>
    <w:rsid w:val="351241C6"/>
    <w:rsid w:val="351F02B8"/>
    <w:rsid w:val="35480EDF"/>
    <w:rsid w:val="35686F69"/>
    <w:rsid w:val="35687EBB"/>
    <w:rsid w:val="35784769"/>
    <w:rsid w:val="35860DD5"/>
    <w:rsid w:val="358D7A7B"/>
    <w:rsid w:val="35923A51"/>
    <w:rsid w:val="359A3107"/>
    <w:rsid w:val="3611115D"/>
    <w:rsid w:val="361D0887"/>
    <w:rsid w:val="36824A32"/>
    <w:rsid w:val="36974B8F"/>
    <w:rsid w:val="369B37BE"/>
    <w:rsid w:val="36B409CC"/>
    <w:rsid w:val="36CC20D7"/>
    <w:rsid w:val="36DC2A3B"/>
    <w:rsid w:val="36DF2AB3"/>
    <w:rsid w:val="36E07DEB"/>
    <w:rsid w:val="36EA511D"/>
    <w:rsid w:val="36F44D99"/>
    <w:rsid w:val="36F70883"/>
    <w:rsid w:val="371C5979"/>
    <w:rsid w:val="37370121"/>
    <w:rsid w:val="373B4262"/>
    <w:rsid w:val="37866BA0"/>
    <w:rsid w:val="37D65746"/>
    <w:rsid w:val="37ED3EEE"/>
    <w:rsid w:val="382E3032"/>
    <w:rsid w:val="38574525"/>
    <w:rsid w:val="38650B7B"/>
    <w:rsid w:val="386C42FF"/>
    <w:rsid w:val="387306D3"/>
    <w:rsid w:val="38753B9D"/>
    <w:rsid w:val="389A2C3B"/>
    <w:rsid w:val="38A356B6"/>
    <w:rsid w:val="38B6134F"/>
    <w:rsid w:val="38B77B89"/>
    <w:rsid w:val="38B94A25"/>
    <w:rsid w:val="38E4492B"/>
    <w:rsid w:val="38EE644D"/>
    <w:rsid w:val="38F335E0"/>
    <w:rsid w:val="38FC6572"/>
    <w:rsid w:val="38FE3638"/>
    <w:rsid w:val="391A03B8"/>
    <w:rsid w:val="39291FA1"/>
    <w:rsid w:val="39587AC5"/>
    <w:rsid w:val="395E7235"/>
    <w:rsid w:val="396F6F4F"/>
    <w:rsid w:val="39710EB7"/>
    <w:rsid w:val="39884BFF"/>
    <w:rsid w:val="39C67D0A"/>
    <w:rsid w:val="39D049E4"/>
    <w:rsid w:val="39DD1FC0"/>
    <w:rsid w:val="39E278CB"/>
    <w:rsid w:val="3A0F0B48"/>
    <w:rsid w:val="3A224586"/>
    <w:rsid w:val="3A2B5335"/>
    <w:rsid w:val="3A31153A"/>
    <w:rsid w:val="3A3274F4"/>
    <w:rsid w:val="3A336219"/>
    <w:rsid w:val="3A4F3E22"/>
    <w:rsid w:val="3A6C1A5E"/>
    <w:rsid w:val="3A6C47E6"/>
    <w:rsid w:val="3A7B4085"/>
    <w:rsid w:val="3A8527BD"/>
    <w:rsid w:val="3AA54A51"/>
    <w:rsid w:val="3AF87CF3"/>
    <w:rsid w:val="3B4A3954"/>
    <w:rsid w:val="3B5318A0"/>
    <w:rsid w:val="3B6B5381"/>
    <w:rsid w:val="3B9004B9"/>
    <w:rsid w:val="3B9E1812"/>
    <w:rsid w:val="3BAF248D"/>
    <w:rsid w:val="3BAF3FE1"/>
    <w:rsid w:val="3BB57FF7"/>
    <w:rsid w:val="3BF40B5B"/>
    <w:rsid w:val="3BF674FE"/>
    <w:rsid w:val="3C2F0DC1"/>
    <w:rsid w:val="3C411F3D"/>
    <w:rsid w:val="3C461A3C"/>
    <w:rsid w:val="3C54676F"/>
    <w:rsid w:val="3C611C77"/>
    <w:rsid w:val="3C8015C6"/>
    <w:rsid w:val="3C9F1451"/>
    <w:rsid w:val="3CA5557B"/>
    <w:rsid w:val="3CAC1A05"/>
    <w:rsid w:val="3CBF2113"/>
    <w:rsid w:val="3CC5059F"/>
    <w:rsid w:val="3CCC0811"/>
    <w:rsid w:val="3CE109FF"/>
    <w:rsid w:val="3CF6320B"/>
    <w:rsid w:val="3D4D2885"/>
    <w:rsid w:val="3D501F86"/>
    <w:rsid w:val="3D6C7970"/>
    <w:rsid w:val="3D8524B9"/>
    <w:rsid w:val="3DCC6E48"/>
    <w:rsid w:val="3E341AE6"/>
    <w:rsid w:val="3E51379D"/>
    <w:rsid w:val="3E721BE4"/>
    <w:rsid w:val="3EBD4C84"/>
    <w:rsid w:val="3EBD5746"/>
    <w:rsid w:val="3EC40A9D"/>
    <w:rsid w:val="3ECD0A86"/>
    <w:rsid w:val="3F126C25"/>
    <w:rsid w:val="3F2E1884"/>
    <w:rsid w:val="3F406847"/>
    <w:rsid w:val="3F486D14"/>
    <w:rsid w:val="3F8B38F8"/>
    <w:rsid w:val="3FB60A8F"/>
    <w:rsid w:val="3FD50823"/>
    <w:rsid w:val="3FE57A37"/>
    <w:rsid w:val="3FE6620E"/>
    <w:rsid w:val="40190984"/>
    <w:rsid w:val="402D5AAC"/>
    <w:rsid w:val="40923A38"/>
    <w:rsid w:val="409F62B0"/>
    <w:rsid w:val="40BF28FF"/>
    <w:rsid w:val="41161BA3"/>
    <w:rsid w:val="41251ED8"/>
    <w:rsid w:val="414D1A11"/>
    <w:rsid w:val="41541E79"/>
    <w:rsid w:val="415E5EAB"/>
    <w:rsid w:val="417437BF"/>
    <w:rsid w:val="41C6087A"/>
    <w:rsid w:val="41E106C4"/>
    <w:rsid w:val="42464C1F"/>
    <w:rsid w:val="42647007"/>
    <w:rsid w:val="42927BEF"/>
    <w:rsid w:val="42A261A9"/>
    <w:rsid w:val="430272B9"/>
    <w:rsid w:val="433567C5"/>
    <w:rsid w:val="43437508"/>
    <w:rsid w:val="4369441A"/>
    <w:rsid w:val="43A728DB"/>
    <w:rsid w:val="43B64B82"/>
    <w:rsid w:val="43CC220E"/>
    <w:rsid w:val="43EC4DB0"/>
    <w:rsid w:val="43F35274"/>
    <w:rsid w:val="43FD6BD7"/>
    <w:rsid w:val="44133473"/>
    <w:rsid w:val="444A0646"/>
    <w:rsid w:val="445143F6"/>
    <w:rsid w:val="44515A1D"/>
    <w:rsid w:val="44AF6F90"/>
    <w:rsid w:val="44D4142E"/>
    <w:rsid w:val="44D54043"/>
    <w:rsid w:val="452A40ED"/>
    <w:rsid w:val="454A7BD2"/>
    <w:rsid w:val="459A5AE0"/>
    <w:rsid w:val="45A71986"/>
    <w:rsid w:val="45B2417A"/>
    <w:rsid w:val="45D05C04"/>
    <w:rsid w:val="46792153"/>
    <w:rsid w:val="467A3876"/>
    <w:rsid w:val="473174AB"/>
    <w:rsid w:val="475F2ECF"/>
    <w:rsid w:val="477C7EA2"/>
    <w:rsid w:val="479902B6"/>
    <w:rsid w:val="47DA073E"/>
    <w:rsid w:val="47E41BE3"/>
    <w:rsid w:val="47F628FA"/>
    <w:rsid w:val="48014BE7"/>
    <w:rsid w:val="48651EF8"/>
    <w:rsid w:val="486561CC"/>
    <w:rsid w:val="487333F6"/>
    <w:rsid w:val="48774DFE"/>
    <w:rsid w:val="489A1C79"/>
    <w:rsid w:val="48B03E9F"/>
    <w:rsid w:val="48E00AC5"/>
    <w:rsid w:val="48F55B45"/>
    <w:rsid w:val="4918362D"/>
    <w:rsid w:val="49183BBE"/>
    <w:rsid w:val="491A4ED9"/>
    <w:rsid w:val="49252B13"/>
    <w:rsid w:val="494708E3"/>
    <w:rsid w:val="497C0AAC"/>
    <w:rsid w:val="498216FD"/>
    <w:rsid w:val="49B84D2C"/>
    <w:rsid w:val="4A0715DF"/>
    <w:rsid w:val="4A192CFD"/>
    <w:rsid w:val="4A262F2E"/>
    <w:rsid w:val="4A306175"/>
    <w:rsid w:val="4A3F15B8"/>
    <w:rsid w:val="4A6B6D2C"/>
    <w:rsid w:val="4A8169BE"/>
    <w:rsid w:val="4A8A3E4B"/>
    <w:rsid w:val="4A9506F7"/>
    <w:rsid w:val="4AC07187"/>
    <w:rsid w:val="4B176EEC"/>
    <w:rsid w:val="4B2C56D0"/>
    <w:rsid w:val="4B2E2D9C"/>
    <w:rsid w:val="4B5D46DE"/>
    <w:rsid w:val="4B807F14"/>
    <w:rsid w:val="4B935B69"/>
    <w:rsid w:val="4BDE1EA4"/>
    <w:rsid w:val="4C272A15"/>
    <w:rsid w:val="4C2F1755"/>
    <w:rsid w:val="4C344AA1"/>
    <w:rsid w:val="4C3E1770"/>
    <w:rsid w:val="4C8E5216"/>
    <w:rsid w:val="4CDC002F"/>
    <w:rsid w:val="4CE65642"/>
    <w:rsid w:val="4CEF5956"/>
    <w:rsid w:val="4CFF366F"/>
    <w:rsid w:val="4D1917A8"/>
    <w:rsid w:val="4D1E230F"/>
    <w:rsid w:val="4D3A7C59"/>
    <w:rsid w:val="4D3B644C"/>
    <w:rsid w:val="4D3C2959"/>
    <w:rsid w:val="4DAF3144"/>
    <w:rsid w:val="4DBE19C2"/>
    <w:rsid w:val="4E001CC7"/>
    <w:rsid w:val="4E033A95"/>
    <w:rsid w:val="4E054997"/>
    <w:rsid w:val="4E545DE4"/>
    <w:rsid w:val="4EC02376"/>
    <w:rsid w:val="4EF86E1A"/>
    <w:rsid w:val="4F165B40"/>
    <w:rsid w:val="4F32218E"/>
    <w:rsid w:val="4F4D4A7F"/>
    <w:rsid w:val="4F4E26AD"/>
    <w:rsid w:val="4F6F2B2A"/>
    <w:rsid w:val="4F965F99"/>
    <w:rsid w:val="4FA51FC1"/>
    <w:rsid w:val="4FBA02D7"/>
    <w:rsid w:val="4FBD302C"/>
    <w:rsid w:val="4FCE2834"/>
    <w:rsid w:val="4FEE729E"/>
    <w:rsid w:val="4FF25B13"/>
    <w:rsid w:val="50111B63"/>
    <w:rsid w:val="501D1529"/>
    <w:rsid w:val="505A1473"/>
    <w:rsid w:val="507F46AC"/>
    <w:rsid w:val="508F4E81"/>
    <w:rsid w:val="50C47A79"/>
    <w:rsid w:val="50F80D92"/>
    <w:rsid w:val="51064251"/>
    <w:rsid w:val="511D6223"/>
    <w:rsid w:val="51296F56"/>
    <w:rsid w:val="518A531D"/>
    <w:rsid w:val="519F60B2"/>
    <w:rsid w:val="51AE15D4"/>
    <w:rsid w:val="51B95E72"/>
    <w:rsid w:val="51DF03CE"/>
    <w:rsid w:val="51F7052E"/>
    <w:rsid w:val="52347744"/>
    <w:rsid w:val="52393C1D"/>
    <w:rsid w:val="52521A3D"/>
    <w:rsid w:val="52682107"/>
    <w:rsid w:val="52716292"/>
    <w:rsid w:val="527B5F26"/>
    <w:rsid w:val="529F4222"/>
    <w:rsid w:val="52A55CB3"/>
    <w:rsid w:val="52A91F2B"/>
    <w:rsid w:val="52B23FA9"/>
    <w:rsid w:val="52E45DE5"/>
    <w:rsid w:val="52FE26CC"/>
    <w:rsid w:val="53195672"/>
    <w:rsid w:val="532845D8"/>
    <w:rsid w:val="535457FD"/>
    <w:rsid w:val="536461D5"/>
    <w:rsid w:val="537940E2"/>
    <w:rsid w:val="538C0DB6"/>
    <w:rsid w:val="53D109CC"/>
    <w:rsid w:val="54026EF3"/>
    <w:rsid w:val="54120CE3"/>
    <w:rsid w:val="54224AEE"/>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D2683"/>
    <w:rsid w:val="55CE5218"/>
    <w:rsid w:val="55F02B37"/>
    <w:rsid w:val="55F52A95"/>
    <w:rsid w:val="563952B5"/>
    <w:rsid w:val="56AD2F65"/>
    <w:rsid w:val="56BE5DE9"/>
    <w:rsid w:val="56E04480"/>
    <w:rsid w:val="572E1DC4"/>
    <w:rsid w:val="57751DA1"/>
    <w:rsid w:val="57A976CF"/>
    <w:rsid w:val="57D44AE6"/>
    <w:rsid w:val="57D90E3A"/>
    <w:rsid w:val="58051E72"/>
    <w:rsid w:val="582A524A"/>
    <w:rsid w:val="58535237"/>
    <w:rsid w:val="586D2587"/>
    <w:rsid w:val="587D70BF"/>
    <w:rsid w:val="58845475"/>
    <w:rsid w:val="5889606F"/>
    <w:rsid w:val="589E3082"/>
    <w:rsid w:val="589E51D8"/>
    <w:rsid w:val="58B20FE9"/>
    <w:rsid w:val="58B26326"/>
    <w:rsid w:val="592E6E44"/>
    <w:rsid w:val="5931771A"/>
    <w:rsid w:val="59427279"/>
    <w:rsid w:val="59443F0F"/>
    <w:rsid w:val="594606B0"/>
    <w:rsid w:val="595A4F46"/>
    <w:rsid w:val="595B5C1B"/>
    <w:rsid w:val="595E5DBD"/>
    <w:rsid w:val="597804E9"/>
    <w:rsid w:val="59AA7631"/>
    <w:rsid w:val="59B355A8"/>
    <w:rsid w:val="59CC778D"/>
    <w:rsid w:val="59DC5C31"/>
    <w:rsid w:val="5A1C2B94"/>
    <w:rsid w:val="5A41796E"/>
    <w:rsid w:val="5A5E660A"/>
    <w:rsid w:val="5A6B2536"/>
    <w:rsid w:val="5A870F43"/>
    <w:rsid w:val="5A902353"/>
    <w:rsid w:val="5AC83137"/>
    <w:rsid w:val="5AED4CE2"/>
    <w:rsid w:val="5AFE4B41"/>
    <w:rsid w:val="5AFE6C9F"/>
    <w:rsid w:val="5AFF2C16"/>
    <w:rsid w:val="5B0A38CB"/>
    <w:rsid w:val="5B61273E"/>
    <w:rsid w:val="5B740E56"/>
    <w:rsid w:val="5B901EF3"/>
    <w:rsid w:val="5BD0210D"/>
    <w:rsid w:val="5C256739"/>
    <w:rsid w:val="5C2C016F"/>
    <w:rsid w:val="5C384E29"/>
    <w:rsid w:val="5C3B42D6"/>
    <w:rsid w:val="5C4B7D70"/>
    <w:rsid w:val="5C78176A"/>
    <w:rsid w:val="5C89301D"/>
    <w:rsid w:val="5C91003A"/>
    <w:rsid w:val="5C941E9A"/>
    <w:rsid w:val="5CD45A79"/>
    <w:rsid w:val="5CFD2BAF"/>
    <w:rsid w:val="5D372D3D"/>
    <w:rsid w:val="5D512F5D"/>
    <w:rsid w:val="5DA97C2A"/>
    <w:rsid w:val="5DDB5902"/>
    <w:rsid w:val="5DF904C3"/>
    <w:rsid w:val="5E0619EE"/>
    <w:rsid w:val="5E18530F"/>
    <w:rsid w:val="5E4F212A"/>
    <w:rsid w:val="5E5A6482"/>
    <w:rsid w:val="5E83792B"/>
    <w:rsid w:val="5EB22C18"/>
    <w:rsid w:val="5ECD13E0"/>
    <w:rsid w:val="5EDA5E4B"/>
    <w:rsid w:val="5EE24148"/>
    <w:rsid w:val="5EEF2C72"/>
    <w:rsid w:val="5EFB6652"/>
    <w:rsid w:val="5F113FE6"/>
    <w:rsid w:val="5F1F04B3"/>
    <w:rsid w:val="5F54205E"/>
    <w:rsid w:val="5F7F0FCC"/>
    <w:rsid w:val="5F864151"/>
    <w:rsid w:val="5FA16171"/>
    <w:rsid w:val="5FDC54B2"/>
    <w:rsid w:val="60290442"/>
    <w:rsid w:val="60396B20"/>
    <w:rsid w:val="60397D0D"/>
    <w:rsid w:val="603E4C08"/>
    <w:rsid w:val="607B0F50"/>
    <w:rsid w:val="60866833"/>
    <w:rsid w:val="60A564FB"/>
    <w:rsid w:val="60A772D5"/>
    <w:rsid w:val="6100428F"/>
    <w:rsid w:val="61325CA3"/>
    <w:rsid w:val="614B4800"/>
    <w:rsid w:val="61B2107A"/>
    <w:rsid w:val="61B31EEA"/>
    <w:rsid w:val="61B95D15"/>
    <w:rsid w:val="62144378"/>
    <w:rsid w:val="622B4947"/>
    <w:rsid w:val="623C29CA"/>
    <w:rsid w:val="62642FCC"/>
    <w:rsid w:val="629321D7"/>
    <w:rsid w:val="62972F0F"/>
    <w:rsid w:val="62994F30"/>
    <w:rsid w:val="62DA1607"/>
    <w:rsid w:val="630579C8"/>
    <w:rsid w:val="6309664E"/>
    <w:rsid w:val="63284643"/>
    <w:rsid w:val="632A0132"/>
    <w:rsid w:val="632B7E9C"/>
    <w:rsid w:val="633817A6"/>
    <w:rsid w:val="63520053"/>
    <w:rsid w:val="63524BC7"/>
    <w:rsid w:val="636433B8"/>
    <w:rsid w:val="6394008A"/>
    <w:rsid w:val="63A60C4C"/>
    <w:rsid w:val="63D27CE5"/>
    <w:rsid w:val="63DA744D"/>
    <w:rsid w:val="63E978AB"/>
    <w:rsid w:val="63F130FF"/>
    <w:rsid w:val="64022E8C"/>
    <w:rsid w:val="640E4306"/>
    <w:rsid w:val="64357186"/>
    <w:rsid w:val="64401FB1"/>
    <w:rsid w:val="644244C6"/>
    <w:rsid w:val="645455F2"/>
    <w:rsid w:val="647C41D5"/>
    <w:rsid w:val="649D4F05"/>
    <w:rsid w:val="64CA54C0"/>
    <w:rsid w:val="64E57549"/>
    <w:rsid w:val="64F41122"/>
    <w:rsid w:val="651057F3"/>
    <w:rsid w:val="651A6DCE"/>
    <w:rsid w:val="65466BDA"/>
    <w:rsid w:val="655E2FF8"/>
    <w:rsid w:val="65753AF2"/>
    <w:rsid w:val="657A5CEE"/>
    <w:rsid w:val="65BA7C51"/>
    <w:rsid w:val="65E21C88"/>
    <w:rsid w:val="661E0E6E"/>
    <w:rsid w:val="6643305A"/>
    <w:rsid w:val="664B0AEB"/>
    <w:rsid w:val="664E6051"/>
    <w:rsid w:val="66721D70"/>
    <w:rsid w:val="66817794"/>
    <w:rsid w:val="670D0ADC"/>
    <w:rsid w:val="672A14EE"/>
    <w:rsid w:val="672A527A"/>
    <w:rsid w:val="674468F2"/>
    <w:rsid w:val="67525CE9"/>
    <w:rsid w:val="67600DEC"/>
    <w:rsid w:val="67694B6F"/>
    <w:rsid w:val="67D46CBE"/>
    <w:rsid w:val="67FB6AF8"/>
    <w:rsid w:val="68273E23"/>
    <w:rsid w:val="686C1BB7"/>
    <w:rsid w:val="68717FC0"/>
    <w:rsid w:val="688F28C6"/>
    <w:rsid w:val="689204D6"/>
    <w:rsid w:val="68931A71"/>
    <w:rsid w:val="690C73C1"/>
    <w:rsid w:val="690E470A"/>
    <w:rsid w:val="69455631"/>
    <w:rsid w:val="69511D7C"/>
    <w:rsid w:val="69667239"/>
    <w:rsid w:val="69AF334E"/>
    <w:rsid w:val="69B20BA4"/>
    <w:rsid w:val="69B338D7"/>
    <w:rsid w:val="69E61A81"/>
    <w:rsid w:val="6A0B4A62"/>
    <w:rsid w:val="6A272C44"/>
    <w:rsid w:val="6A4A53D9"/>
    <w:rsid w:val="6A4C1F16"/>
    <w:rsid w:val="6A584D82"/>
    <w:rsid w:val="6AC53309"/>
    <w:rsid w:val="6B1D7C10"/>
    <w:rsid w:val="6B5B4C25"/>
    <w:rsid w:val="6B82310F"/>
    <w:rsid w:val="6B9955C4"/>
    <w:rsid w:val="6BA94B6C"/>
    <w:rsid w:val="6BBE23AC"/>
    <w:rsid w:val="6BC9393A"/>
    <w:rsid w:val="6BC965DC"/>
    <w:rsid w:val="6BD05FE0"/>
    <w:rsid w:val="6C15278F"/>
    <w:rsid w:val="6C192C77"/>
    <w:rsid w:val="6C247FF2"/>
    <w:rsid w:val="6C680B1C"/>
    <w:rsid w:val="6C6830AB"/>
    <w:rsid w:val="6CA35071"/>
    <w:rsid w:val="6CAA2244"/>
    <w:rsid w:val="6D176C50"/>
    <w:rsid w:val="6D635ECF"/>
    <w:rsid w:val="6D6B1A32"/>
    <w:rsid w:val="6D830976"/>
    <w:rsid w:val="6D8D1556"/>
    <w:rsid w:val="6D9C47D4"/>
    <w:rsid w:val="6DA878E5"/>
    <w:rsid w:val="6DB3004E"/>
    <w:rsid w:val="6DC64084"/>
    <w:rsid w:val="6DDA18E4"/>
    <w:rsid w:val="6DE31FA4"/>
    <w:rsid w:val="6DEF27A5"/>
    <w:rsid w:val="6DF1004A"/>
    <w:rsid w:val="6DF76419"/>
    <w:rsid w:val="6E2E21AD"/>
    <w:rsid w:val="6E5B527C"/>
    <w:rsid w:val="6E865950"/>
    <w:rsid w:val="6E8B12C4"/>
    <w:rsid w:val="6E921DF4"/>
    <w:rsid w:val="6F257E2B"/>
    <w:rsid w:val="6F74384E"/>
    <w:rsid w:val="6F7A1086"/>
    <w:rsid w:val="6F7D30C6"/>
    <w:rsid w:val="6F855C15"/>
    <w:rsid w:val="6FCD6A80"/>
    <w:rsid w:val="6FDF228C"/>
    <w:rsid w:val="701048BF"/>
    <w:rsid w:val="702A6418"/>
    <w:rsid w:val="70404FC8"/>
    <w:rsid w:val="70644806"/>
    <w:rsid w:val="70A44053"/>
    <w:rsid w:val="70B23DA1"/>
    <w:rsid w:val="70D42F6E"/>
    <w:rsid w:val="710B2E1E"/>
    <w:rsid w:val="713B6F9B"/>
    <w:rsid w:val="7198751A"/>
    <w:rsid w:val="71A51555"/>
    <w:rsid w:val="71C56B06"/>
    <w:rsid w:val="71E276CC"/>
    <w:rsid w:val="7209211A"/>
    <w:rsid w:val="729E0354"/>
    <w:rsid w:val="72AA2B05"/>
    <w:rsid w:val="72C546A9"/>
    <w:rsid w:val="72F05E81"/>
    <w:rsid w:val="72FE1849"/>
    <w:rsid w:val="73150265"/>
    <w:rsid w:val="731B7C39"/>
    <w:rsid w:val="733D0A3C"/>
    <w:rsid w:val="734961CD"/>
    <w:rsid w:val="73902F8B"/>
    <w:rsid w:val="73CF37E0"/>
    <w:rsid w:val="73E867D3"/>
    <w:rsid w:val="73F02CE7"/>
    <w:rsid w:val="73F21569"/>
    <w:rsid w:val="74281E02"/>
    <w:rsid w:val="7453209B"/>
    <w:rsid w:val="746D6EA6"/>
    <w:rsid w:val="74741EC6"/>
    <w:rsid w:val="74794AD2"/>
    <w:rsid w:val="74BE0F07"/>
    <w:rsid w:val="74C9150D"/>
    <w:rsid w:val="74D11297"/>
    <w:rsid w:val="74F77888"/>
    <w:rsid w:val="7503560E"/>
    <w:rsid w:val="755B23F0"/>
    <w:rsid w:val="756441E0"/>
    <w:rsid w:val="759D43E0"/>
    <w:rsid w:val="75A738BE"/>
    <w:rsid w:val="75D13ED7"/>
    <w:rsid w:val="75E354AB"/>
    <w:rsid w:val="75FD0190"/>
    <w:rsid w:val="76001D27"/>
    <w:rsid w:val="76270C98"/>
    <w:rsid w:val="762E07D6"/>
    <w:rsid w:val="7659795A"/>
    <w:rsid w:val="76635F77"/>
    <w:rsid w:val="76912DA9"/>
    <w:rsid w:val="76BE2084"/>
    <w:rsid w:val="76C67A20"/>
    <w:rsid w:val="76FA32E0"/>
    <w:rsid w:val="777A7C3A"/>
    <w:rsid w:val="77B40DE8"/>
    <w:rsid w:val="77D2431F"/>
    <w:rsid w:val="78295A57"/>
    <w:rsid w:val="782E504C"/>
    <w:rsid w:val="786C031B"/>
    <w:rsid w:val="787108B6"/>
    <w:rsid w:val="787B4D40"/>
    <w:rsid w:val="78B80928"/>
    <w:rsid w:val="78C339EC"/>
    <w:rsid w:val="78CD3E56"/>
    <w:rsid w:val="78D939E3"/>
    <w:rsid w:val="78EB6EB1"/>
    <w:rsid w:val="791B599B"/>
    <w:rsid w:val="79374CE7"/>
    <w:rsid w:val="794319BF"/>
    <w:rsid w:val="7955353C"/>
    <w:rsid w:val="799035A9"/>
    <w:rsid w:val="79A53B2D"/>
    <w:rsid w:val="79B81A90"/>
    <w:rsid w:val="79E6546C"/>
    <w:rsid w:val="79F8170D"/>
    <w:rsid w:val="79FD14B8"/>
    <w:rsid w:val="7A096A08"/>
    <w:rsid w:val="7A2A11C4"/>
    <w:rsid w:val="7A2B2F1C"/>
    <w:rsid w:val="7A3A0843"/>
    <w:rsid w:val="7A3E6A0A"/>
    <w:rsid w:val="7A4447A6"/>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91F8C"/>
    <w:rsid w:val="7CAE0131"/>
    <w:rsid w:val="7CB876F9"/>
    <w:rsid w:val="7D2D607C"/>
    <w:rsid w:val="7D4164FE"/>
    <w:rsid w:val="7D576356"/>
    <w:rsid w:val="7D632F91"/>
    <w:rsid w:val="7D8E5DA9"/>
    <w:rsid w:val="7D980DF8"/>
    <w:rsid w:val="7D9C6FEC"/>
    <w:rsid w:val="7DCC6265"/>
    <w:rsid w:val="7DEC6415"/>
    <w:rsid w:val="7E3F6376"/>
    <w:rsid w:val="7E602E99"/>
    <w:rsid w:val="7E867A69"/>
    <w:rsid w:val="7E8E2BAE"/>
    <w:rsid w:val="7E900D73"/>
    <w:rsid w:val="7ED1289E"/>
    <w:rsid w:val="7EF40520"/>
    <w:rsid w:val="7EF77DD6"/>
    <w:rsid w:val="7F380987"/>
    <w:rsid w:val="7F3F1296"/>
    <w:rsid w:val="7F581501"/>
    <w:rsid w:val="7F805815"/>
    <w:rsid w:val="7F833067"/>
    <w:rsid w:val="7F8E2564"/>
    <w:rsid w:val="7F9A10F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2018-10-23T14:29:37Z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