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做T</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55.38</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57.08</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default" w:asciiTheme="minorEastAsia" w:hAnsiTheme="minorEastAsia" w:cstheme="minorEastAsia"/>
                <w:sz w:val="21"/>
                <w:szCs w:val="21"/>
                <w:lang w:val="en-US" w:eastAsia="zh-CN"/>
              </w:rPr>
              <w:t>1</w:t>
            </w:r>
            <w:r>
              <w:rPr>
                <w:rFonts w:hint="eastAsia" w:asciiTheme="minorEastAsia" w:hAnsiTheme="minorEastAsia" w:cstheme="minorEastAsia"/>
                <w:sz w:val="21"/>
                <w:szCs w:val="21"/>
                <w:lang w:val="en-US" w:eastAsia="zh-CN"/>
              </w:rPr>
              <w:t>分钟k线连续暴跌-6%个点买入200股做底仓，然后下午下跌到-8%再次买入200股，尾盘由于有事，没有卖出。下周一找机会完成做T</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w:t>
            </w:r>
            <w:r>
              <w:rPr>
                <w:rFonts w:hint="default" w:asciiTheme="minorEastAsia" w:hAnsiTheme="minorEastAsia" w:cstheme="minorEastAsia"/>
                <w:b w:val="0"/>
                <w:i w:val="0"/>
                <w:color w:val="000000"/>
                <w:kern w:val="0"/>
                <w:sz w:val="21"/>
                <w:szCs w:val="21"/>
                <w:u w:val="none"/>
                <w:lang w:val="en-US" w:eastAsia="zh-CN" w:bidi="ar"/>
              </w:rPr>
              <w:t>8</w:t>
            </w:r>
            <w:r>
              <w:rPr>
                <w:rFonts w:hint="eastAsia" w:asciiTheme="minorEastAsia" w:hAnsiTheme="minorEastAsia" w:cstheme="minorEastAsia"/>
                <w:b w:val="0"/>
                <w:i w:val="0"/>
                <w:color w:val="000000"/>
                <w:kern w:val="0"/>
                <w:sz w:val="21"/>
                <w:szCs w:val="21"/>
                <w:u w:val="none"/>
                <w:lang w:val="en-US" w:eastAsia="zh-CN" w:bidi="ar"/>
              </w:rPr>
              <w:t>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30"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片仔癀</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清仓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default" w:asciiTheme="minorEastAsia" w:hAnsiTheme="minorEastAsia" w:cstheme="minorEastAsia"/>
                <w:b w:val="0"/>
                <w:i w:val="0"/>
                <w:color w:val="000000"/>
                <w:kern w:val="0"/>
                <w:sz w:val="21"/>
                <w:szCs w:val="21"/>
                <w:u w:val="none"/>
                <w:lang w:val="en-US" w:eastAsia="zh-CN" w:bidi="ar"/>
              </w:rPr>
              <w:t>82.93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8</w:t>
            </w:r>
            <w:r>
              <w:rPr>
                <w:rFonts w:hint="default" w:asciiTheme="minorEastAsia" w:hAnsiTheme="minorEastAsia" w:cstheme="minorEastAsia"/>
                <w:b w:val="0"/>
                <w:i w:val="0"/>
                <w:color w:val="000000"/>
                <w:kern w:val="0"/>
                <w:sz w:val="21"/>
                <w:szCs w:val="21"/>
                <w:u w:val="none"/>
                <w:lang w:val="en-US" w:eastAsia="zh-CN" w:bidi="ar"/>
              </w:rPr>
              <w:t>5.78</w:t>
            </w:r>
          </w:p>
        </w:tc>
        <w:tc>
          <w:tcPr>
            <w:tcW w:w="2235" w:type="dxa"/>
            <w:vAlign w:val="top"/>
          </w:tcPr>
          <w:p>
            <w:pPr>
              <w:keepNext w:val="0"/>
              <w:keepLines w:val="0"/>
              <w:widowControl/>
              <w:suppressLineNumbers w:val="0"/>
              <w:jc w:val="left"/>
              <w:textAlignment w:val="top"/>
              <w:rPr>
                <w:rFonts w:hint="eastAsia" w:eastAsiaTheme="minorEastAsia"/>
                <w:lang w:val="en-US" w:eastAsia="zh-CN"/>
              </w:rPr>
            </w:pPr>
            <w:r>
              <w:rPr>
                <w:rFonts w:hint="eastAsia"/>
                <w:lang w:val="en-US" w:eastAsia="zh-CN"/>
              </w:rPr>
              <w:t>走势较弱没有做T的机会，卖出保障盈利</w:t>
            </w:r>
          </w:p>
          <w:p>
            <w:pPr>
              <w:keepNext w:val="0"/>
              <w:keepLines w:val="0"/>
              <w:widowControl/>
              <w:suppressLineNumbers w:val="0"/>
              <w:jc w:val="left"/>
              <w:textAlignment w:val="top"/>
              <w:rPr>
                <w:rFonts w:hint="eastAsia"/>
                <w:lang w:val="en-US" w:eastAsia="zh-CN"/>
              </w:rPr>
            </w:pP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 xml:space="preserve"> 斯太尔</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清仓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3.39</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3.70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没有涨停的可能，卖出保障盈利</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清仓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买入</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10.83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12.70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昨日Q3财报出来，业绩增长高于Q2比较正常，买入底仓，但是被套</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持仓900股</w:t>
            </w:r>
          </w:p>
        </w:tc>
      </w:tr>
    </w:tbl>
    <w:p>
      <w:pPr>
        <w:spacing w:line="240" w:lineRule="auto"/>
        <w:rPr>
          <w:lang w:val="en-US"/>
        </w:rPr>
      </w:pPr>
      <w:bookmarkStart w:id="0" w:name="9057-1536542303601"/>
      <w:bookmarkEnd w:id="0"/>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5200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3</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1/2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-500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-900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800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-400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400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5</w:t>
            </w:r>
          </w:p>
        </w:tc>
        <w:tc>
          <w:tcPr>
            <w:tcW w:w="1111" w:type="dxa"/>
            <w:vAlign w:val="center"/>
          </w:tcPr>
          <w:p>
            <w:pPr>
              <w:keepNext w:val="0"/>
              <w:keepLines w:val="0"/>
              <w:widowControl/>
              <w:suppressLineNumbers w:val="0"/>
              <w:jc w:val="left"/>
              <w:rPr>
                <w:lang w:val="en-US"/>
              </w:rPr>
            </w:pPr>
            <w:r>
              <w:rPr>
                <w:rFonts w:hint="eastAsia"/>
                <w:lang w:val="en-US" w:eastAsia="zh-CN"/>
              </w:rPr>
              <w:t>3</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2</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3/2</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100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15</w:t>
            </w:r>
          </w:p>
        </w:tc>
        <w:tc>
          <w:tcPr>
            <w:tcW w:w="1111" w:type="dxa"/>
            <w:vAlign w:val="center"/>
          </w:tcPr>
          <w:p>
            <w:pPr>
              <w:keepNext w:val="0"/>
              <w:keepLines w:val="0"/>
              <w:widowControl/>
              <w:suppressLineNumbers w:val="0"/>
              <w:jc w:val="left"/>
              <w:rPr>
                <w:lang w:val="en-US"/>
              </w:rPr>
            </w:pPr>
            <w:r>
              <w:rPr>
                <w:rFonts w:hint="eastAsia"/>
                <w:lang w:val="en-US" w:eastAsia="zh-CN"/>
              </w:rPr>
              <w:t>7</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8</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7/8</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6200</w:t>
            </w:r>
          </w:p>
        </w:tc>
        <w:tc>
          <w:tcPr>
            <w:tcW w:w="1111" w:type="dxa"/>
            <w:vAlign w:val="center"/>
          </w:tcPr>
          <w:p>
            <w:pPr>
              <w:keepNext w:val="0"/>
              <w:keepLines w:val="0"/>
              <w:widowControl/>
              <w:suppressLineNumbers w:val="0"/>
              <w:jc w:val="left"/>
              <w:rPr>
                <w:lang w:val="en-US"/>
              </w:rPr>
            </w:pPr>
            <w:r>
              <w:rPr>
                <w:rFonts w:hint="eastAsia"/>
                <w:lang w:val="en-US" w:eastAsia="zh-CN"/>
              </w:rPr>
              <w:t>-2000</w:t>
            </w:r>
          </w:p>
        </w:tc>
        <w:tc>
          <w:tcPr>
            <w:tcW w:w="1044" w:type="dxa"/>
            <w:vAlign w:val="center"/>
          </w:tcPr>
          <w:p>
            <w:pPr>
              <w:keepNext w:val="0"/>
              <w:keepLines w:val="0"/>
              <w:widowControl/>
              <w:suppressLineNumbers w:val="0"/>
              <w:jc w:val="left"/>
              <w:rPr>
                <w:lang w:val="en-US"/>
              </w:rPr>
            </w:pPr>
            <w:r>
              <w:rPr>
                <w:rFonts w:hint="eastAsia"/>
                <w:lang w:val="en-US" w:eastAsia="zh-CN"/>
              </w:rPr>
              <w:t>4200</w:t>
            </w:r>
          </w:p>
        </w:tc>
      </w:tr>
    </w:tbl>
    <w:p>
      <w:pPr>
        <w:spacing w:line="240" w:lineRule="auto"/>
        <w:rPr>
          <w:rFonts w:ascii="微软雅黑" w:hAnsi="微软雅黑" w:eastAsia="微软雅黑" w:cs="微软雅黑"/>
          <w:b/>
          <w:sz w:val="22"/>
        </w:rPr>
      </w:pPr>
      <w:bookmarkStart w:id="2" w:name="8416-1536542303643"/>
      <w:bookmarkEnd w:id="2"/>
      <w:bookmarkStart w:id="3" w:name="2151-1536542303645"/>
      <w:bookmarkEnd w:id="3"/>
      <w:bookmarkStart w:id="4" w:name="2911-1536542303635"/>
      <w:bookmarkEnd w:id="4"/>
      <w:bookmarkStart w:id="5" w:name="3677-1536542303641"/>
      <w:bookmarkEnd w:id="5"/>
      <w:bookmarkStart w:id="6" w:name="1227-1536542303637"/>
      <w:bookmarkEnd w:id="6"/>
      <w:bookmarkStart w:id="7" w:name="1096-1536542303639"/>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lang w:val="en-US"/>
        </w:rPr>
      </w:pPr>
      <w:r>
        <w:rPr>
          <w:rFonts w:hint="eastAsia" w:asciiTheme="minorEastAsia" w:hAnsiTheme="minorEastAsia" w:cstheme="minorEastAsia"/>
          <w:sz w:val="21"/>
          <w:szCs w:val="21"/>
          <w:lang w:val="en-US" w:eastAsia="zh-CN"/>
        </w:rPr>
        <w:t>收盘2598.85，-0.19%。由于昨夜美股反弹，今天A股30分钟没有过上方压力位，走势横盘纠结，等待周末消息面以及美股走势，还有人民币最近一周贬值较快，央行讲话打压空头。周一可能会变盘。</w:t>
      </w:r>
    </w:p>
    <w:p>
      <w:pPr>
        <w:spacing w:line="240" w:lineRule="auto"/>
      </w:pPr>
      <w:r>
        <w:drawing>
          <wp:inline distT="0" distB="0" distL="114300" distR="114300">
            <wp:extent cx="5266690" cy="1541145"/>
            <wp:effectExtent l="0" t="0" r="1016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690" cy="1541145"/>
                    </a:xfrm>
                    <a:prstGeom prst="rect">
                      <a:avLst/>
                    </a:prstGeom>
                    <a:noFill/>
                    <a:ln w="9525">
                      <a:noFill/>
                    </a:ln>
                  </pic:spPr>
                </pic:pic>
              </a:graphicData>
            </a:graphic>
          </wp:inline>
        </w:drawing>
      </w:r>
    </w:p>
    <w:p>
      <w:pPr>
        <w:numPr>
          <w:ilvl w:val="0"/>
          <w:numId w:val="1"/>
        </w:numPr>
        <w:spacing w:line="240" w:lineRule="auto"/>
        <w:ind w:left="105" w:leftChars="0" w:firstLine="0" w:firstLineChars="0"/>
        <w:rPr>
          <w:rFonts w:hint="eastAsia"/>
          <w:lang w:val="en-US" w:eastAsia="zh-CN"/>
        </w:rPr>
      </w:pPr>
      <w:r>
        <w:rPr>
          <w:rFonts w:hint="eastAsia"/>
          <w:lang w:val="en-US" w:eastAsia="zh-CN"/>
        </w:rPr>
        <w:t>上证50：</w:t>
      </w:r>
    </w:p>
    <w:p>
      <w:pPr>
        <w:numPr>
          <w:numId w:val="0"/>
        </w:numPr>
        <w:spacing w:line="240" w:lineRule="auto"/>
        <w:ind w:left="105" w:leftChars="0"/>
        <w:rPr>
          <w:rFonts w:hint="eastAsia"/>
          <w:lang w:val="en-US" w:eastAsia="zh-CN"/>
        </w:rPr>
      </w:pPr>
      <w:r>
        <w:rPr>
          <w:rFonts w:hint="eastAsia"/>
          <w:lang w:val="en-US" w:eastAsia="zh-CN"/>
        </w:rPr>
        <w:t>横向做平台整理</w:t>
      </w:r>
    </w:p>
    <w:p>
      <w:pPr>
        <w:widowControl w:val="0"/>
        <w:numPr>
          <w:ilvl w:val="0"/>
          <w:numId w:val="0"/>
        </w:numPr>
        <w:tabs>
          <w:tab w:val="left" w:pos="312"/>
        </w:tabs>
        <w:spacing w:line="240" w:lineRule="auto"/>
        <w:jc w:val="both"/>
        <w:rPr>
          <w:rFonts w:hint="eastAsia"/>
          <w:lang w:val="en-US" w:eastAsia="zh-CN"/>
        </w:rPr>
      </w:pPr>
      <w:r>
        <w:drawing>
          <wp:inline distT="0" distB="0" distL="114300" distR="114300">
            <wp:extent cx="5271770" cy="3382645"/>
            <wp:effectExtent l="0" t="0" r="508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770" cy="3382645"/>
                    </a:xfrm>
                    <a:prstGeom prst="rect">
                      <a:avLst/>
                    </a:prstGeom>
                    <a:noFill/>
                    <a:ln w="9525">
                      <a:noFill/>
                    </a:ln>
                  </pic:spPr>
                </pic:pic>
              </a:graphicData>
            </a:graphic>
          </wp:inline>
        </w:drawing>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numPr>
          <w:ilvl w:val="0"/>
          <w:numId w:val="2"/>
        </w:numPr>
        <w:spacing w:line="240" w:lineRule="auto"/>
        <w:rPr>
          <w:rFonts w:hint="eastAsia"/>
          <w:lang w:val="en-US" w:eastAsia="zh-CN"/>
        </w:rPr>
      </w:pPr>
      <w:r>
        <w:rPr>
          <w:rFonts w:hint="eastAsia"/>
          <w:lang w:val="en-US" w:eastAsia="zh-CN"/>
        </w:rPr>
        <w:t>港股：收盘2417.63， -1.11%，港股弱于A股</w:t>
      </w:r>
    </w:p>
    <w:p>
      <w:pPr>
        <w:numPr>
          <w:ilvl w:val="0"/>
          <w:numId w:val="2"/>
        </w:numPr>
        <w:spacing w:line="240" w:lineRule="auto"/>
        <w:rPr>
          <w:rFonts w:hint="eastAsia"/>
          <w:lang w:val="en-US" w:eastAsia="zh-CN"/>
        </w:rPr>
      </w:pPr>
      <w:r>
        <w:rPr>
          <w:rFonts w:hint="eastAsia"/>
          <w:lang w:val="en-US" w:eastAsia="zh-CN"/>
        </w:rPr>
        <w:t>人民币： 贬值创新低6.9536，-50基点</w:t>
      </w:r>
    </w:p>
    <w:p>
      <w:pPr>
        <w:numPr>
          <w:ilvl w:val="0"/>
          <w:numId w:val="2"/>
        </w:numPr>
        <w:spacing w:line="240" w:lineRule="auto"/>
        <w:rPr>
          <w:rFonts w:hint="eastAsia"/>
          <w:lang w:val="en-US" w:eastAsia="zh-CN"/>
        </w:rPr>
      </w:pPr>
      <w:r>
        <w:rPr>
          <w:rFonts w:hint="eastAsia"/>
          <w:lang w:val="en-US" w:eastAsia="zh-CN"/>
        </w:rPr>
        <w:t>GC001：2.475，+3.13%</w:t>
      </w:r>
    </w:p>
    <w:p>
      <w:pPr>
        <w:numPr>
          <w:ilvl w:val="0"/>
          <w:numId w:val="2"/>
        </w:numPr>
        <w:spacing w:line="240" w:lineRule="auto"/>
        <w:rPr>
          <w:rFonts w:hint="eastAsia"/>
          <w:lang w:val="en-US" w:eastAsia="zh-CN"/>
        </w:rPr>
      </w:pPr>
      <w:r>
        <w:rPr>
          <w:rFonts w:hint="eastAsia"/>
          <w:lang w:val="en-US" w:eastAsia="zh-CN"/>
        </w:rPr>
        <w:t>融资融券余额：7738亿，-8.31亿</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【宏观要闻】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证监会核发2家企业IPO批文 筹资额不超14亿元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10月26日，证监会按法定程序核准了以下企业的首发申请，上交所主板：武汉贝斯特(300580)通信集团股份有限公司，深交所创业板：苏州迈为科技股份有限公司。本次苏州迈为科技股份有限公司将直接定价发行。上述企业及其承销商将分别与交易所协商确定发行日程，并陆续刊登招股文件。上述2家企业融资总额不超过14亿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中国人大网：关于《中华人民共和国公司法修正案(草案)》的说明 </w:t>
      </w:r>
    </w:p>
    <w:p>
      <w:pPr>
        <w:spacing w:line="240" w:lineRule="auto"/>
        <w:rPr>
          <w:rFonts w:hint="eastAsia"/>
          <w:lang w:val="en-US" w:eastAsia="zh-CN"/>
        </w:rPr>
      </w:pPr>
      <w:r>
        <w:rPr>
          <w:rFonts w:hint="eastAsia"/>
          <w:lang w:val="en-US" w:eastAsia="zh-CN"/>
        </w:rPr>
        <w:t xml:space="preserve">今日，中国人大网公布关于《中华人民共和国公司法修正案(草案)》的说明，署名为中国证监会主席刘士余。据悉，针对公司法第一百四十二条在实践中存在的问题，草案从三个方面对该条规定作了修改完善：一是补充完善允许股份回购的情形；二是适当简化股份回购的决策程序，提高公司持有本公司股份的数额上限，延长公司持有所回购股份的期限；三是补充上市公司股份回购的规范要求。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证监会：设立绿色通道审核纾困专项债 </w:t>
      </w:r>
    </w:p>
    <w:p>
      <w:pPr>
        <w:spacing w:line="240" w:lineRule="auto"/>
        <w:rPr>
          <w:rFonts w:hint="eastAsia"/>
          <w:lang w:val="en-US" w:eastAsia="zh-CN"/>
        </w:rPr>
      </w:pPr>
      <w:r>
        <w:rPr>
          <w:rFonts w:hint="eastAsia"/>
          <w:lang w:val="en-US" w:eastAsia="zh-CN"/>
        </w:rPr>
        <w:t xml:space="preserve">证监会新闻发言人常德鹏26日表示，为解决民营企业融资难，证监会支持各类符合条件的机构发行专项公司债，募集资金专门用于纾解民营融资困境和股权质押风险。目前深圳市投资控股有限公司和北京海淀科技金融资本控股集团股份有限公司首批专项债已经发行，还有多家机构提出了意向，沪深交易所正在对接，交易所将对该类专项审核建立绿色通道，适用即报即审，提高发行效率。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全国人大常委会通过关于修改公司法的决定 </w:t>
      </w:r>
    </w:p>
    <w:p>
      <w:pPr>
        <w:spacing w:line="240" w:lineRule="auto"/>
        <w:rPr>
          <w:rFonts w:hint="eastAsia"/>
          <w:lang w:val="en-US" w:eastAsia="zh-CN"/>
        </w:rPr>
      </w:pPr>
      <w:r>
        <w:rPr>
          <w:rFonts w:hint="eastAsia"/>
          <w:lang w:val="en-US" w:eastAsia="zh-CN"/>
        </w:rPr>
        <w:t xml:space="preserve">十三届全国人大常委会第六次会议26日下午在北京人民大会堂闭幕。会议经表决，通过了关于修改刑事诉讼法的决定、新修订的人民法院组织法、新修订的人民检察院组织法、国际刑事司法协助法、消防救援衔条例、关于修改公司法的决定、关于修改野生动物保护法等15部法律的决定。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【资讯快报】 </w:t>
      </w:r>
    </w:p>
    <w:p>
      <w:pPr>
        <w:spacing w:line="240" w:lineRule="auto"/>
        <w:rPr>
          <w:rFonts w:hint="eastAsia"/>
          <w:lang w:val="en-US" w:eastAsia="zh-CN"/>
        </w:rPr>
      </w:pPr>
      <w:r>
        <w:rPr>
          <w:rFonts w:hint="eastAsia"/>
          <w:lang w:val="en-US" w:eastAsia="zh-CN"/>
        </w:rPr>
        <w:t xml:space="preserve">1-9月国有企业利润总额25773.6亿元 同比增长19.1% </w:t>
      </w:r>
    </w:p>
    <w:p>
      <w:pPr>
        <w:spacing w:line="240" w:lineRule="auto"/>
        <w:rPr>
          <w:rFonts w:hint="eastAsia"/>
          <w:lang w:val="en-US" w:eastAsia="zh-CN"/>
        </w:rPr>
      </w:pPr>
      <w:r>
        <w:rPr>
          <w:rFonts w:hint="eastAsia"/>
          <w:lang w:val="en-US" w:eastAsia="zh-CN"/>
        </w:rPr>
        <w:t xml:space="preserve">全国股转公司优化股票发行与并购重组制度 建立做市商评价机制 </w:t>
      </w:r>
    </w:p>
    <w:p>
      <w:pPr>
        <w:spacing w:line="240" w:lineRule="auto"/>
        <w:rPr>
          <w:rFonts w:hint="eastAsia"/>
          <w:lang w:val="en-US" w:eastAsia="zh-CN"/>
        </w:rPr>
      </w:pPr>
      <w:r>
        <w:rPr>
          <w:rFonts w:hint="eastAsia"/>
          <w:lang w:val="en-US" w:eastAsia="zh-CN"/>
        </w:rPr>
        <w:t xml:space="preserve">深交所推出企业画像智能监管系统 </w:t>
      </w:r>
    </w:p>
    <w:p>
      <w:pPr>
        <w:spacing w:line="240" w:lineRule="auto"/>
        <w:rPr>
          <w:rFonts w:hint="eastAsia"/>
          <w:lang w:val="en-US" w:eastAsia="zh-CN"/>
        </w:rPr>
      </w:pPr>
      <w:r>
        <w:rPr>
          <w:rFonts w:hint="eastAsia"/>
          <w:lang w:val="en-US" w:eastAsia="zh-CN"/>
        </w:rPr>
        <w:t xml:space="preserve">上交所：深化债券市场功能，助力民营企业健康发展 </w:t>
      </w:r>
    </w:p>
    <w:p>
      <w:pPr>
        <w:spacing w:line="240" w:lineRule="auto"/>
        <w:rPr>
          <w:rFonts w:hint="eastAsia"/>
          <w:lang w:val="en-US" w:eastAsia="zh-CN"/>
        </w:rPr>
      </w:pPr>
      <w:r>
        <w:rPr>
          <w:rFonts w:hint="eastAsia"/>
          <w:lang w:val="en-US" w:eastAsia="zh-CN"/>
        </w:rPr>
        <w:t xml:space="preserve">11家券商设立支持民企资管计划已进入实操阶段 </w:t>
      </w:r>
    </w:p>
    <w:p>
      <w:pPr>
        <w:spacing w:line="240" w:lineRule="auto"/>
        <w:rPr>
          <w:rFonts w:hint="eastAsia"/>
          <w:lang w:val="en-US" w:eastAsia="zh-CN"/>
        </w:rPr>
      </w:pPr>
      <w:r>
        <w:rPr>
          <w:rFonts w:hint="eastAsia"/>
          <w:lang w:val="en-US" w:eastAsia="zh-CN"/>
        </w:rPr>
        <w:t xml:space="preserve">上交所与日本交易所集团签署更紧密合作谅解备忘录 共同推动中日ETF互通 </w:t>
      </w:r>
    </w:p>
    <w:p>
      <w:pPr>
        <w:spacing w:line="240" w:lineRule="auto"/>
        <w:rPr>
          <w:rFonts w:hint="eastAsia"/>
          <w:lang w:val="en-US" w:eastAsia="zh-CN"/>
        </w:rPr>
      </w:pPr>
      <w:r>
        <w:rPr>
          <w:rFonts w:hint="eastAsia"/>
          <w:lang w:val="en-US" w:eastAsia="zh-CN"/>
        </w:rPr>
        <w:t xml:space="preserve">证监会：PTA期货11月30日正式引入境外交易者 </w:t>
      </w:r>
    </w:p>
    <w:p>
      <w:pPr>
        <w:spacing w:line="240" w:lineRule="auto"/>
        <w:rPr>
          <w:rFonts w:hint="eastAsia"/>
          <w:lang w:val="en-US" w:eastAsia="zh-CN"/>
        </w:rPr>
      </w:pPr>
      <w:r>
        <w:rPr>
          <w:rFonts w:hint="eastAsia"/>
          <w:lang w:val="en-US" w:eastAsia="zh-CN"/>
        </w:rPr>
        <w:t xml:space="preserve">证监会对4宗案件作出行政处罚 涉及哈尔斯(002615)等公司 </w:t>
      </w:r>
    </w:p>
    <w:p>
      <w:pPr>
        <w:spacing w:line="240" w:lineRule="auto"/>
        <w:rPr>
          <w:rFonts w:hint="eastAsia"/>
          <w:lang w:val="en-US" w:eastAsia="zh-CN"/>
        </w:rPr>
      </w:pPr>
      <w:r>
        <w:rPr>
          <w:rFonts w:hint="eastAsia"/>
          <w:lang w:val="en-US" w:eastAsia="zh-CN"/>
        </w:rPr>
        <w:t xml:space="preserve">浙江设立百亿市场化“债转股”基金 主要投向省内上市公司缓解企业债务压力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【增减持】 </w:t>
      </w:r>
    </w:p>
    <w:p>
      <w:pPr>
        <w:spacing w:line="240" w:lineRule="auto"/>
        <w:rPr>
          <w:rFonts w:hint="eastAsia"/>
          <w:lang w:val="en-US" w:eastAsia="zh-CN"/>
        </w:rPr>
      </w:pPr>
      <w:r>
        <w:rPr>
          <w:rFonts w:hint="eastAsia"/>
          <w:lang w:val="en-US" w:eastAsia="zh-CN"/>
        </w:rPr>
        <w:t xml:space="preserve">汉鼎宇佑(300300)：实控人减持1.1%公司股份 </w:t>
      </w:r>
    </w:p>
    <w:p>
      <w:pPr>
        <w:spacing w:line="240" w:lineRule="auto"/>
        <w:rPr>
          <w:rFonts w:hint="eastAsia"/>
          <w:lang w:val="en-US" w:eastAsia="zh-CN"/>
        </w:rPr>
      </w:pPr>
      <w:r>
        <w:rPr>
          <w:rFonts w:hint="eastAsia"/>
          <w:lang w:val="en-US" w:eastAsia="zh-CN"/>
        </w:rPr>
        <w:t xml:space="preserve">中联重科(000157)：股东拟减持不超2.16%股份 </w:t>
      </w:r>
    </w:p>
    <w:p>
      <w:pPr>
        <w:spacing w:line="240" w:lineRule="auto"/>
        <w:rPr>
          <w:rFonts w:hint="eastAsia"/>
          <w:lang w:val="en-US" w:eastAsia="zh-CN"/>
        </w:rPr>
      </w:pPr>
      <w:r>
        <w:rPr>
          <w:rFonts w:hint="eastAsia"/>
          <w:lang w:val="en-US" w:eastAsia="zh-CN"/>
        </w:rPr>
        <w:t xml:space="preserve">泰禾集团(000732)：控股股东向员工发出增持上市公司股票倡议书 </w:t>
      </w:r>
    </w:p>
    <w:p>
      <w:pPr>
        <w:spacing w:line="240" w:lineRule="auto"/>
        <w:rPr>
          <w:rFonts w:hint="eastAsia"/>
          <w:lang w:val="en-US" w:eastAsia="zh-CN"/>
        </w:rPr>
      </w:pPr>
      <w:r>
        <w:rPr>
          <w:rFonts w:hint="eastAsia"/>
          <w:lang w:val="en-US" w:eastAsia="zh-CN"/>
        </w:rPr>
        <w:t xml:space="preserve">回天新材(300041)：拟斥资3000万至5000万元回购公司股份 </w:t>
      </w:r>
    </w:p>
    <w:p>
      <w:pPr>
        <w:spacing w:line="240" w:lineRule="auto"/>
        <w:rPr>
          <w:rFonts w:hint="eastAsia"/>
          <w:lang w:val="en-US" w:eastAsia="zh-CN"/>
        </w:rPr>
      </w:pPr>
      <w:r>
        <w:rPr>
          <w:rFonts w:hint="eastAsia"/>
          <w:lang w:val="en-US" w:eastAsia="zh-CN"/>
        </w:rPr>
        <w:t xml:space="preserve">通化东宝(600867)：拟1亿元-3亿元回购股份 </w:t>
      </w:r>
    </w:p>
    <w:p>
      <w:pPr>
        <w:spacing w:line="240" w:lineRule="auto"/>
        <w:rPr>
          <w:rFonts w:hint="eastAsia"/>
          <w:lang w:val="en-US" w:eastAsia="zh-CN"/>
        </w:rPr>
      </w:pPr>
      <w:r>
        <w:rPr>
          <w:rFonts w:hint="eastAsia"/>
          <w:lang w:val="en-US" w:eastAsia="zh-CN"/>
        </w:rPr>
        <w:t xml:space="preserve">渤海轮渡(603167)：拟1.8亿元-2亿元回购股份 </w:t>
      </w:r>
    </w:p>
    <w:p>
      <w:pPr>
        <w:spacing w:line="240" w:lineRule="auto"/>
        <w:rPr>
          <w:rFonts w:hint="eastAsia"/>
          <w:lang w:val="en-US" w:eastAsia="zh-CN"/>
        </w:rPr>
      </w:pPr>
      <w:r>
        <w:rPr>
          <w:rFonts w:hint="eastAsia"/>
          <w:lang w:val="en-US" w:eastAsia="zh-CN"/>
        </w:rPr>
        <w:t xml:space="preserve">【个股公告】 </w:t>
      </w:r>
    </w:p>
    <w:p>
      <w:pPr>
        <w:spacing w:line="240" w:lineRule="auto"/>
        <w:rPr>
          <w:rFonts w:hint="eastAsia"/>
          <w:lang w:val="en-US" w:eastAsia="zh-CN"/>
        </w:rPr>
      </w:pPr>
    </w:p>
    <w:p>
      <w:pPr>
        <w:spacing w:line="240" w:lineRule="auto"/>
        <w:rPr>
          <w:rFonts w:hint="eastAsia"/>
          <w:strike/>
          <w:dstrike w:val="0"/>
          <w:lang w:val="en-US" w:eastAsia="zh-CN"/>
        </w:rPr>
      </w:pPr>
      <w:r>
        <w:rPr>
          <w:rFonts w:hint="eastAsia"/>
          <w:strike/>
          <w:dstrike w:val="0"/>
          <w:lang w:val="en-US" w:eastAsia="zh-CN"/>
        </w:rPr>
        <w:t xml:space="preserve">华大基因(300676)：三季度净利润1.12亿元，同比下降7.38% </w:t>
      </w:r>
    </w:p>
    <w:p>
      <w:pPr>
        <w:spacing w:line="240" w:lineRule="auto"/>
        <w:rPr>
          <w:rFonts w:hint="eastAsia"/>
          <w:lang w:val="en-US" w:eastAsia="zh-CN"/>
        </w:rPr>
      </w:pPr>
      <w:r>
        <w:rPr>
          <w:rFonts w:hint="eastAsia"/>
          <w:lang w:val="en-US" w:eastAsia="zh-CN"/>
        </w:rPr>
        <w:t xml:space="preserve">新华保险(601336)：前三季度净利润77亿元，同比增长52.8% </w:t>
      </w:r>
    </w:p>
    <w:p>
      <w:pPr>
        <w:spacing w:line="240" w:lineRule="auto"/>
        <w:rPr>
          <w:rFonts w:hint="eastAsia"/>
          <w:lang w:val="en-US" w:eastAsia="zh-CN"/>
        </w:rPr>
      </w:pPr>
      <w:r>
        <w:rPr>
          <w:rFonts w:hint="eastAsia"/>
          <w:lang w:val="en-US" w:eastAsia="zh-CN"/>
        </w:rPr>
        <w:t xml:space="preserve">深振业A(000006)：前三季度净利同比增48% 证金公司新进前十大股东 </w:t>
      </w:r>
    </w:p>
    <w:p>
      <w:pPr>
        <w:spacing w:line="240" w:lineRule="auto"/>
        <w:rPr>
          <w:rFonts w:hint="eastAsia"/>
          <w:strike/>
          <w:dstrike w:val="0"/>
          <w:lang w:val="en-US" w:eastAsia="zh-CN"/>
        </w:rPr>
      </w:pPr>
      <w:r>
        <w:rPr>
          <w:rFonts w:hint="eastAsia"/>
          <w:strike/>
          <w:dstrike w:val="0"/>
          <w:lang w:val="en-US" w:eastAsia="zh-CN"/>
        </w:rPr>
        <w:t xml:space="preserve">洋河股份(002304)：前三季度净利同比增26.10% 预计全年净利79.53亿-86.12亿元 </w:t>
      </w:r>
    </w:p>
    <w:p>
      <w:pPr>
        <w:spacing w:line="240" w:lineRule="auto"/>
        <w:rPr>
          <w:rFonts w:hint="eastAsia"/>
          <w:strike/>
          <w:dstrike w:val="0"/>
          <w:lang w:val="en-US" w:eastAsia="zh-CN"/>
        </w:rPr>
      </w:pPr>
      <w:r>
        <w:rPr>
          <w:rFonts w:hint="eastAsia"/>
          <w:strike/>
          <w:dstrike w:val="0"/>
          <w:lang w:val="en-US" w:eastAsia="zh-CN"/>
        </w:rPr>
        <w:t xml:space="preserve">云南白药(000538)：前三季净利同比增长4.88% </w:t>
      </w:r>
    </w:p>
    <w:p>
      <w:pPr>
        <w:spacing w:line="240" w:lineRule="auto"/>
        <w:rPr>
          <w:rFonts w:hint="eastAsia"/>
          <w:lang w:val="en-US" w:eastAsia="zh-CN"/>
        </w:rPr>
      </w:pPr>
      <w:r>
        <w:rPr>
          <w:rFonts w:hint="eastAsia"/>
          <w:lang w:val="en-US" w:eastAsia="zh-CN"/>
        </w:rPr>
        <w:t xml:space="preserve">安记食品(603696)：前三季度净利同比增16% 拟10派6元 </w:t>
      </w:r>
    </w:p>
    <w:p>
      <w:pPr>
        <w:spacing w:line="240" w:lineRule="auto"/>
        <w:rPr>
          <w:rFonts w:hint="eastAsia"/>
          <w:color w:val="FF0000"/>
          <w:lang w:val="en-US" w:eastAsia="zh-CN"/>
        </w:rPr>
      </w:pPr>
      <w:r>
        <w:rPr>
          <w:rFonts w:hint="eastAsia"/>
          <w:color w:val="FF0000"/>
          <w:lang w:val="en-US" w:eastAsia="zh-CN"/>
        </w:rPr>
        <w:t xml:space="preserve">康美药业(600518)：前三季度净利同比增22% 证金公司减持 </w:t>
      </w:r>
    </w:p>
    <w:p>
      <w:pPr>
        <w:spacing w:line="240" w:lineRule="auto"/>
        <w:rPr>
          <w:rFonts w:hint="eastAsia"/>
          <w:strike/>
          <w:dstrike w:val="0"/>
          <w:lang w:val="en-US" w:eastAsia="zh-CN"/>
        </w:rPr>
      </w:pPr>
      <w:r>
        <w:rPr>
          <w:rFonts w:hint="eastAsia"/>
          <w:strike/>
          <w:dstrike w:val="0"/>
          <w:lang w:val="en-US" w:eastAsia="zh-CN"/>
        </w:rPr>
        <w:t xml:space="preserve">华业资本(600240)：公司董事被刑拘 </w:t>
      </w:r>
    </w:p>
    <w:p>
      <w:pPr>
        <w:spacing w:line="240" w:lineRule="auto"/>
        <w:rPr>
          <w:rFonts w:hint="eastAsia"/>
          <w:strike/>
          <w:dstrike w:val="0"/>
          <w:lang w:val="en-US" w:eastAsia="zh-CN"/>
        </w:rPr>
      </w:pPr>
      <w:r>
        <w:rPr>
          <w:rFonts w:hint="eastAsia"/>
          <w:strike/>
          <w:dstrike w:val="0"/>
          <w:lang w:val="en-US" w:eastAsia="zh-CN"/>
        </w:rPr>
        <w:t xml:space="preserve">中弘股份(000979)：股东大会通过关于签署经营托管协议的议案 </w:t>
      </w:r>
    </w:p>
    <w:p>
      <w:pPr>
        <w:spacing w:line="240" w:lineRule="auto"/>
        <w:rPr>
          <w:rFonts w:hint="eastAsia"/>
          <w:strike/>
          <w:dstrike w:val="0"/>
          <w:lang w:val="en-US" w:eastAsia="zh-CN"/>
        </w:rPr>
      </w:pPr>
      <w:r>
        <w:rPr>
          <w:rFonts w:hint="eastAsia"/>
          <w:strike/>
          <w:dstrike w:val="0"/>
          <w:lang w:val="en-US" w:eastAsia="zh-CN"/>
        </w:rPr>
        <w:t xml:space="preserve">万华化学(600309)：下调中国地区MDI价格 </w:t>
      </w:r>
    </w:p>
    <w:p>
      <w:pPr>
        <w:spacing w:line="240" w:lineRule="auto"/>
        <w:rPr>
          <w:rFonts w:hint="eastAsia"/>
          <w:lang w:val="en-US" w:eastAsia="zh-CN"/>
        </w:rPr>
      </w:pPr>
      <w:r>
        <w:rPr>
          <w:rFonts w:hint="eastAsia"/>
          <w:lang w:val="en-US" w:eastAsia="zh-CN"/>
        </w:rPr>
        <w:t xml:space="preserve">普路通(002769)：实控人拟将10.66%股份转让给广东绿投控 </w:t>
      </w:r>
    </w:p>
    <w:p>
      <w:pPr>
        <w:spacing w:line="240" w:lineRule="auto"/>
        <w:rPr>
          <w:rFonts w:hint="eastAsia"/>
          <w:strike/>
          <w:dstrike w:val="0"/>
          <w:lang w:val="en-US" w:eastAsia="zh-CN"/>
        </w:rPr>
      </w:pPr>
      <w:r>
        <w:rPr>
          <w:rFonts w:hint="eastAsia"/>
          <w:strike/>
          <w:dstrike w:val="0"/>
          <w:lang w:val="en-US" w:eastAsia="zh-CN"/>
        </w:rPr>
        <w:t xml:space="preserve">得润电子(002055)：控股股东获深圳中小担融资支持 </w:t>
      </w:r>
    </w:p>
    <w:p>
      <w:pPr>
        <w:spacing w:line="240" w:lineRule="auto"/>
        <w:rPr>
          <w:rFonts w:hint="eastAsia"/>
          <w:lang w:val="en-US" w:eastAsia="zh-CN"/>
        </w:rPr>
      </w:pPr>
      <w:r>
        <w:rPr>
          <w:rFonts w:hint="eastAsia"/>
          <w:lang w:val="en-US" w:eastAsia="zh-CN"/>
        </w:rPr>
        <w:t xml:space="preserve">顺丰控股(002352)：拟55亿元收购敦豪香港和敦豪北京100%股权 </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14" w:name="_GoBack"/>
      <w:bookmarkEnd w:id="14"/>
      <w:bookmarkStart w:id="9" w:name="8598-1536542303673"/>
      <w:bookmarkEnd w:id="9"/>
      <w:bookmarkStart w:id="10" w:name="8130-1536542303665"/>
      <w:bookmarkEnd w:id="10"/>
    </w:p>
    <w:p>
      <w:pPr>
        <w:spacing w:line="240" w:lineRule="auto"/>
        <w:rPr>
          <w:rFonts w:hint="eastAsia"/>
          <w:lang w:val="en-US" w:eastAsia="zh-CN"/>
        </w:rPr>
      </w:pPr>
      <w:r>
        <w:rPr>
          <w:rFonts w:hint="eastAsia"/>
          <w:lang w:val="en-US" w:eastAsia="zh-CN"/>
        </w:rPr>
        <w:t>10-17日关注股票：</w:t>
      </w:r>
    </w:p>
    <w:p>
      <w:pPr>
        <w:spacing w:line="240" w:lineRule="auto"/>
        <w:rPr>
          <w:rFonts w:hint="eastAsia"/>
          <w:lang w:val="en-US" w:eastAsia="zh-CN"/>
        </w:rPr>
      </w:pPr>
      <w:r>
        <w:rPr>
          <w:rFonts w:hint="eastAsia"/>
          <w:color w:val="00B050"/>
          <w:lang w:val="en-US" w:eastAsia="zh-CN"/>
        </w:rPr>
        <w:t>青松股份（</w:t>
      </w:r>
      <w:r>
        <w:rPr>
          <w:rFonts w:hint="default"/>
          <w:color w:val="00B050"/>
          <w:lang w:val="en-US" w:eastAsia="zh-CN"/>
        </w:rPr>
        <w:t>-4.37</w:t>
      </w:r>
      <w:r>
        <w:rPr>
          <w:rFonts w:hint="eastAsia"/>
          <w:color w:val="00B050"/>
          <w:lang w:val="en-US" w:eastAsia="zh-CN"/>
        </w:rPr>
        <w:t>%）</w:t>
      </w:r>
      <w:r>
        <w:rPr>
          <w:rFonts w:hint="eastAsia"/>
          <w:lang w:val="en-US" w:eastAsia="zh-CN"/>
        </w:rPr>
        <w:t>、</w:t>
      </w:r>
      <w:r>
        <w:rPr>
          <w:rFonts w:hint="eastAsia"/>
          <w:strike/>
          <w:dstrike w:val="0"/>
          <w:lang w:val="en-US" w:eastAsia="zh-CN"/>
        </w:rPr>
        <w:t>金龙机电</w:t>
      </w:r>
      <w:r>
        <w:rPr>
          <w:rFonts w:hint="default"/>
          <w:strike/>
          <w:dstrike w:val="0"/>
          <w:lang w:val="en-US" w:eastAsia="zh-CN"/>
        </w:rPr>
        <w:t>(-4.73%)</w:t>
      </w:r>
      <w:r>
        <w:rPr>
          <w:rFonts w:hint="eastAsia"/>
          <w:lang w:val="en-US" w:eastAsia="zh-CN"/>
        </w:rPr>
        <w:t>、</w:t>
      </w:r>
      <w:r>
        <w:rPr>
          <w:rFonts w:hint="eastAsia"/>
          <w:strike/>
          <w:dstrike w:val="0"/>
          <w:lang w:val="en-US" w:eastAsia="zh-CN"/>
        </w:rPr>
        <w:t>天润数媒</w:t>
      </w:r>
      <w:r>
        <w:rPr>
          <w:rFonts w:hint="default"/>
          <w:strike/>
          <w:dstrike w:val="0"/>
          <w:lang w:val="en-US" w:eastAsia="zh-CN"/>
        </w:rPr>
        <w:t>(-10.07%)</w:t>
      </w:r>
      <w:r>
        <w:rPr>
          <w:rFonts w:hint="eastAsia"/>
          <w:lang w:val="en-US" w:eastAsia="zh-CN"/>
        </w:rPr>
        <w:t>、</w:t>
      </w:r>
      <w:r>
        <w:rPr>
          <w:rFonts w:hint="eastAsia"/>
          <w:strike/>
          <w:dstrike w:val="0"/>
          <w:lang w:val="en-US" w:eastAsia="zh-CN"/>
        </w:rPr>
        <w:t>山推股份</w:t>
      </w:r>
      <w:r>
        <w:rPr>
          <w:rFonts w:hint="default"/>
          <w:strike/>
          <w:dstrike w:val="0"/>
          <w:lang w:val="en-US" w:eastAsia="zh-CN"/>
        </w:rPr>
        <w:t>(5.49%)</w:t>
      </w:r>
    </w:p>
    <w:p>
      <w:pPr>
        <w:spacing w:line="240" w:lineRule="auto"/>
        <w:rPr>
          <w:rFonts w:hint="eastAsia"/>
          <w:lang w:val="en-US" w:eastAsia="zh-CN"/>
        </w:rPr>
      </w:pPr>
    </w:p>
    <w:p>
      <w:pPr>
        <w:spacing w:line="240" w:lineRule="auto"/>
        <w:rPr>
          <w:rFonts w:hint="eastAsia" w:eastAsiaTheme="minorEastAsia"/>
          <w:lang w:val="en-US" w:eastAsia="zh-CN"/>
        </w:rPr>
      </w:pPr>
      <w:r>
        <w:rPr>
          <w:rFonts w:hint="default"/>
          <w:lang w:val="en-US" w:eastAsia="zh-CN"/>
        </w:rPr>
        <w:t>10-18</w:t>
      </w:r>
      <w:r>
        <w:rPr>
          <w:rFonts w:hint="eastAsia"/>
          <w:lang w:val="en-US" w:eastAsia="zh-CN"/>
        </w:rPr>
        <w:t>日关注股票：</w:t>
      </w:r>
    </w:p>
    <w:p>
      <w:pPr>
        <w:spacing w:line="240" w:lineRule="auto"/>
        <w:rPr>
          <w:rFonts w:hint="default"/>
          <w:strike/>
          <w:dstrike w:val="0"/>
          <w:color w:val="00B050"/>
          <w:lang w:val="en-US" w:eastAsia="zh-CN"/>
        </w:rPr>
      </w:pPr>
      <w:r>
        <w:rPr>
          <w:rFonts w:hint="eastAsia"/>
          <w:color w:val="00B050"/>
          <w:lang w:val="en-US" w:eastAsia="zh-CN"/>
        </w:rPr>
        <w:t>中国国旅</w:t>
      </w:r>
      <w:r>
        <w:rPr>
          <w:rFonts w:hint="default"/>
          <w:color w:val="00B050"/>
          <w:lang w:val="en-US" w:eastAsia="zh-CN"/>
        </w:rPr>
        <w:t>(-5.68</w:t>
      </w:r>
      <w:r>
        <w:rPr>
          <w:rFonts w:hint="eastAsia"/>
          <w:color w:val="00B050"/>
          <w:lang w:val="en-US" w:eastAsia="zh-CN"/>
        </w:rPr>
        <w:t>%</w:t>
      </w:r>
      <w:r>
        <w:rPr>
          <w:rFonts w:hint="default"/>
          <w:color w:val="00B050"/>
          <w:lang w:val="en-US" w:eastAsia="zh-CN"/>
        </w:rPr>
        <w:t>)</w:t>
      </w:r>
      <w:r>
        <w:rPr>
          <w:rFonts w:hint="eastAsia"/>
          <w:color w:val="00B050"/>
          <w:lang w:val="en-US" w:eastAsia="zh-CN"/>
        </w:rPr>
        <w:t>、</w:t>
      </w:r>
      <w:r>
        <w:rPr>
          <w:rFonts w:hint="eastAsia"/>
          <w:strike/>
          <w:dstrike w:val="0"/>
          <w:color w:val="00B050"/>
          <w:lang w:val="en-US" w:eastAsia="zh-CN"/>
        </w:rPr>
        <w:t>片仔癀</w:t>
      </w:r>
      <w:r>
        <w:rPr>
          <w:rFonts w:hint="default"/>
          <w:strike/>
          <w:dstrike w:val="0"/>
          <w:color w:val="00B050"/>
          <w:lang w:val="en-US" w:eastAsia="zh-CN"/>
        </w:rPr>
        <w:t>(-1.62%)</w:t>
      </w:r>
      <w:r>
        <w:rPr>
          <w:rFonts w:hint="eastAsia"/>
          <w:color w:val="FF0000"/>
          <w:lang w:val="en-US" w:eastAsia="zh-CN"/>
        </w:rPr>
        <w:t>、</w:t>
      </w:r>
      <w:r>
        <w:rPr>
          <w:rFonts w:hint="eastAsia"/>
          <w:color w:val="00B050"/>
          <w:lang w:val="en-US" w:eastAsia="zh-CN"/>
        </w:rPr>
        <w:t>恒立液压</w:t>
      </w:r>
      <w:r>
        <w:rPr>
          <w:rFonts w:hint="default"/>
          <w:color w:val="00B050"/>
          <w:lang w:val="en-US" w:eastAsia="zh-CN"/>
        </w:rPr>
        <w:t>(-3.17%)</w:t>
      </w:r>
      <w:r>
        <w:rPr>
          <w:rFonts w:hint="eastAsia"/>
          <w:color w:val="00B050"/>
          <w:lang w:val="en-US" w:eastAsia="zh-CN"/>
        </w:rPr>
        <w:t>、</w:t>
      </w:r>
      <w:r>
        <w:rPr>
          <w:rFonts w:hint="eastAsia"/>
          <w:strike/>
          <w:dstrike w:val="0"/>
          <w:color w:val="00B050"/>
          <w:lang w:val="en-US" w:eastAsia="zh-CN"/>
        </w:rPr>
        <w:t>涪陵榨菜</w:t>
      </w:r>
      <w:r>
        <w:rPr>
          <w:rFonts w:hint="default"/>
          <w:strike/>
          <w:dstrike w:val="0"/>
          <w:color w:val="00B050"/>
          <w:lang w:val="en-US" w:eastAsia="zh-CN"/>
        </w:rPr>
        <w:t>(-5.45%)</w:t>
      </w:r>
    </w:p>
    <w:p>
      <w:pPr>
        <w:spacing w:line="240" w:lineRule="auto"/>
        <w:rPr>
          <w:rFonts w:hint="default"/>
          <w:color w:val="FF0000"/>
          <w:lang w:val="en-US" w:eastAsia="zh-CN"/>
        </w:rPr>
      </w:pPr>
    </w:p>
    <w:p>
      <w:pPr>
        <w:spacing w:line="240" w:lineRule="auto"/>
        <w:rPr>
          <w:rFonts w:hint="eastAsia"/>
          <w:color w:val="auto"/>
          <w:lang w:val="en-US" w:eastAsia="zh-CN"/>
        </w:rPr>
      </w:pPr>
      <w:r>
        <w:rPr>
          <w:rFonts w:hint="default"/>
          <w:color w:val="auto"/>
          <w:lang w:val="en-US" w:eastAsia="zh-CN"/>
        </w:rPr>
        <w:t>10-22</w:t>
      </w:r>
      <w:r>
        <w:rPr>
          <w:rFonts w:hint="eastAsia"/>
          <w:color w:val="auto"/>
          <w:lang w:val="en-US" w:eastAsia="zh-CN"/>
        </w:rPr>
        <w:t>日关注股票：</w:t>
      </w:r>
    </w:p>
    <w:p>
      <w:pPr>
        <w:spacing w:line="240" w:lineRule="auto"/>
        <w:rPr>
          <w:rFonts w:hint="default"/>
          <w:strike/>
          <w:dstrike w:val="0"/>
          <w:color w:val="00B050"/>
          <w:lang w:val="en-US" w:eastAsia="zh-CN"/>
        </w:rPr>
      </w:pPr>
      <w:r>
        <w:rPr>
          <w:rFonts w:hint="eastAsia"/>
          <w:strike/>
          <w:dstrike w:val="0"/>
          <w:color w:val="00B050"/>
          <w:lang w:val="en-US" w:eastAsia="zh-CN"/>
        </w:rPr>
        <w:t>群兴玩具</w:t>
      </w:r>
      <w:r>
        <w:rPr>
          <w:rFonts w:hint="default"/>
          <w:strike/>
          <w:dstrike w:val="0"/>
          <w:color w:val="00B050"/>
          <w:lang w:val="en-US" w:eastAsia="zh-CN"/>
        </w:rPr>
        <w:t>(-6.70%)</w:t>
      </w:r>
      <w:r>
        <w:rPr>
          <w:rFonts w:hint="eastAsia"/>
          <w:color w:val="FF0000"/>
          <w:lang w:val="en-US" w:eastAsia="zh-CN"/>
        </w:rPr>
        <w:t>、</w:t>
      </w:r>
      <w:r>
        <w:rPr>
          <w:rFonts w:hint="eastAsia"/>
          <w:color w:val="00B050"/>
          <w:lang w:val="en-US" w:eastAsia="zh-CN"/>
        </w:rPr>
        <w:t>乔治白</w:t>
      </w:r>
      <w:r>
        <w:rPr>
          <w:rFonts w:hint="default"/>
          <w:color w:val="00B050"/>
          <w:lang w:val="en-US" w:eastAsia="zh-CN"/>
        </w:rPr>
        <w:t>(-0.15%%)</w:t>
      </w:r>
      <w:r>
        <w:rPr>
          <w:rFonts w:hint="eastAsia"/>
          <w:color w:val="FF0000"/>
          <w:lang w:val="en-US" w:eastAsia="zh-CN"/>
        </w:rPr>
        <w:t>、</w:t>
      </w:r>
      <w:r>
        <w:rPr>
          <w:rFonts w:hint="eastAsia"/>
          <w:strike/>
          <w:dstrike w:val="0"/>
          <w:color w:val="00B050"/>
          <w:lang w:val="en-US" w:eastAsia="zh-CN"/>
        </w:rPr>
        <w:t>凤形股份</w:t>
      </w:r>
      <w:r>
        <w:rPr>
          <w:rFonts w:hint="default"/>
          <w:strike/>
          <w:dstrike w:val="0"/>
          <w:color w:val="00B050"/>
          <w:lang w:val="en-US" w:eastAsia="zh-CN"/>
        </w:rPr>
        <w:t>(-3.13%)</w:t>
      </w:r>
      <w:r>
        <w:rPr>
          <w:rFonts w:hint="eastAsia"/>
          <w:strike/>
          <w:dstrike w:val="0"/>
          <w:color w:val="00B050"/>
          <w:lang w:val="en-US" w:eastAsia="zh-CN"/>
        </w:rPr>
        <w:t>、商业城</w:t>
      </w:r>
      <w:r>
        <w:rPr>
          <w:rFonts w:hint="default"/>
          <w:strike/>
          <w:dstrike w:val="0"/>
          <w:color w:val="00B050"/>
          <w:lang w:val="en-US" w:eastAsia="zh-CN"/>
        </w:rPr>
        <w:t>(-1.10%)</w:t>
      </w:r>
      <w:r>
        <w:rPr>
          <w:rFonts w:hint="default"/>
          <w:color w:val="00B050"/>
          <w:lang w:val="en-US" w:eastAsia="zh-CN"/>
        </w:rPr>
        <w:t xml:space="preserve"> </w:t>
      </w:r>
      <w:r>
        <w:rPr>
          <w:rFonts w:hint="default"/>
          <w:color w:val="auto"/>
          <w:lang w:val="en-US" w:eastAsia="zh-CN"/>
        </w:rPr>
        <w:t xml:space="preserve"> </w:t>
      </w:r>
      <w:r>
        <w:rPr>
          <w:rFonts w:hint="eastAsia"/>
          <w:color w:val="auto"/>
          <w:lang w:val="en-US" w:eastAsia="zh-CN"/>
        </w:rPr>
        <w:t>、</w:t>
      </w:r>
      <w:r>
        <w:rPr>
          <w:rFonts w:hint="eastAsia"/>
          <w:strike/>
          <w:dstrike w:val="0"/>
          <w:color w:val="00B050"/>
          <w:lang w:val="en-US" w:eastAsia="zh-CN"/>
        </w:rPr>
        <w:t>恒顺醋业</w:t>
      </w:r>
      <w:r>
        <w:rPr>
          <w:rFonts w:hint="default"/>
          <w:strike/>
          <w:dstrike w:val="0"/>
          <w:color w:val="00B050"/>
          <w:lang w:val="en-US" w:eastAsia="zh-CN"/>
        </w:rPr>
        <w:t>(-0.91%)</w:t>
      </w:r>
    </w:p>
    <w:p>
      <w:pPr>
        <w:spacing w:line="240" w:lineRule="auto"/>
        <w:rPr>
          <w:rFonts w:hint="default"/>
          <w:color w:val="auto"/>
          <w:lang w:val="en-US" w:eastAsia="zh-CN"/>
        </w:rPr>
      </w:pPr>
    </w:p>
    <w:p>
      <w:pPr>
        <w:spacing w:line="240" w:lineRule="auto"/>
        <w:rPr>
          <w:rFonts w:hint="eastAsia"/>
          <w:color w:val="auto"/>
          <w:lang w:val="en-US" w:eastAsia="zh-CN"/>
        </w:rPr>
      </w:pPr>
      <w:r>
        <w:rPr>
          <w:rFonts w:hint="eastAsia"/>
          <w:color w:val="auto"/>
          <w:lang w:val="en-US" w:eastAsia="zh-CN"/>
        </w:rPr>
        <w:t>10-23日关注股票</w:t>
      </w:r>
    </w:p>
    <w:p>
      <w:pPr>
        <w:spacing w:line="240" w:lineRule="auto"/>
        <w:rPr>
          <w:rFonts w:hint="eastAsia"/>
          <w:color w:val="FF0000"/>
          <w:lang w:val="en-US" w:eastAsia="zh-CN"/>
        </w:rPr>
      </w:pPr>
      <w:r>
        <w:rPr>
          <w:rFonts w:hint="eastAsia"/>
          <w:color w:val="FF0000"/>
          <w:lang w:val="en-US" w:eastAsia="zh-CN"/>
        </w:rPr>
        <w:t>斯太尔（</w:t>
      </w:r>
      <w:r>
        <w:rPr>
          <w:rFonts w:hint="default"/>
          <w:color w:val="FF0000"/>
          <w:lang w:val="en-US" w:eastAsia="zh-CN"/>
        </w:rPr>
        <w:t>+1.47</w:t>
      </w:r>
      <w:r>
        <w:rPr>
          <w:rFonts w:hint="eastAsia"/>
          <w:color w:val="FF0000"/>
          <w:lang w:val="en-US" w:eastAsia="zh-CN"/>
        </w:rPr>
        <w:t>%）</w:t>
      </w:r>
    </w:p>
    <w:p>
      <w:pPr>
        <w:spacing w:line="240" w:lineRule="auto"/>
        <w:rPr>
          <w:rFonts w:hint="eastAsia"/>
          <w:color w:val="FF0000"/>
          <w:lang w:val="en-US" w:eastAsia="zh-CN"/>
        </w:rPr>
      </w:pPr>
    </w:p>
    <w:p>
      <w:pPr>
        <w:spacing w:line="240" w:lineRule="auto"/>
        <w:rPr>
          <w:rFonts w:hint="eastAsia"/>
          <w:color w:val="auto"/>
          <w:lang w:val="en-US" w:eastAsia="zh-CN"/>
        </w:rPr>
      </w:pPr>
      <w:r>
        <w:rPr>
          <w:rFonts w:hint="default"/>
          <w:color w:val="auto"/>
          <w:lang w:val="en-US" w:eastAsia="zh-CN"/>
        </w:rPr>
        <w:t>10-24</w:t>
      </w:r>
      <w:r>
        <w:rPr>
          <w:rFonts w:hint="eastAsia"/>
          <w:color w:val="auto"/>
          <w:lang w:val="en-US" w:eastAsia="zh-CN"/>
        </w:rPr>
        <w:t>日关注股票</w:t>
      </w:r>
    </w:p>
    <w:p>
      <w:pPr>
        <w:spacing w:line="240" w:lineRule="auto"/>
        <w:rPr>
          <w:rFonts w:hint="eastAsia"/>
          <w:strike/>
          <w:dstrike w:val="0"/>
          <w:color w:val="auto"/>
          <w:lang w:val="en-US" w:eastAsia="zh-CN"/>
        </w:rPr>
      </w:pPr>
      <w:r>
        <w:rPr>
          <w:rFonts w:hint="eastAsia"/>
          <w:strike/>
          <w:dstrike w:val="0"/>
          <w:color w:val="auto"/>
          <w:lang w:val="en-US" w:eastAsia="zh-CN"/>
        </w:rPr>
        <w:t>群兴玩具、乔治白、华资实业、星徽精密、精伦电子、摩恩电气、</w:t>
      </w:r>
    </w:p>
    <w:p>
      <w:pPr>
        <w:spacing w:line="240" w:lineRule="auto"/>
        <w:rPr>
          <w:rFonts w:hint="eastAsia"/>
          <w:strike/>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10-25日关注股票</w:t>
      </w:r>
    </w:p>
    <w:p>
      <w:pPr>
        <w:spacing w:line="240" w:lineRule="auto"/>
        <w:rPr>
          <w:rFonts w:hint="default"/>
          <w:strike w:val="0"/>
          <w:dstrike w:val="0"/>
          <w:color w:val="FF0000"/>
          <w:lang w:val="en-US" w:eastAsia="zh-CN"/>
        </w:rPr>
      </w:pPr>
      <w:r>
        <w:rPr>
          <w:rFonts w:hint="eastAsia"/>
          <w:strike w:val="0"/>
          <w:dstrike w:val="0"/>
          <w:color w:val="FF0000"/>
          <w:lang w:val="en-US" w:eastAsia="zh-CN"/>
        </w:rPr>
        <w:t>康泰药业</w:t>
      </w:r>
      <w:r>
        <w:rPr>
          <w:rFonts w:hint="default"/>
          <w:strike w:val="0"/>
          <w:dstrike w:val="0"/>
          <w:color w:val="FF0000"/>
          <w:lang w:val="en-US" w:eastAsia="zh-CN"/>
        </w:rPr>
        <w:t>(+0.75%)</w:t>
      </w:r>
    </w:p>
    <w:p>
      <w:pPr>
        <w:spacing w:line="240" w:lineRule="auto"/>
        <w:rPr>
          <w:rFonts w:hint="eastAsia"/>
          <w:strike w:val="0"/>
          <w:dstrike w:val="0"/>
          <w:color w:val="auto"/>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413"/>
    <w:rsid w:val="004D4197"/>
    <w:rsid w:val="0052221C"/>
    <w:rsid w:val="006764BA"/>
    <w:rsid w:val="00697FC3"/>
    <w:rsid w:val="00901FB1"/>
    <w:rsid w:val="00C11855"/>
    <w:rsid w:val="01056385"/>
    <w:rsid w:val="014F3B92"/>
    <w:rsid w:val="0152242D"/>
    <w:rsid w:val="01647B7E"/>
    <w:rsid w:val="017B05B5"/>
    <w:rsid w:val="01977FEF"/>
    <w:rsid w:val="0202356D"/>
    <w:rsid w:val="02450328"/>
    <w:rsid w:val="026A4625"/>
    <w:rsid w:val="026C250E"/>
    <w:rsid w:val="02840E6B"/>
    <w:rsid w:val="02873DC1"/>
    <w:rsid w:val="0293307A"/>
    <w:rsid w:val="029B43B0"/>
    <w:rsid w:val="029F1E5F"/>
    <w:rsid w:val="02D8702F"/>
    <w:rsid w:val="02EA5F6C"/>
    <w:rsid w:val="03217E12"/>
    <w:rsid w:val="033B014F"/>
    <w:rsid w:val="03D77D11"/>
    <w:rsid w:val="03DA5A87"/>
    <w:rsid w:val="03DD087F"/>
    <w:rsid w:val="04220426"/>
    <w:rsid w:val="044D03F6"/>
    <w:rsid w:val="04525AAA"/>
    <w:rsid w:val="04744B22"/>
    <w:rsid w:val="04A641E4"/>
    <w:rsid w:val="04AF28FE"/>
    <w:rsid w:val="04CE0549"/>
    <w:rsid w:val="04F5092B"/>
    <w:rsid w:val="05016A5F"/>
    <w:rsid w:val="051801EF"/>
    <w:rsid w:val="05224B2F"/>
    <w:rsid w:val="05367AD1"/>
    <w:rsid w:val="0563041F"/>
    <w:rsid w:val="056D0B52"/>
    <w:rsid w:val="05727E27"/>
    <w:rsid w:val="057E173A"/>
    <w:rsid w:val="058E3BE7"/>
    <w:rsid w:val="059F2277"/>
    <w:rsid w:val="05D61E65"/>
    <w:rsid w:val="05DB0C89"/>
    <w:rsid w:val="05F42636"/>
    <w:rsid w:val="06253556"/>
    <w:rsid w:val="062D1854"/>
    <w:rsid w:val="062F1F01"/>
    <w:rsid w:val="066107E1"/>
    <w:rsid w:val="066C601E"/>
    <w:rsid w:val="067A6AFF"/>
    <w:rsid w:val="06B03E2C"/>
    <w:rsid w:val="06C47C16"/>
    <w:rsid w:val="06D30ADE"/>
    <w:rsid w:val="070A6F35"/>
    <w:rsid w:val="075B55B8"/>
    <w:rsid w:val="078270AF"/>
    <w:rsid w:val="07945E37"/>
    <w:rsid w:val="07DB23C7"/>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B7917"/>
    <w:rsid w:val="094F49CA"/>
    <w:rsid w:val="09740E46"/>
    <w:rsid w:val="097A36CE"/>
    <w:rsid w:val="098C590A"/>
    <w:rsid w:val="09C162DD"/>
    <w:rsid w:val="09C3792A"/>
    <w:rsid w:val="09D47958"/>
    <w:rsid w:val="0A2C5CA0"/>
    <w:rsid w:val="0A400DBB"/>
    <w:rsid w:val="0A5C746A"/>
    <w:rsid w:val="0A647BE1"/>
    <w:rsid w:val="0A895E24"/>
    <w:rsid w:val="0A8F079E"/>
    <w:rsid w:val="0A9A7F0F"/>
    <w:rsid w:val="0ACC444A"/>
    <w:rsid w:val="0AD31BA2"/>
    <w:rsid w:val="0B034842"/>
    <w:rsid w:val="0B0E0B30"/>
    <w:rsid w:val="0B264614"/>
    <w:rsid w:val="0B543CA0"/>
    <w:rsid w:val="0B5F4434"/>
    <w:rsid w:val="0B75475E"/>
    <w:rsid w:val="0BA85F8D"/>
    <w:rsid w:val="0BF86B96"/>
    <w:rsid w:val="0C1A48EA"/>
    <w:rsid w:val="0C212C19"/>
    <w:rsid w:val="0C2D340E"/>
    <w:rsid w:val="0C3F4D9B"/>
    <w:rsid w:val="0C6E045E"/>
    <w:rsid w:val="0C76654E"/>
    <w:rsid w:val="0C880409"/>
    <w:rsid w:val="0CAA6A0A"/>
    <w:rsid w:val="0CB44896"/>
    <w:rsid w:val="0CD013FA"/>
    <w:rsid w:val="0CE272BE"/>
    <w:rsid w:val="0D2627E2"/>
    <w:rsid w:val="0D275AA8"/>
    <w:rsid w:val="0D441CB0"/>
    <w:rsid w:val="0D4C6DF5"/>
    <w:rsid w:val="0D5669F9"/>
    <w:rsid w:val="0D5A65C9"/>
    <w:rsid w:val="0D5E2687"/>
    <w:rsid w:val="0D6D7C9B"/>
    <w:rsid w:val="0D773D75"/>
    <w:rsid w:val="0D7E4FD5"/>
    <w:rsid w:val="0DBA54E4"/>
    <w:rsid w:val="0DE62585"/>
    <w:rsid w:val="0E0A098D"/>
    <w:rsid w:val="0E43440D"/>
    <w:rsid w:val="0E6924DC"/>
    <w:rsid w:val="0E921C32"/>
    <w:rsid w:val="0EA12E00"/>
    <w:rsid w:val="0EC71C3E"/>
    <w:rsid w:val="0EDE708A"/>
    <w:rsid w:val="0F305A06"/>
    <w:rsid w:val="0F5A3C27"/>
    <w:rsid w:val="0F905F80"/>
    <w:rsid w:val="0F9718D9"/>
    <w:rsid w:val="0FE75D85"/>
    <w:rsid w:val="0FEC709E"/>
    <w:rsid w:val="100B14A3"/>
    <w:rsid w:val="10214A7C"/>
    <w:rsid w:val="10295D8E"/>
    <w:rsid w:val="10603BF4"/>
    <w:rsid w:val="106415C5"/>
    <w:rsid w:val="10766EF7"/>
    <w:rsid w:val="10771EFF"/>
    <w:rsid w:val="107A0C96"/>
    <w:rsid w:val="108E1355"/>
    <w:rsid w:val="10F71086"/>
    <w:rsid w:val="10FF109F"/>
    <w:rsid w:val="110D2812"/>
    <w:rsid w:val="110F72C1"/>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430B4B"/>
    <w:rsid w:val="13626263"/>
    <w:rsid w:val="136F1A34"/>
    <w:rsid w:val="137E241C"/>
    <w:rsid w:val="138B4200"/>
    <w:rsid w:val="13CA5C4D"/>
    <w:rsid w:val="13D552EC"/>
    <w:rsid w:val="13EE15FA"/>
    <w:rsid w:val="14244DD5"/>
    <w:rsid w:val="14712FB7"/>
    <w:rsid w:val="14816B5F"/>
    <w:rsid w:val="14AA0805"/>
    <w:rsid w:val="14B72178"/>
    <w:rsid w:val="14C0137C"/>
    <w:rsid w:val="14EA5225"/>
    <w:rsid w:val="15120F09"/>
    <w:rsid w:val="15270E26"/>
    <w:rsid w:val="15325154"/>
    <w:rsid w:val="157113EA"/>
    <w:rsid w:val="157C53E9"/>
    <w:rsid w:val="157F1CD1"/>
    <w:rsid w:val="15993577"/>
    <w:rsid w:val="159F78B9"/>
    <w:rsid w:val="15A0313A"/>
    <w:rsid w:val="15F10798"/>
    <w:rsid w:val="15F51D1C"/>
    <w:rsid w:val="160659D5"/>
    <w:rsid w:val="160B115C"/>
    <w:rsid w:val="163E0050"/>
    <w:rsid w:val="1640732D"/>
    <w:rsid w:val="16430633"/>
    <w:rsid w:val="167B04FF"/>
    <w:rsid w:val="16A56FB2"/>
    <w:rsid w:val="16BF0588"/>
    <w:rsid w:val="16BF1790"/>
    <w:rsid w:val="16C64BFD"/>
    <w:rsid w:val="16D84322"/>
    <w:rsid w:val="17007DC5"/>
    <w:rsid w:val="17026F67"/>
    <w:rsid w:val="17186B97"/>
    <w:rsid w:val="171F7A92"/>
    <w:rsid w:val="174E190C"/>
    <w:rsid w:val="17816124"/>
    <w:rsid w:val="17821E79"/>
    <w:rsid w:val="179842AB"/>
    <w:rsid w:val="17C32C1C"/>
    <w:rsid w:val="17C42329"/>
    <w:rsid w:val="18130587"/>
    <w:rsid w:val="1824019C"/>
    <w:rsid w:val="18587284"/>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6B657D"/>
    <w:rsid w:val="1A815BD3"/>
    <w:rsid w:val="1A8B02F0"/>
    <w:rsid w:val="1ABA7984"/>
    <w:rsid w:val="1ACB3375"/>
    <w:rsid w:val="1AD9601A"/>
    <w:rsid w:val="1B4367F4"/>
    <w:rsid w:val="1B5C2C5D"/>
    <w:rsid w:val="1B747074"/>
    <w:rsid w:val="1B9149EE"/>
    <w:rsid w:val="1B944CB1"/>
    <w:rsid w:val="1B9E6861"/>
    <w:rsid w:val="1BCC552D"/>
    <w:rsid w:val="1BD2095A"/>
    <w:rsid w:val="1BDB4AD2"/>
    <w:rsid w:val="1BDD3CBF"/>
    <w:rsid w:val="1C036B4B"/>
    <w:rsid w:val="1C044CFD"/>
    <w:rsid w:val="1C0C4EF8"/>
    <w:rsid w:val="1C104715"/>
    <w:rsid w:val="1C47333D"/>
    <w:rsid w:val="1C504041"/>
    <w:rsid w:val="1C6F6DE4"/>
    <w:rsid w:val="1C825F0A"/>
    <w:rsid w:val="1CA519D5"/>
    <w:rsid w:val="1CB0205B"/>
    <w:rsid w:val="1D0D6955"/>
    <w:rsid w:val="1D1046F8"/>
    <w:rsid w:val="1D2B026D"/>
    <w:rsid w:val="1D3578F8"/>
    <w:rsid w:val="1D5F1195"/>
    <w:rsid w:val="1D7C27F7"/>
    <w:rsid w:val="1D88197B"/>
    <w:rsid w:val="1D8F1E02"/>
    <w:rsid w:val="1D9B3CAA"/>
    <w:rsid w:val="1D9C1A16"/>
    <w:rsid w:val="1D9F5997"/>
    <w:rsid w:val="1DBF12C0"/>
    <w:rsid w:val="1DD60858"/>
    <w:rsid w:val="1DE368CE"/>
    <w:rsid w:val="1DFE763D"/>
    <w:rsid w:val="1E066BFD"/>
    <w:rsid w:val="1E716A79"/>
    <w:rsid w:val="1EAC0280"/>
    <w:rsid w:val="1EC44101"/>
    <w:rsid w:val="1EF13AE1"/>
    <w:rsid w:val="1F0E46A0"/>
    <w:rsid w:val="1F0F507B"/>
    <w:rsid w:val="1F280B33"/>
    <w:rsid w:val="1F5B3F83"/>
    <w:rsid w:val="1F5E07AC"/>
    <w:rsid w:val="1F6B3A55"/>
    <w:rsid w:val="1FB005B5"/>
    <w:rsid w:val="1FD239CE"/>
    <w:rsid w:val="1FFB7524"/>
    <w:rsid w:val="2017413E"/>
    <w:rsid w:val="202F2459"/>
    <w:rsid w:val="203568E0"/>
    <w:rsid w:val="204C06AD"/>
    <w:rsid w:val="2094409D"/>
    <w:rsid w:val="20BF12E3"/>
    <w:rsid w:val="210B33AA"/>
    <w:rsid w:val="211018D5"/>
    <w:rsid w:val="211853CD"/>
    <w:rsid w:val="212267F3"/>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B6D0C"/>
    <w:rsid w:val="23020B57"/>
    <w:rsid w:val="2348188E"/>
    <w:rsid w:val="2369588F"/>
    <w:rsid w:val="23887625"/>
    <w:rsid w:val="23930482"/>
    <w:rsid w:val="23A22F3C"/>
    <w:rsid w:val="23C920C1"/>
    <w:rsid w:val="23D55828"/>
    <w:rsid w:val="24134497"/>
    <w:rsid w:val="241C417A"/>
    <w:rsid w:val="24680AE8"/>
    <w:rsid w:val="2491482B"/>
    <w:rsid w:val="249433B6"/>
    <w:rsid w:val="24944D34"/>
    <w:rsid w:val="24967AC6"/>
    <w:rsid w:val="24BD1222"/>
    <w:rsid w:val="24D421CB"/>
    <w:rsid w:val="24D4787D"/>
    <w:rsid w:val="24DE5BF2"/>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5B3762"/>
    <w:rsid w:val="26745E1B"/>
    <w:rsid w:val="267C0312"/>
    <w:rsid w:val="269B26E9"/>
    <w:rsid w:val="26A57A65"/>
    <w:rsid w:val="26D85EDD"/>
    <w:rsid w:val="271E441C"/>
    <w:rsid w:val="2721255F"/>
    <w:rsid w:val="275C3451"/>
    <w:rsid w:val="27706349"/>
    <w:rsid w:val="277978A5"/>
    <w:rsid w:val="27C73D38"/>
    <w:rsid w:val="27D6481D"/>
    <w:rsid w:val="27E60AEC"/>
    <w:rsid w:val="27E92A96"/>
    <w:rsid w:val="28022CC6"/>
    <w:rsid w:val="281A5848"/>
    <w:rsid w:val="28411F49"/>
    <w:rsid w:val="284E2E6C"/>
    <w:rsid w:val="28DA7E14"/>
    <w:rsid w:val="28DC7F94"/>
    <w:rsid w:val="28E20191"/>
    <w:rsid w:val="29032593"/>
    <w:rsid w:val="291B5B6D"/>
    <w:rsid w:val="29283595"/>
    <w:rsid w:val="29384755"/>
    <w:rsid w:val="29474E9E"/>
    <w:rsid w:val="29901482"/>
    <w:rsid w:val="29F35878"/>
    <w:rsid w:val="2A0744E4"/>
    <w:rsid w:val="2A220264"/>
    <w:rsid w:val="2A285457"/>
    <w:rsid w:val="2A3B4EF0"/>
    <w:rsid w:val="2A575882"/>
    <w:rsid w:val="2A665B39"/>
    <w:rsid w:val="2A7B42A5"/>
    <w:rsid w:val="2A802D8A"/>
    <w:rsid w:val="2AA004C2"/>
    <w:rsid w:val="2AAF3433"/>
    <w:rsid w:val="2AD01279"/>
    <w:rsid w:val="2B021229"/>
    <w:rsid w:val="2B151C54"/>
    <w:rsid w:val="2B2209DE"/>
    <w:rsid w:val="2B3137EA"/>
    <w:rsid w:val="2B3570BB"/>
    <w:rsid w:val="2B613F8A"/>
    <w:rsid w:val="2B715FF9"/>
    <w:rsid w:val="2B7C2469"/>
    <w:rsid w:val="2B8667B4"/>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9E4763"/>
    <w:rsid w:val="2DA45761"/>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B8673A"/>
    <w:rsid w:val="2FC1718F"/>
    <w:rsid w:val="2FD53C66"/>
    <w:rsid w:val="2FD57AE6"/>
    <w:rsid w:val="2FE32137"/>
    <w:rsid w:val="300D1A47"/>
    <w:rsid w:val="302A76D8"/>
    <w:rsid w:val="30325457"/>
    <w:rsid w:val="307642F8"/>
    <w:rsid w:val="307C2FD5"/>
    <w:rsid w:val="308472ED"/>
    <w:rsid w:val="308927E7"/>
    <w:rsid w:val="30D22C4D"/>
    <w:rsid w:val="30D824CE"/>
    <w:rsid w:val="30E8604C"/>
    <w:rsid w:val="313919B9"/>
    <w:rsid w:val="31832045"/>
    <w:rsid w:val="318A56D9"/>
    <w:rsid w:val="31980BDD"/>
    <w:rsid w:val="31BC324A"/>
    <w:rsid w:val="31DD1A19"/>
    <w:rsid w:val="31E32CEF"/>
    <w:rsid w:val="322319DA"/>
    <w:rsid w:val="322E6F2F"/>
    <w:rsid w:val="32473ADF"/>
    <w:rsid w:val="32A068E9"/>
    <w:rsid w:val="32A23292"/>
    <w:rsid w:val="32CB7E65"/>
    <w:rsid w:val="32DC06BB"/>
    <w:rsid w:val="330B75BD"/>
    <w:rsid w:val="33524A45"/>
    <w:rsid w:val="33696B21"/>
    <w:rsid w:val="33AF76FE"/>
    <w:rsid w:val="34132FF2"/>
    <w:rsid w:val="3471300F"/>
    <w:rsid w:val="34B775B2"/>
    <w:rsid w:val="34E038B6"/>
    <w:rsid w:val="34E30F0F"/>
    <w:rsid w:val="34F01269"/>
    <w:rsid w:val="351241C6"/>
    <w:rsid w:val="351F02B8"/>
    <w:rsid w:val="35480EDF"/>
    <w:rsid w:val="35686F69"/>
    <w:rsid w:val="35687EBB"/>
    <w:rsid w:val="35784769"/>
    <w:rsid w:val="35860DD5"/>
    <w:rsid w:val="358D7A7B"/>
    <w:rsid w:val="35923A51"/>
    <w:rsid w:val="359A3107"/>
    <w:rsid w:val="3611115D"/>
    <w:rsid w:val="361D0887"/>
    <w:rsid w:val="365506E1"/>
    <w:rsid w:val="36824A32"/>
    <w:rsid w:val="36974B8F"/>
    <w:rsid w:val="369B37BE"/>
    <w:rsid w:val="36A52223"/>
    <w:rsid w:val="36AD1C73"/>
    <w:rsid w:val="36B409CC"/>
    <w:rsid w:val="36CC20D7"/>
    <w:rsid w:val="36D2199E"/>
    <w:rsid w:val="36D70FE7"/>
    <w:rsid w:val="36DC2A3B"/>
    <w:rsid w:val="36DF2AB3"/>
    <w:rsid w:val="36E07DEB"/>
    <w:rsid w:val="36EA511D"/>
    <w:rsid w:val="36F44D99"/>
    <w:rsid w:val="36F70883"/>
    <w:rsid w:val="371C5979"/>
    <w:rsid w:val="37370121"/>
    <w:rsid w:val="373B4262"/>
    <w:rsid w:val="37866BA0"/>
    <w:rsid w:val="37D65746"/>
    <w:rsid w:val="37ED3EEE"/>
    <w:rsid w:val="382E3032"/>
    <w:rsid w:val="38574525"/>
    <w:rsid w:val="38650B7B"/>
    <w:rsid w:val="386C42FF"/>
    <w:rsid w:val="387306D3"/>
    <w:rsid w:val="38753B9D"/>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D049E4"/>
    <w:rsid w:val="39DD1FC0"/>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4A3954"/>
    <w:rsid w:val="3B5318A0"/>
    <w:rsid w:val="3B6B5381"/>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9F1451"/>
    <w:rsid w:val="3CA5557B"/>
    <w:rsid w:val="3CAC1A05"/>
    <w:rsid w:val="3CBF2113"/>
    <w:rsid w:val="3CC5059F"/>
    <w:rsid w:val="3CCC0811"/>
    <w:rsid w:val="3CE109FF"/>
    <w:rsid w:val="3CF6320B"/>
    <w:rsid w:val="3D4D2885"/>
    <w:rsid w:val="3D501F86"/>
    <w:rsid w:val="3D6C7970"/>
    <w:rsid w:val="3D8524B9"/>
    <w:rsid w:val="3DCC6E48"/>
    <w:rsid w:val="3E341AE6"/>
    <w:rsid w:val="3E51379D"/>
    <w:rsid w:val="3E721BE4"/>
    <w:rsid w:val="3E795D46"/>
    <w:rsid w:val="3EBD4C84"/>
    <w:rsid w:val="3EBD5746"/>
    <w:rsid w:val="3EC40A9D"/>
    <w:rsid w:val="3ECD0A86"/>
    <w:rsid w:val="3F126C25"/>
    <w:rsid w:val="3F2E1884"/>
    <w:rsid w:val="3F406847"/>
    <w:rsid w:val="3F486D14"/>
    <w:rsid w:val="3F8B38F8"/>
    <w:rsid w:val="3F911160"/>
    <w:rsid w:val="3FB60A8F"/>
    <w:rsid w:val="3FD50823"/>
    <w:rsid w:val="3FE57A37"/>
    <w:rsid w:val="3FE6620E"/>
    <w:rsid w:val="40190984"/>
    <w:rsid w:val="402D5AAC"/>
    <w:rsid w:val="40923A38"/>
    <w:rsid w:val="409F62B0"/>
    <w:rsid w:val="40AC35A1"/>
    <w:rsid w:val="40BF28FF"/>
    <w:rsid w:val="41161BA3"/>
    <w:rsid w:val="41251ED8"/>
    <w:rsid w:val="414D1A11"/>
    <w:rsid w:val="41541E79"/>
    <w:rsid w:val="415E5EAB"/>
    <w:rsid w:val="417437BF"/>
    <w:rsid w:val="419B28D7"/>
    <w:rsid w:val="41C6087A"/>
    <w:rsid w:val="41E106C4"/>
    <w:rsid w:val="41F72304"/>
    <w:rsid w:val="422725DC"/>
    <w:rsid w:val="422C4743"/>
    <w:rsid w:val="42464C1F"/>
    <w:rsid w:val="42647007"/>
    <w:rsid w:val="42927BEF"/>
    <w:rsid w:val="42A261A9"/>
    <w:rsid w:val="42F01A2C"/>
    <w:rsid w:val="430272B9"/>
    <w:rsid w:val="433567C5"/>
    <w:rsid w:val="43437508"/>
    <w:rsid w:val="4369441A"/>
    <w:rsid w:val="43715ACD"/>
    <w:rsid w:val="43A728DB"/>
    <w:rsid w:val="43B64B82"/>
    <w:rsid w:val="43CC220E"/>
    <w:rsid w:val="43EC4DB0"/>
    <w:rsid w:val="43F35274"/>
    <w:rsid w:val="43FD6BD7"/>
    <w:rsid w:val="44133473"/>
    <w:rsid w:val="444A0646"/>
    <w:rsid w:val="445143F6"/>
    <w:rsid w:val="44515A1D"/>
    <w:rsid w:val="44AF6F90"/>
    <w:rsid w:val="44D4142E"/>
    <w:rsid w:val="44D54043"/>
    <w:rsid w:val="452A40ED"/>
    <w:rsid w:val="454A7BD2"/>
    <w:rsid w:val="459A5AE0"/>
    <w:rsid w:val="45A71986"/>
    <w:rsid w:val="45B2417A"/>
    <w:rsid w:val="45D05C04"/>
    <w:rsid w:val="46792153"/>
    <w:rsid w:val="467A3876"/>
    <w:rsid w:val="473174AB"/>
    <w:rsid w:val="475F2ECF"/>
    <w:rsid w:val="477C7EA2"/>
    <w:rsid w:val="479902B6"/>
    <w:rsid w:val="47DA073E"/>
    <w:rsid w:val="47E41BE3"/>
    <w:rsid w:val="47F628FA"/>
    <w:rsid w:val="48014BE7"/>
    <w:rsid w:val="48651EF8"/>
    <w:rsid w:val="486561CC"/>
    <w:rsid w:val="487333F6"/>
    <w:rsid w:val="48774DFE"/>
    <w:rsid w:val="489A1C79"/>
    <w:rsid w:val="48B03E9F"/>
    <w:rsid w:val="48E00AC5"/>
    <w:rsid w:val="48F55B45"/>
    <w:rsid w:val="4918362D"/>
    <w:rsid w:val="49183BBE"/>
    <w:rsid w:val="491A4ED9"/>
    <w:rsid w:val="49252B13"/>
    <w:rsid w:val="494708E3"/>
    <w:rsid w:val="497C0AAC"/>
    <w:rsid w:val="498216FD"/>
    <w:rsid w:val="499B3E64"/>
    <w:rsid w:val="499E601B"/>
    <w:rsid w:val="49B84D2C"/>
    <w:rsid w:val="49C15343"/>
    <w:rsid w:val="4A0715DF"/>
    <w:rsid w:val="4A192CFD"/>
    <w:rsid w:val="4A262F2E"/>
    <w:rsid w:val="4A306175"/>
    <w:rsid w:val="4A3F15B8"/>
    <w:rsid w:val="4A6B6D2C"/>
    <w:rsid w:val="4A8169BE"/>
    <w:rsid w:val="4A8A3E4B"/>
    <w:rsid w:val="4A9506F7"/>
    <w:rsid w:val="4A986952"/>
    <w:rsid w:val="4AC07187"/>
    <w:rsid w:val="4B176EEC"/>
    <w:rsid w:val="4B2C56D0"/>
    <w:rsid w:val="4B2E2D9C"/>
    <w:rsid w:val="4B5D46DE"/>
    <w:rsid w:val="4B807F14"/>
    <w:rsid w:val="4B935B69"/>
    <w:rsid w:val="4BCD3B4D"/>
    <w:rsid w:val="4BCD7125"/>
    <w:rsid w:val="4BDE1EA4"/>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AF3144"/>
    <w:rsid w:val="4DBE19C2"/>
    <w:rsid w:val="4DC44364"/>
    <w:rsid w:val="4E001CC7"/>
    <w:rsid w:val="4E033A95"/>
    <w:rsid w:val="4E054997"/>
    <w:rsid w:val="4E545DE4"/>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111B63"/>
    <w:rsid w:val="501D1529"/>
    <w:rsid w:val="505A1473"/>
    <w:rsid w:val="507F46AC"/>
    <w:rsid w:val="508F4E81"/>
    <w:rsid w:val="50C47A79"/>
    <w:rsid w:val="50F80D92"/>
    <w:rsid w:val="51064251"/>
    <w:rsid w:val="511D6223"/>
    <w:rsid w:val="51296F56"/>
    <w:rsid w:val="51391C5B"/>
    <w:rsid w:val="51467D32"/>
    <w:rsid w:val="518A531D"/>
    <w:rsid w:val="519F60B2"/>
    <w:rsid w:val="51AE15D4"/>
    <w:rsid w:val="51B95E72"/>
    <w:rsid w:val="51DF03CE"/>
    <w:rsid w:val="51F7052E"/>
    <w:rsid w:val="52347744"/>
    <w:rsid w:val="52393C1D"/>
    <w:rsid w:val="52521A3D"/>
    <w:rsid w:val="52682107"/>
    <w:rsid w:val="52716292"/>
    <w:rsid w:val="527B5F26"/>
    <w:rsid w:val="529F4222"/>
    <w:rsid w:val="52A55CB3"/>
    <w:rsid w:val="52A91F2B"/>
    <w:rsid w:val="52B23FA9"/>
    <w:rsid w:val="52E45DE5"/>
    <w:rsid w:val="52F02C42"/>
    <w:rsid w:val="52FE26CC"/>
    <w:rsid w:val="53195672"/>
    <w:rsid w:val="532845D8"/>
    <w:rsid w:val="535457FD"/>
    <w:rsid w:val="536461D5"/>
    <w:rsid w:val="537940E2"/>
    <w:rsid w:val="538C0DB6"/>
    <w:rsid w:val="53A718BB"/>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E04480"/>
    <w:rsid w:val="572E1DC4"/>
    <w:rsid w:val="573A21E0"/>
    <w:rsid w:val="57751DA1"/>
    <w:rsid w:val="57A976CF"/>
    <w:rsid w:val="57D44AE6"/>
    <w:rsid w:val="57D90E3A"/>
    <w:rsid w:val="58051E72"/>
    <w:rsid w:val="582A524A"/>
    <w:rsid w:val="58535237"/>
    <w:rsid w:val="586D2587"/>
    <w:rsid w:val="587D70BF"/>
    <w:rsid w:val="58845475"/>
    <w:rsid w:val="5889606F"/>
    <w:rsid w:val="589E3082"/>
    <w:rsid w:val="589E51D8"/>
    <w:rsid w:val="58B20FE9"/>
    <w:rsid w:val="58B26326"/>
    <w:rsid w:val="58C13D6E"/>
    <w:rsid w:val="592E6E44"/>
    <w:rsid w:val="5931771A"/>
    <w:rsid w:val="59427279"/>
    <w:rsid w:val="59443F0F"/>
    <w:rsid w:val="594606B0"/>
    <w:rsid w:val="595A4F46"/>
    <w:rsid w:val="595B5C1B"/>
    <w:rsid w:val="595E5DBD"/>
    <w:rsid w:val="597804E9"/>
    <w:rsid w:val="59AA7631"/>
    <w:rsid w:val="59B355A8"/>
    <w:rsid w:val="59CC778D"/>
    <w:rsid w:val="59DC5C31"/>
    <w:rsid w:val="5A1C2B94"/>
    <w:rsid w:val="5A41796E"/>
    <w:rsid w:val="5A447516"/>
    <w:rsid w:val="5A5E660A"/>
    <w:rsid w:val="5A6B2536"/>
    <w:rsid w:val="5A7D7DC9"/>
    <w:rsid w:val="5A870F43"/>
    <w:rsid w:val="5A902353"/>
    <w:rsid w:val="5AC83137"/>
    <w:rsid w:val="5ACB6B07"/>
    <w:rsid w:val="5AED4CE2"/>
    <w:rsid w:val="5AFE4B41"/>
    <w:rsid w:val="5AFE6C9F"/>
    <w:rsid w:val="5AFF2C16"/>
    <w:rsid w:val="5B0A38CB"/>
    <w:rsid w:val="5B61273E"/>
    <w:rsid w:val="5B6E7DE8"/>
    <w:rsid w:val="5B740E56"/>
    <w:rsid w:val="5B901EF3"/>
    <w:rsid w:val="5BA454AF"/>
    <w:rsid w:val="5BD0210D"/>
    <w:rsid w:val="5C256739"/>
    <w:rsid w:val="5C2C016F"/>
    <w:rsid w:val="5C384E29"/>
    <w:rsid w:val="5C3B42D6"/>
    <w:rsid w:val="5C4B7D70"/>
    <w:rsid w:val="5C78176A"/>
    <w:rsid w:val="5C89301D"/>
    <w:rsid w:val="5C91003A"/>
    <w:rsid w:val="5C941E9A"/>
    <w:rsid w:val="5CA65C73"/>
    <w:rsid w:val="5CD45A79"/>
    <w:rsid w:val="5CFD2BAF"/>
    <w:rsid w:val="5D372D3D"/>
    <w:rsid w:val="5D512F5D"/>
    <w:rsid w:val="5DA97C2A"/>
    <w:rsid w:val="5DDB5902"/>
    <w:rsid w:val="5DF904C3"/>
    <w:rsid w:val="5DFD1447"/>
    <w:rsid w:val="5E0619EE"/>
    <w:rsid w:val="5E18530F"/>
    <w:rsid w:val="5E4F212A"/>
    <w:rsid w:val="5E5A6482"/>
    <w:rsid w:val="5E5D519C"/>
    <w:rsid w:val="5E83792B"/>
    <w:rsid w:val="5EB22C18"/>
    <w:rsid w:val="5ECD13E0"/>
    <w:rsid w:val="5EDA5E4B"/>
    <w:rsid w:val="5EE24148"/>
    <w:rsid w:val="5EEF2C72"/>
    <w:rsid w:val="5EFB6652"/>
    <w:rsid w:val="5F113FE6"/>
    <w:rsid w:val="5F1F04B3"/>
    <w:rsid w:val="5F54205E"/>
    <w:rsid w:val="5F5778EA"/>
    <w:rsid w:val="5F7F0FCC"/>
    <w:rsid w:val="5F864151"/>
    <w:rsid w:val="5FA16171"/>
    <w:rsid w:val="5FBE57DC"/>
    <w:rsid w:val="5FDC54B2"/>
    <w:rsid w:val="60290442"/>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3817A6"/>
    <w:rsid w:val="63520053"/>
    <w:rsid w:val="63524BC7"/>
    <w:rsid w:val="636433B8"/>
    <w:rsid w:val="6394008A"/>
    <w:rsid w:val="63A60C4C"/>
    <w:rsid w:val="63D27CE5"/>
    <w:rsid w:val="63DA744D"/>
    <w:rsid w:val="63DF662B"/>
    <w:rsid w:val="63E978AB"/>
    <w:rsid w:val="63F130FF"/>
    <w:rsid w:val="64022E8C"/>
    <w:rsid w:val="640E4306"/>
    <w:rsid w:val="64357186"/>
    <w:rsid w:val="64401FB1"/>
    <w:rsid w:val="644244C6"/>
    <w:rsid w:val="645455F2"/>
    <w:rsid w:val="647C41D5"/>
    <w:rsid w:val="649D4F05"/>
    <w:rsid w:val="64CA54C0"/>
    <w:rsid w:val="64E57549"/>
    <w:rsid w:val="64F41122"/>
    <w:rsid w:val="64FB76F0"/>
    <w:rsid w:val="651057F3"/>
    <w:rsid w:val="651A6DCE"/>
    <w:rsid w:val="65466BDA"/>
    <w:rsid w:val="655E2FF8"/>
    <w:rsid w:val="65753AF2"/>
    <w:rsid w:val="657A5CEE"/>
    <w:rsid w:val="65BA7C51"/>
    <w:rsid w:val="65E21C88"/>
    <w:rsid w:val="661E0E6E"/>
    <w:rsid w:val="6643305A"/>
    <w:rsid w:val="664B0AEB"/>
    <w:rsid w:val="664E6051"/>
    <w:rsid w:val="66721D70"/>
    <w:rsid w:val="66817794"/>
    <w:rsid w:val="670D0ADC"/>
    <w:rsid w:val="672A14EE"/>
    <w:rsid w:val="672A527A"/>
    <w:rsid w:val="674468F2"/>
    <w:rsid w:val="67525CE9"/>
    <w:rsid w:val="67600DEC"/>
    <w:rsid w:val="67694B6F"/>
    <w:rsid w:val="67D46CBE"/>
    <w:rsid w:val="67FB6AF8"/>
    <w:rsid w:val="68273E23"/>
    <w:rsid w:val="683C36CD"/>
    <w:rsid w:val="686C1BB7"/>
    <w:rsid w:val="68717FC0"/>
    <w:rsid w:val="688F28C6"/>
    <w:rsid w:val="689204D6"/>
    <w:rsid w:val="68931A71"/>
    <w:rsid w:val="690C73C1"/>
    <w:rsid w:val="690E470A"/>
    <w:rsid w:val="69145543"/>
    <w:rsid w:val="69455631"/>
    <w:rsid w:val="69511D7C"/>
    <w:rsid w:val="69667239"/>
    <w:rsid w:val="69AF334E"/>
    <w:rsid w:val="69B20BA4"/>
    <w:rsid w:val="69B338D7"/>
    <w:rsid w:val="69D03A62"/>
    <w:rsid w:val="69E61A81"/>
    <w:rsid w:val="6A0B4A62"/>
    <w:rsid w:val="6A272C44"/>
    <w:rsid w:val="6A4A53D9"/>
    <w:rsid w:val="6A4C1F16"/>
    <w:rsid w:val="6A584D82"/>
    <w:rsid w:val="6AC53309"/>
    <w:rsid w:val="6B1D7C10"/>
    <w:rsid w:val="6B326C6E"/>
    <w:rsid w:val="6B5B4C25"/>
    <w:rsid w:val="6B82310F"/>
    <w:rsid w:val="6B9955C4"/>
    <w:rsid w:val="6BA94B6C"/>
    <w:rsid w:val="6BBE23AC"/>
    <w:rsid w:val="6BC9393A"/>
    <w:rsid w:val="6BC965DC"/>
    <w:rsid w:val="6BD05FE0"/>
    <w:rsid w:val="6C15278F"/>
    <w:rsid w:val="6C192C77"/>
    <w:rsid w:val="6C247FF2"/>
    <w:rsid w:val="6C680B1C"/>
    <w:rsid w:val="6C6830AB"/>
    <w:rsid w:val="6CA35071"/>
    <w:rsid w:val="6CAA2244"/>
    <w:rsid w:val="6D176C50"/>
    <w:rsid w:val="6D635ECF"/>
    <w:rsid w:val="6D6B1A32"/>
    <w:rsid w:val="6D830976"/>
    <w:rsid w:val="6D8D1556"/>
    <w:rsid w:val="6D9C47D4"/>
    <w:rsid w:val="6DA878E5"/>
    <w:rsid w:val="6DB3004E"/>
    <w:rsid w:val="6DC64084"/>
    <w:rsid w:val="6DD652A5"/>
    <w:rsid w:val="6DDA18E4"/>
    <w:rsid w:val="6DE31FA4"/>
    <w:rsid w:val="6DEF27A5"/>
    <w:rsid w:val="6DF1004A"/>
    <w:rsid w:val="6DF76419"/>
    <w:rsid w:val="6E2E21AD"/>
    <w:rsid w:val="6E5B527C"/>
    <w:rsid w:val="6E865950"/>
    <w:rsid w:val="6E8B12C4"/>
    <w:rsid w:val="6E921DF4"/>
    <w:rsid w:val="6EA40439"/>
    <w:rsid w:val="6F257E2B"/>
    <w:rsid w:val="6F74384E"/>
    <w:rsid w:val="6F7A1086"/>
    <w:rsid w:val="6F7D30C6"/>
    <w:rsid w:val="6F855C15"/>
    <w:rsid w:val="6FCD5F96"/>
    <w:rsid w:val="6FCD6A80"/>
    <w:rsid w:val="6FDF228C"/>
    <w:rsid w:val="701048BF"/>
    <w:rsid w:val="702A6418"/>
    <w:rsid w:val="70404FC8"/>
    <w:rsid w:val="70425707"/>
    <w:rsid w:val="70644806"/>
    <w:rsid w:val="706A34F7"/>
    <w:rsid w:val="70A44053"/>
    <w:rsid w:val="70B23DA1"/>
    <w:rsid w:val="70D42F6E"/>
    <w:rsid w:val="710B2E1E"/>
    <w:rsid w:val="713B6F9B"/>
    <w:rsid w:val="7198751A"/>
    <w:rsid w:val="71A51555"/>
    <w:rsid w:val="71C56B06"/>
    <w:rsid w:val="71E276CC"/>
    <w:rsid w:val="7209211A"/>
    <w:rsid w:val="729E0354"/>
    <w:rsid w:val="72AA2B05"/>
    <w:rsid w:val="72C546A9"/>
    <w:rsid w:val="72F05E81"/>
    <w:rsid w:val="72FE1849"/>
    <w:rsid w:val="73150265"/>
    <w:rsid w:val="731B7C39"/>
    <w:rsid w:val="733D0A3C"/>
    <w:rsid w:val="734961CD"/>
    <w:rsid w:val="73902F8B"/>
    <w:rsid w:val="73CF37E0"/>
    <w:rsid w:val="73E867D3"/>
    <w:rsid w:val="73F02CE7"/>
    <w:rsid w:val="73F21569"/>
    <w:rsid w:val="7400632C"/>
    <w:rsid w:val="74281E02"/>
    <w:rsid w:val="7453209B"/>
    <w:rsid w:val="746D6EA6"/>
    <w:rsid w:val="74741EC6"/>
    <w:rsid w:val="74794AD2"/>
    <w:rsid w:val="74BE0F07"/>
    <w:rsid w:val="74C9150D"/>
    <w:rsid w:val="74D11297"/>
    <w:rsid w:val="74F77888"/>
    <w:rsid w:val="7503560E"/>
    <w:rsid w:val="755B23F0"/>
    <w:rsid w:val="756441E0"/>
    <w:rsid w:val="759D43E0"/>
    <w:rsid w:val="75A738BE"/>
    <w:rsid w:val="75D13ED7"/>
    <w:rsid w:val="75E354AB"/>
    <w:rsid w:val="75FD0190"/>
    <w:rsid w:val="76001D27"/>
    <w:rsid w:val="76085DC1"/>
    <w:rsid w:val="76270C98"/>
    <w:rsid w:val="762E07D6"/>
    <w:rsid w:val="764D1C84"/>
    <w:rsid w:val="7659795A"/>
    <w:rsid w:val="76635F77"/>
    <w:rsid w:val="76912DA9"/>
    <w:rsid w:val="76BE2084"/>
    <w:rsid w:val="76C67A20"/>
    <w:rsid w:val="76FA32E0"/>
    <w:rsid w:val="777A7C3A"/>
    <w:rsid w:val="77B40DE8"/>
    <w:rsid w:val="77D2431F"/>
    <w:rsid w:val="77FF4097"/>
    <w:rsid w:val="781E2A58"/>
    <w:rsid w:val="78295A57"/>
    <w:rsid w:val="782E504C"/>
    <w:rsid w:val="786C031B"/>
    <w:rsid w:val="787108B6"/>
    <w:rsid w:val="787B4D40"/>
    <w:rsid w:val="78B80928"/>
    <w:rsid w:val="78C339EC"/>
    <w:rsid w:val="78CD3E56"/>
    <w:rsid w:val="78D939E3"/>
    <w:rsid w:val="78EB6EB1"/>
    <w:rsid w:val="791B599B"/>
    <w:rsid w:val="79374CE7"/>
    <w:rsid w:val="794319BF"/>
    <w:rsid w:val="7955353C"/>
    <w:rsid w:val="799035A9"/>
    <w:rsid w:val="79A53B2D"/>
    <w:rsid w:val="79B81A90"/>
    <w:rsid w:val="79E6546C"/>
    <w:rsid w:val="79F8170D"/>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91F8C"/>
    <w:rsid w:val="7CAE0131"/>
    <w:rsid w:val="7CB876F9"/>
    <w:rsid w:val="7D2D607C"/>
    <w:rsid w:val="7D4164FE"/>
    <w:rsid w:val="7D576356"/>
    <w:rsid w:val="7D632F91"/>
    <w:rsid w:val="7D8173E7"/>
    <w:rsid w:val="7D8E5DA9"/>
    <w:rsid w:val="7D980DF8"/>
    <w:rsid w:val="7D9C6FEC"/>
    <w:rsid w:val="7DCC6265"/>
    <w:rsid w:val="7DEC6415"/>
    <w:rsid w:val="7E3F35A6"/>
    <w:rsid w:val="7E3F6376"/>
    <w:rsid w:val="7E602E99"/>
    <w:rsid w:val="7E71238B"/>
    <w:rsid w:val="7E867A69"/>
    <w:rsid w:val="7E8E2BAE"/>
    <w:rsid w:val="7E900D73"/>
    <w:rsid w:val="7ED1289E"/>
    <w:rsid w:val="7EF40520"/>
    <w:rsid w:val="7EF77DD6"/>
    <w:rsid w:val="7F380987"/>
    <w:rsid w:val="7F3F1296"/>
    <w:rsid w:val="7F581501"/>
    <w:rsid w:val="7F805815"/>
    <w:rsid w:val="7F833067"/>
    <w:rsid w:val="7F8E2564"/>
    <w:rsid w:val="7F9A10F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2018-10-26T16:14:14Z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