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941"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中国国旅</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清仓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47.36</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53.82</w:t>
            </w: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k线越走越丑，大盘反弹普涨反而跌，清仓</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青松股份</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10.83</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12.70</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大盘反弹暂时不动</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持仓400股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科大讯飞</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23.52</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25.80</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人工智能开会，早盘开盘买入</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乔治白</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5.78</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6.61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资产重组做龙回头</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持仓500股</w:t>
            </w:r>
          </w:p>
        </w:tc>
      </w:tr>
    </w:tbl>
    <w:p>
      <w:pPr>
        <w:spacing w:line="240" w:lineRule="auto"/>
        <w:rPr>
          <w:lang w:val="en-US"/>
        </w:rPr>
      </w:pPr>
      <w:bookmarkStart w:id="0" w:name="7380-1536542303605"/>
      <w:bookmarkEnd w:id="0"/>
      <w:bookmarkStart w:id="1" w:name="9057-1536542303601"/>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2/0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8416-1536542303643"/>
      <w:bookmarkEnd w:id="2"/>
      <w:bookmarkStart w:id="3" w:name="1096-1536542303639"/>
      <w:bookmarkEnd w:id="3"/>
      <w:bookmarkStart w:id="4" w:name="1227-1536542303637"/>
      <w:bookmarkEnd w:id="4"/>
      <w:bookmarkStart w:id="5" w:name="3677-1536542303641"/>
      <w:bookmarkEnd w:id="5"/>
      <w:bookmarkStart w:id="6" w:name="2151-1536542303645"/>
      <w:bookmarkEnd w:id="6"/>
      <w:bookmarkStart w:id="7" w:name="2911-1536542303635"/>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收盘2606.24，+0.13%，成交额1803亿仅次于前期反弹。人工智能相关的版块反弹。黄金板块尾盘大幅拉升。上证早上图形很好看，成交量放大，尾盘走坏有回踩的要求，然后才能再次拉升。</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61610" cy="2150110"/>
            <wp:effectExtent l="0" t="0" r="152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1610" cy="2150110"/>
                    </a:xfrm>
                    <a:prstGeom prst="rect">
                      <a:avLst/>
                    </a:prstGeom>
                    <a:noFill/>
                    <a:ln w="9525">
                      <a:noFill/>
                    </a:ln>
                  </pic:spPr>
                </pic:pic>
              </a:graphicData>
            </a:graphic>
          </wp:inline>
        </w:drawing>
      </w:r>
    </w:p>
    <w:p>
      <w:pPr>
        <w:numPr>
          <w:ilvl w:val="0"/>
          <w:numId w:val="0"/>
        </w:numPr>
        <w:spacing w:line="240" w:lineRule="auto"/>
        <w:rPr>
          <w:rFonts w:hint="eastAsia"/>
          <w:lang w:val="en-US" w:eastAsia="zh-CN"/>
        </w:rPr>
      </w:pPr>
      <w:r>
        <w:rPr>
          <w:rFonts w:hint="eastAsia"/>
          <w:lang w:val="en-US" w:eastAsia="zh-CN"/>
        </w:rPr>
        <w:t>2.上证50：2460.16，+0.37%</w:t>
      </w:r>
    </w:p>
    <w:p>
      <w:pPr>
        <w:numPr>
          <w:ilvl w:val="0"/>
          <w:numId w:val="2"/>
        </w:numPr>
        <w:spacing w:line="240" w:lineRule="auto"/>
        <w:rPr>
          <w:rFonts w:hint="eastAsia"/>
          <w:lang w:val="en-US" w:eastAsia="zh-CN"/>
        </w:rPr>
      </w:pPr>
      <w:r>
        <w:rPr>
          <w:rFonts w:hint="eastAsia"/>
          <w:lang w:val="en-US" w:eastAsia="zh-CN"/>
        </w:rPr>
        <w:t xml:space="preserve">港股：25416， +1.75% </w:t>
      </w:r>
    </w:p>
    <w:p>
      <w:pPr>
        <w:numPr>
          <w:ilvl w:val="0"/>
          <w:numId w:val="2"/>
        </w:numPr>
        <w:spacing w:line="240" w:lineRule="auto"/>
        <w:rPr>
          <w:rFonts w:hint="eastAsia"/>
          <w:lang w:val="en-US" w:eastAsia="zh-CN"/>
        </w:rPr>
      </w:pPr>
      <w:r>
        <w:rPr>
          <w:rFonts w:hint="eastAsia"/>
          <w:lang w:val="en-US" w:eastAsia="zh-CN"/>
        </w:rPr>
        <w:t>人民币： 贬值创新低6.9268，-477基点</w:t>
      </w:r>
    </w:p>
    <w:p>
      <w:pPr>
        <w:numPr>
          <w:ilvl w:val="0"/>
          <w:numId w:val="2"/>
        </w:numPr>
        <w:spacing w:line="240" w:lineRule="auto"/>
        <w:rPr>
          <w:rFonts w:hint="eastAsia"/>
          <w:lang w:val="en-US" w:eastAsia="zh-CN"/>
        </w:rPr>
      </w:pPr>
      <w:r>
        <w:rPr>
          <w:rFonts w:hint="eastAsia"/>
          <w:lang w:val="en-US" w:eastAsia="zh-CN"/>
        </w:rPr>
        <w:t>GC001：2.530，-6.64%</w:t>
      </w:r>
    </w:p>
    <w:p>
      <w:pPr>
        <w:numPr>
          <w:ilvl w:val="0"/>
          <w:numId w:val="2"/>
        </w:numPr>
        <w:spacing w:line="240" w:lineRule="auto"/>
        <w:rPr>
          <w:rFonts w:hint="eastAsia"/>
          <w:lang w:val="en-US" w:eastAsia="zh-CN"/>
        </w:rPr>
      </w:pPr>
      <w:r>
        <w:rPr>
          <w:rFonts w:hint="eastAsia"/>
          <w:lang w:val="en-US" w:eastAsia="zh-CN"/>
        </w:rPr>
        <w:t>融资融券余额：770</w:t>
      </w:r>
      <w:r>
        <w:rPr>
          <w:rFonts w:hint="default"/>
          <w:lang w:val="en-US" w:eastAsia="zh-CN"/>
        </w:rPr>
        <w:t>2</w:t>
      </w:r>
      <w:r>
        <w:rPr>
          <w:rFonts w:hint="eastAsia"/>
          <w:lang w:val="en-US" w:eastAsia="zh-CN"/>
        </w:rPr>
        <w:t>亿，-</w:t>
      </w:r>
      <w:r>
        <w:rPr>
          <w:rFonts w:hint="default"/>
          <w:lang w:val="en-US" w:eastAsia="zh-CN"/>
        </w:rPr>
        <w:t>7.85</w:t>
      </w:r>
      <w:r>
        <w:rPr>
          <w:rFonts w:hint="eastAsia"/>
          <w:lang w:val="en-US" w:eastAsia="zh-CN"/>
        </w:rPr>
        <w:t>亿</w:t>
      </w:r>
    </w:p>
    <w:p>
      <w:pPr>
        <w:pStyle w:val="2"/>
        <w:keepNext w:val="0"/>
        <w:keepLines w:val="0"/>
        <w:widowControl/>
        <w:suppressLineNumbers w:val="0"/>
        <w:spacing w:line="23" w:lineRule="atLeast"/>
      </w:pPr>
      <w:r>
        <w:rPr>
          <w:rFonts w:ascii="微软雅黑" w:hAnsi="微软雅黑" w:eastAsia="微软雅黑" w:cs="微软雅黑"/>
          <w:color w:val="393A4C"/>
          <w:sz w:val="15"/>
          <w:szCs w:val="15"/>
        </w:rPr>
        <w:t xml:space="preserve">【资讯快报】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习近平：减轻企业税费负担 解决民营企业融资难融资贵问题</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习近平指出，当前要抓好6个方面政策举措落实。一是减轻企业税费负担。推进增值税等实质性减税，对小微企业、科技型初创企业可以实施普惠性税收免除，根据实际情况降低社保缴费名义费率，清理、精简行政审批事项和涉企收费。二是解决民营企业融资难融资贵问题。改革和完善金融机构监管考核和内部激励机制，扩大金融市场准入，拓宽民营企业融资途径，对符合经济结构优化升级方向、有前景的民营企业进行必要财务救助，省级政府和计划单列市可以自筹资金组建政策性救助基金，纠正一些政府部门、大企业利用优势地位以大欺小、拖欠民营企业款项的行为。三是营造公平竞争环境。四是完善政策执行方式。去产能、去杠杆要对各类所有制企业执行同样标准，在安监、环保等领域微观执法过程中避免简单化、“一刀切”。五是构建亲清新型政商关系。六是保护企业家人身和财产安全。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银保监会：着力解决民营企业和中小企业融资难融资贵问题</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银保监会召开全系统警示教育大会，会议指出，要加快补齐监管制度短板，堵塞制度漏洞，推动结构性去杠杆，加强重点领域风险防范处置，着力解决民营企业和中小企业融资难融资贵问题，扎实推进普惠金融。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【资讯快报】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财政部征求意见稿维持证券交易印花税不变 调整由国务院决定</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深圳国资委主任：筹划建立人民币与美元平行基金</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已有13个地方国资被曝驰援上市民企 救助基金规模共超700亿 </w:t>
      </w:r>
    </w:p>
    <w:p>
      <w:pPr>
        <w:pStyle w:val="2"/>
        <w:keepNext w:val="0"/>
        <w:keepLines w:val="0"/>
        <w:widowControl/>
        <w:suppressLineNumbers w:val="0"/>
        <w:spacing w:line="23" w:lineRule="atLeast"/>
        <w:ind w:firstLine="75" w:firstLineChars="50"/>
      </w:pPr>
      <w:bookmarkStart w:id="14" w:name="_GoBack"/>
      <w:bookmarkEnd w:id="14"/>
      <w:r>
        <w:rPr>
          <w:rFonts w:hint="eastAsia" w:ascii="微软雅黑" w:hAnsi="微软雅黑" w:eastAsia="微软雅黑" w:cs="微软雅黑"/>
          <w:color w:val="393A4C"/>
          <w:sz w:val="15"/>
          <w:szCs w:val="15"/>
        </w:rPr>
        <w:t xml:space="preserve">财政部发布首届中国国际进口博览会展期内销售的进口展品税收优惠政策的通知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互联网彩票大整顿 腾讯新浪相关负责人被调查</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民政部：深圳升直辖市是谣言 毫无根据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10月重卡销7.9万辆同比下降14% 天然气重卡快速崛起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10月400亿元资金入场权益ETF“扫货”</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香港证监会发布虚拟货币新规 投资虚拟货币基金需备案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央行上海总部：全力做好进博会金融服务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【增减持】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"http://www.yuncaijing.com/quote/sh603718.html"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海利生物(603718)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"https://www.yuncaijing.com/quote/sh603718_multi.html"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：再获“牛散”章建平举牌 拟斥资不超6亿元继续增持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"http://www.yuncaijing.com/quote/sh600420.html"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现代制药(600420)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"https://www.yuncaijing.com/quote/sh600420_multi.html"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：控股股东一致行动人拟增持不超1亿元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"http://www.yuncaijing.com/quote/sz000333.html"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美的集团(000333)</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"https://www.yuncaijing.com/quote/sz000333_multi.html"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：已累计回购约18亿元股份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"http://www.yuncaijing.com/quote/sz000516.html"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国际医学(000516)</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"https://www.yuncaijing.com/quote/sz000516_multi.html"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：拟3.75亿元至7.5亿元回购股份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"http://www.yuncaijing.com/quote/sh603520.html"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司太立(603520)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"https://www.yuncaijing.com/quote/sh603520_multi.html"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：拟2500万元-5000万元回购股份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"http://www.yuncaijing.com/quote/sz300263.html"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隆华科技(300263)</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"https://www.yuncaijing.com/quote/sz300263_multi.html"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：拟0.5亿元至1.5亿元回购股份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"http://www.yuncaijing.com/quote/sz000672.html"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上峰水泥(000672)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"https://www.yuncaijing.com/quote/sz000672_multi.html"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：拟回购5000万元-3亿元股份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"http://www.yuncaijing.com/quote/sh603133.html"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碳元科技(603133)</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"https://www.yuncaijing.com/quote/sh603133_multi.html"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：股东拟合计减持不超4.24%股份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"http://www.yuncaijing.com/quote/sz002582.html"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好想你(002582)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"https://www.yuncaijing.com/quote/sz002582_multi.html"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：实控人被动减持通过资管计划持有的股份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【利好公告】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"http://www.yuncaijing.com/quote/sz000538.html"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云南白药(000538)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"https://www.yuncaijing.com/quote/sz000538_multi.html"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：拟508亿元吸收合并白药控股 白药控股将实现整体上市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"http://www.yuncaijing.com/quote/sz002507.html"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涪陵榨菜(002507)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"https://www.yuncaijing.com/quote/sz002507_multi.html"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：部分产品提价10%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"http://www.yuncaijing.com/quote/sh600129.html"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太极集团(600129)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"https://www.yuncaijing.com/quote/sh600129_multi.html"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：藿香正气口服液出厂价平均上调11%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"http://www.yuncaijing.com/quote/sh600509.html"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天富能源(600509)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"https://www.yuncaijing.com/quote/sh600509_multi.html"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：上调石河子垦区车辆用天然气销售价格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"http://www.yuncaijing.com/quote/sz002557.html"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洽洽食品(002557)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"https://www.yuncaijing.com/quote/sz002557_multi.html"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：与中石化四川销售签署投资合作框架协议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"http://www.yuncaijing.com/quote/sz002114.html"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罗平锌电(002114)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"https://www.yuncaijing.com/quote/sz002114_multi.html"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：子公司向荣矿业选矿厂复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"http://www.yuncaijing.com/quote/sz000887.html"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中鼎股份(000887)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"https://www.yuncaijing.com/quote/sz000887_multi.html"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：成为大众纯电动平台项目相关产品批量供应商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"http://www.yuncaijing.com/quote/sz002124.html"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天邦股份(002124)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"https://www.yuncaijing.com/quote/sz002124_multi.html"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：浙江农发集团拟要约收购公司部分股份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"http://www.yuncaijing.com/quote/sh603903.html"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中持股份(603903)</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"https://www.yuncaijing.com/quote/sh603903_multi.html"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：中标5330万元项目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10-29日关注股票</w:t>
      </w:r>
    </w:p>
    <w:p>
      <w:pPr>
        <w:spacing w:line="240" w:lineRule="auto"/>
        <w:rPr>
          <w:rFonts w:hint="eastAsia"/>
          <w:strike/>
          <w:dstrike w:val="0"/>
          <w:color w:val="FF0000"/>
          <w:lang w:val="en-US" w:eastAsia="zh-CN"/>
        </w:rPr>
      </w:pPr>
      <w:r>
        <w:rPr>
          <w:rFonts w:hint="eastAsia"/>
          <w:strike/>
          <w:dstrike w:val="0"/>
          <w:color w:val="FF0000"/>
          <w:lang w:val="en-US" w:eastAsia="zh-CN"/>
        </w:rPr>
        <w:t>康美药业</w:t>
      </w:r>
      <w:r>
        <w:rPr>
          <w:rFonts w:hint="default"/>
          <w:strike/>
          <w:dstrike w:val="0"/>
          <w:color w:val="FF0000"/>
          <w:lang w:val="en-US" w:eastAsia="zh-CN"/>
        </w:rPr>
        <w:t>(-1.39%)</w:t>
      </w:r>
      <w:r>
        <w:rPr>
          <w:rFonts w:hint="eastAsia"/>
          <w:strike/>
          <w:dstrike w:val="0"/>
          <w:color w:val="FF0000"/>
          <w:lang w:val="en-US" w:eastAsia="zh-CN"/>
        </w:rPr>
        <w:t>，中国国旅（</w:t>
      </w:r>
      <w:r>
        <w:rPr>
          <w:rFonts w:hint="default"/>
          <w:strike/>
          <w:dstrike w:val="0"/>
          <w:color w:val="FF0000"/>
          <w:lang w:val="en-US" w:eastAsia="zh-CN"/>
        </w:rPr>
        <w:t>+3.33</w:t>
      </w:r>
      <w:r>
        <w:rPr>
          <w:rFonts w:hint="eastAsia"/>
          <w:strike/>
          <w:dstrike w:val="0"/>
          <w:color w:val="FF0000"/>
          <w:lang w:val="en-US" w:eastAsia="zh-CN"/>
        </w:rPr>
        <w:t>%）</w:t>
      </w:r>
      <w:r>
        <w:rPr>
          <w:rFonts w:hint="eastAsia"/>
          <w:strike/>
          <w:dstrike w:val="0"/>
          <w:color w:val="00B050"/>
          <w:shd w:val="clear" w:color="FFFFFF" w:fill="D9D9D9"/>
          <w:lang w:val="en-US" w:eastAsia="zh-CN"/>
        </w:rPr>
        <w:t>，青松股份（</w:t>
      </w:r>
      <w:r>
        <w:rPr>
          <w:rFonts w:hint="default"/>
          <w:strike/>
          <w:dstrike w:val="0"/>
          <w:color w:val="00B050"/>
          <w:shd w:val="clear" w:color="FFFFFF" w:fill="D9D9D9"/>
          <w:lang w:val="en-US" w:eastAsia="zh-CN"/>
        </w:rPr>
        <w:t>-0.17</w:t>
      </w:r>
      <w:r>
        <w:rPr>
          <w:rFonts w:hint="eastAsia"/>
          <w:strike/>
          <w:dstrike w:val="0"/>
          <w:color w:val="00B050"/>
          <w:shd w:val="clear" w:color="FFFFFF" w:fill="D9D9D9"/>
          <w:lang w:val="en-US" w:eastAsia="zh-CN"/>
        </w:rPr>
        <w:t>%）</w:t>
      </w:r>
    </w:p>
    <w:p>
      <w:pPr>
        <w:spacing w:line="240" w:lineRule="auto"/>
        <w:rPr>
          <w:rFonts w:hint="eastAsia"/>
          <w:strike w:val="0"/>
          <w:dstrike w:val="0"/>
          <w:color w:val="FF0000"/>
          <w:lang w:val="en-US" w:eastAsia="zh-CN"/>
        </w:rPr>
      </w:pPr>
      <w:r>
        <w:rPr>
          <w:rFonts w:hint="eastAsia"/>
          <w:strike w:val="0"/>
          <w:dstrike w:val="0"/>
          <w:color w:val="FF0000"/>
          <w:lang w:val="en-US" w:eastAsia="zh-CN"/>
        </w:rPr>
        <w:t>涨停基因：</w:t>
      </w:r>
    </w:p>
    <w:p>
      <w:pPr>
        <w:spacing w:line="240" w:lineRule="auto"/>
        <w:rPr>
          <w:rFonts w:hint="default"/>
          <w:strike/>
          <w:dstrike w:val="0"/>
          <w:color w:val="FF0000"/>
          <w:lang w:val="en-US" w:eastAsia="zh-CN"/>
        </w:rPr>
      </w:pPr>
      <w:r>
        <w:rPr>
          <w:rFonts w:hint="eastAsia"/>
          <w:strike/>
          <w:dstrike w:val="0"/>
          <w:color w:val="FF0000"/>
          <w:lang w:val="en-US" w:eastAsia="zh-CN"/>
        </w:rPr>
        <w:t>群兴玩具</w:t>
      </w:r>
      <w:r>
        <w:rPr>
          <w:rFonts w:hint="default"/>
          <w:strike/>
          <w:dstrike w:val="0"/>
          <w:color w:val="FF0000"/>
          <w:lang w:val="en-US" w:eastAsia="zh-CN"/>
        </w:rPr>
        <w:t>(+</w:t>
      </w:r>
      <w:r>
        <w:rPr>
          <w:rFonts w:hint="eastAsia"/>
          <w:strike/>
          <w:dstrike w:val="0"/>
          <w:color w:val="FF0000"/>
          <w:lang w:val="en-US" w:eastAsia="zh-CN"/>
        </w:rPr>
        <w:t>5.36</w:t>
      </w:r>
      <w:r>
        <w:rPr>
          <w:rFonts w:hint="default"/>
          <w:strike/>
          <w:dstrike w:val="0"/>
          <w:color w:val="FF0000"/>
          <w:lang w:val="en-US" w:eastAsia="zh-CN"/>
        </w:rPr>
        <w:t>%)</w:t>
      </w:r>
      <w:r>
        <w:rPr>
          <w:rFonts w:hint="eastAsia"/>
          <w:strike/>
          <w:dstrike w:val="0"/>
          <w:color w:val="FF0000"/>
          <w:lang w:val="en-US" w:eastAsia="zh-CN"/>
        </w:rPr>
        <w:t>、</w:t>
      </w:r>
      <w:r>
        <w:rPr>
          <w:rFonts w:hint="eastAsia"/>
          <w:strike/>
          <w:dstrike w:val="0"/>
          <w:color w:val="00B050"/>
          <w:lang w:val="en-US" w:eastAsia="zh-CN"/>
        </w:rPr>
        <w:t>凤形股份</w:t>
      </w:r>
      <w:r>
        <w:rPr>
          <w:rFonts w:hint="default"/>
          <w:strike/>
          <w:dstrike w:val="0"/>
          <w:color w:val="00B050"/>
          <w:lang w:val="en-US" w:eastAsia="zh-CN"/>
        </w:rPr>
        <w:t>(</w:t>
      </w:r>
      <w:r>
        <w:rPr>
          <w:rFonts w:hint="eastAsia"/>
          <w:strike/>
          <w:dstrike w:val="0"/>
          <w:color w:val="00B050"/>
          <w:lang w:val="en-US" w:eastAsia="zh-CN"/>
        </w:rPr>
        <w:t>-1.32</w:t>
      </w:r>
      <w:r>
        <w:rPr>
          <w:rFonts w:hint="default"/>
          <w:strike/>
          <w:dstrike w:val="0"/>
          <w:color w:val="00B050"/>
          <w:lang w:val="en-US" w:eastAsia="zh-CN"/>
        </w:rPr>
        <w:t>%)</w:t>
      </w:r>
      <w:r>
        <w:rPr>
          <w:rFonts w:hint="eastAsia"/>
          <w:strike/>
          <w:dstrike w:val="0"/>
          <w:color w:val="FF0000"/>
          <w:lang w:val="en-US" w:eastAsia="zh-CN"/>
        </w:rPr>
        <w:t>、商业城</w:t>
      </w:r>
      <w:r>
        <w:rPr>
          <w:rFonts w:hint="default"/>
          <w:strike/>
          <w:dstrike w:val="0"/>
          <w:color w:val="FF0000"/>
          <w:lang w:val="en-US" w:eastAsia="zh-CN"/>
        </w:rPr>
        <w:t>(+</w:t>
      </w:r>
      <w:r>
        <w:rPr>
          <w:rFonts w:hint="eastAsia"/>
          <w:strike/>
          <w:dstrike w:val="0"/>
          <w:color w:val="FF0000"/>
          <w:lang w:val="en-US" w:eastAsia="zh-CN"/>
        </w:rPr>
        <w:t>9.93</w:t>
      </w:r>
      <w:r>
        <w:rPr>
          <w:rFonts w:hint="default"/>
          <w:strike/>
          <w:dstrike w:val="0"/>
          <w:color w:val="FF0000"/>
          <w:lang w:val="en-US" w:eastAsia="zh-CN"/>
        </w:rPr>
        <w:t>%)</w:t>
      </w:r>
      <w:r>
        <w:rPr>
          <w:rFonts w:hint="eastAsia"/>
          <w:strike/>
          <w:dstrike w:val="0"/>
          <w:color w:val="FF0000"/>
          <w:lang w:val="en-US" w:eastAsia="zh-CN"/>
        </w:rPr>
        <w:t>、特尔佳</w:t>
      </w:r>
      <w:r>
        <w:rPr>
          <w:rFonts w:hint="default"/>
          <w:strike/>
          <w:dstrike w:val="0"/>
          <w:color w:val="FF0000"/>
          <w:lang w:val="en-US" w:eastAsia="zh-CN"/>
        </w:rPr>
        <w:t>(+</w:t>
      </w:r>
      <w:r>
        <w:rPr>
          <w:rFonts w:hint="eastAsia"/>
          <w:strike/>
          <w:dstrike w:val="0"/>
          <w:color w:val="FF0000"/>
          <w:lang w:val="en-US" w:eastAsia="zh-CN"/>
        </w:rPr>
        <w:t>0.41</w:t>
      </w:r>
      <w:r>
        <w:rPr>
          <w:rFonts w:hint="default"/>
          <w:strike/>
          <w:dstrike w:val="0"/>
          <w:color w:val="FF0000"/>
          <w:lang w:val="en-US" w:eastAsia="zh-CN"/>
        </w:rPr>
        <w:t>%)</w:t>
      </w:r>
      <w:r>
        <w:rPr>
          <w:rFonts w:hint="eastAsia"/>
          <w:strike/>
          <w:dstrike w:val="0"/>
          <w:color w:val="FF0000"/>
          <w:lang w:val="en-US" w:eastAsia="zh-CN"/>
        </w:rPr>
        <w:t>、</w:t>
      </w:r>
      <w:r>
        <w:rPr>
          <w:rFonts w:hint="eastAsia"/>
          <w:strike/>
          <w:dstrike w:val="0"/>
          <w:color w:val="00B050"/>
          <w:lang w:val="en-US" w:eastAsia="zh-CN"/>
        </w:rPr>
        <w:t>乔治白</w:t>
      </w:r>
      <w:r>
        <w:rPr>
          <w:rFonts w:hint="default"/>
          <w:strike/>
          <w:dstrike w:val="0"/>
          <w:color w:val="00B050"/>
          <w:lang w:val="en-US" w:eastAsia="zh-CN"/>
        </w:rPr>
        <w:t>(</w:t>
      </w:r>
      <w:r>
        <w:rPr>
          <w:rFonts w:hint="eastAsia"/>
          <w:strike/>
          <w:dstrike w:val="0"/>
          <w:color w:val="00B050"/>
          <w:lang w:val="en-US" w:eastAsia="zh-CN"/>
        </w:rPr>
        <w:t>-6.53%</w:t>
      </w:r>
      <w:r>
        <w:rPr>
          <w:rFonts w:hint="default"/>
          <w:strike/>
          <w:dstrike w:val="0"/>
          <w:color w:val="00B05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10-31</w:t>
      </w:r>
      <w:r>
        <w:rPr>
          <w:rFonts w:hint="eastAsia"/>
          <w:strike w:val="0"/>
          <w:dstrike w:val="0"/>
          <w:color w:val="auto"/>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顺鑫农业（+5.43%），海天味业（+10.00%），涪陵榨菜（+1.97%）</w:t>
      </w:r>
    </w:p>
    <w:p>
      <w:pPr>
        <w:spacing w:line="240" w:lineRule="auto"/>
        <w:rPr>
          <w:rFonts w:hint="eastAsia"/>
          <w:strike w:val="0"/>
          <w:dstrike w:val="0"/>
          <w:color w:val="FF000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11-1日关注股票</w:t>
      </w:r>
    </w:p>
    <w:p>
      <w:pPr>
        <w:spacing w:line="240" w:lineRule="auto"/>
        <w:rPr>
          <w:rFonts w:hint="eastAsia"/>
          <w:strike w:val="0"/>
          <w:dstrike w:val="0"/>
          <w:color w:val="00B050"/>
          <w:lang w:val="en-US" w:eastAsia="zh-CN"/>
        </w:rPr>
      </w:pPr>
      <w:r>
        <w:rPr>
          <w:rFonts w:hint="eastAsia"/>
          <w:strike w:val="0"/>
          <w:dstrike w:val="0"/>
          <w:color w:val="00B050"/>
          <w:lang w:val="en-US" w:eastAsia="zh-CN"/>
        </w:rPr>
        <w:t>神马股份</w:t>
      </w:r>
      <w:r>
        <w:rPr>
          <w:rFonts w:hint="default"/>
          <w:strike w:val="0"/>
          <w:dstrike w:val="0"/>
          <w:color w:val="00B050"/>
          <w:lang w:val="en-US" w:eastAsia="zh-CN"/>
        </w:rPr>
        <w:t>(-2.44%)</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11-2日关注股票：</w:t>
      </w:r>
    </w:p>
    <w:p>
      <w:pPr>
        <w:spacing w:line="240" w:lineRule="auto"/>
        <w:rPr>
          <w:rFonts w:hint="eastAsia"/>
          <w:strike w:val="0"/>
          <w:dstrike w:val="0"/>
          <w:color w:val="auto"/>
          <w:lang w:val="en-US" w:eastAsia="zh-CN"/>
        </w:rPr>
      </w:pPr>
      <w:r>
        <w:rPr>
          <w:rFonts w:hint="eastAsia"/>
          <w:strike w:val="0"/>
          <w:dstrike w:val="0"/>
          <w:color w:val="auto"/>
          <w:lang w:val="en-US" w:eastAsia="zh-CN"/>
        </w:rPr>
        <w:t>涪陵榨菜</w:t>
      </w:r>
    </w:p>
    <w:p>
      <w:pPr>
        <w:spacing w:line="240" w:lineRule="auto"/>
        <w:rPr>
          <w:rFonts w:hint="eastAsia"/>
          <w:strike w:val="0"/>
          <w:dstrike w:val="0"/>
          <w:color w:val="auto"/>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spacing w:line="240" w:lineRule="auto"/>
        <w:rPr>
          <w:rFonts w:hint="eastAsia" w:eastAsiaTheme="minorEastAsia"/>
          <w:lang w:val="en-US" w:eastAsia="zh-CN"/>
        </w:rPr>
      </w:pPr>
      <w:r>
        <w:rPr>
          <w:rFonts w:hint="eastAsia"/>
          <w:lang w:val="en-US" w:eastAsia="zh-CN"/>
        </w:rPr>
        <w:t>看高手买的股票可以分析其逻辑。（研究国家队清仓基金）</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iconfontYCJ">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413"/>
    <w:rsid w:val="004D4197"/>
    <w:rsid w:val="0052221C"/>
    <w:rsid w:val="006764BA"/>
    <w:rsid w:val="00697FC3"/>
    <w:rsid w:val="00901FB1"/>
    <w:rsid w:val="00C11855"/>
    <w:rsid w:val="00D3582F"/>
    <w:rsid w:val="00E66844"/>
    <w:rsid w:val="01056385"/>
    <w:rsid w:val="014F3B92"/>
    <w:rsid w:val="0152242D"/>
    <w:rsid w:val="01647B7E"/>
    <w:rsid w:val="016B2B40"/>
    <w:rsid w:val="017B05B5"/>
    <w:rsid w:val="01977FEF"/>
    <w:rsid w:val="0202356D"/>
    <w:rsid w:val="02450328"/>
    <w:rsid w:val="026A4625"/>
    <w:rsid w:val="026C250E"/>
    <w:rsid w:val="02840E6B"/>
    <w:rsid w:val="02873DC1"/>
    <w:rsid w:val="0293307A"/>
    <w:rsid w:val="029B43B0"/>
    <w:rsid w:val="029F1E5F"/>
    <w:rsid w:val="02A41296"/>
    <w:rsid w:val="02A46468"/>
    <w:rsid w:val="02D8702F"/>
    <w:rsid w:val="02EA5F6C"/>
    <w:rsid w:val="03217E12"/>
    <w:rsid w:val="033B014F"/>
    <w:rsid w:val="03D77D11"/>
    <w:rsid w:val="03DA5A87"/>
    <w:rsid w:val="03DD087F"/>
    <w:rsid w:val="04220426"/>
    <w:rsid w:val="044D03F6"/>
    <w:rsid w:val="04525AAA"/>
    <w:rsid w:val="04744B22"/>
    <w:rsid w:val="04A641E4"/>
    <w:rsid w:val="04AF28FE"/>
    <w:rsid w:val="04CE0549"/>
    <w:rsid w:val="04F5092B"/>
    <w:rsid w:val="05016A5F"/>
    <w:rsid w:val="051801EF"/>
    <w:rsid w:val="05224B2F"/>
    <w:rsid w:val="05367AD1"/>
    <w:rsid w:val="055029FA"/>
    <w:rsid w:val="0563041F"/>
    <w:rsid w:val="056D0B52"/>
    <w:rsid w:val="05727E27"/>
    <w:rsid w:val="057E173A"/>
    <w:rsid w:val="058E3BE7"/>
    <w:rsid w:val="05996F7D"/>
    <w:rsid w:val="059F2277"/>
    <w:rsid w:val="05D61E65"/>
    <w:rsid w:val="05DB0C89"/>
    <w:rsid w:val="05F42636"/>
    <w:rsid w:val="05F71A0E"/>
    <w:rsid w:val="06253556"/>
    <w:rsid w:val="062D1854"/>
    <w:rsid w:val="062F1F01"/>
    <w:rsid w:val="06603F9C"/>
    <w:rsid w:val="066107E1"/>
    <w:rsid w:val="066C601E"/>
    <w:rsid w:val="067A6AFF"/>
    <w:rsid w:val="06944398"/>
    <w:rsid w:val="06B03E2C"/>
    <w:rsid w:val="06C47C16"/>
    <w:rsid w:val="06D30ADE"/>
    <w:rsid w:val="06E62AE5"/>
    <w:rsid w:val="070A6F35"/>
    <w:rsid w:val="07397C16"/>
    <w:rsid w:val="075B55B8"/>
    <w:rsid w:val="078270AF"/>
    <w:rsid w:val="07945E37"/>
    <w:rsid w:val="07BF39C9"/>
    <w:rsid w:val="07DB23C7"/>
    <w:rsid w:val="07EB284F"/>
    <w:rsid w:val="082D6981"/>
    <w:rsid w:val="084322AE"/>
    <w:rsid w:val="08447F53"/>
    <w:rsid w:val="084721DB"/>
    <w:rsid w:val="084C0D07"/>
    <w:rsid w:val="084F6707"/>
    <w:rsid w:val="085E77E3"/>
    <w:rsid w:val="08C5143D"/>
    <w:rsid w:val="0912413A"/>
    <w:rsid w:val="091322CC"/>
    <w:rsid w:val="092B4110"/>
    <w:rsid w:val="092D0512"/>
    <w:rsid w:val="092F2F78"/>
    <w:rsid w:val="093670EF"/>
    <w:rsid w:val="09383AB9"/>
    <w:rsid w:val="093B7917"/>
    <w:rsid w:val="094F49CA"/>
    <w:rsid w:val="09740E46"/>
    <w:rsid w:val="097A36CE"/>
    <w:rsid w:val="098C590A"/>
    <w:rsid w:val="099853DA"/>
    <w:rsid w:val="09C162DD"/>
    <w:rsid w:val="09C3792A"/>
    <w:rsid w:val="09D47958"/>
    <w:rsid w:val="0A2C5CA0"/>
    <w:rsid w:val="0A400DBB"/>
    <w:rsid w:val="0A493EF5"/>
    <w:rsid w:val="0A5C746A"/>
    <w:rsid w:val="0A647BE1"/>
    <w:rsid w:val="0A716325"/>
    <w:rsid w:val="0A895E24"/>
    <w:rsid w:val="0A8F079E"/>
    <w:rsid w:val="0A9A7F0F"/>
    <w:rsid w:val="0ACC444A"/>
    <w:rsid w:val="0AD31BA2"/>
    <w:rsid w:val="0B034842"/>
    <w:rsid w:val="0B0E0B30"/>
    <w:rsid w:val="0B264614"/>
    <w:rsid w:val="0B3F4495"/>
    <w:rsid w:val="0B4F23A6"/>
    <w:rsid w:val="0B543CA0"/>
    <w:rsid w:val="0B5F4434"/>
    <w:rsid w:val="0B75475E"/>
    <w:rsid w:val="0BA85F8D"/>
    <w:rsid w:val="0BF86B96"/>
    <w:rsid w:val="0C1A48EA"/>
    <w:rsid w:val="0C212C19"/>
    <w:rsid w:val="0C2D340E"/>
    <w:rsid w:val="0C3F4D9B"/>
    <w:rsid w:val="0C6E045E"/>
    <w:rsid w:val="0C76654E"/>
    <w:rsid w:val="0C7F62D6"/>
    <w:rsid w:val="0C880409"/>
    <w:rsid w:val="0CAA6A0A"/>
    <w:rsid w:val="0CB44896"/>
    <w:rsid w:val="0CC12AEF"/>
    <w:rsid w:val="0CD013FA"/>
    <w:rsid w:val="0CE272BE"/>
    <w:rsid w:val="0D2627E2"/>
    <w:rsid w:val="0D275AA8"/>
    <w:rsid w:val="0D441CB0"/>
    <w:rsid w:val="0D4C6DF5"/>
    <w:rsid w:val="0D5669F9"/>
    <w:rsid w:val="0D5A65C9"/>
    <w:rsid w:val="0D5E2687"/>
    <w:rsid w:val="0D6D7C9B"/>
    <w:rsid w:val="0D7578CB"/>
    <w:rsid w:val="0D773D75"/>
    <w:rsid w:val="0D7E4FD5"/>
    <w:rsid w:val="0DBA54E4"/>
    <w:rsid w:val="0DE62585"/>
    <w:rsid w:val="0E0A098D"/>
    <w:rsid w:val="0E43440D"/>
    <w:rsid w:val="0E4773A6"/>
    <w:rsid w:val="0E6924DC"/>
    <w:rsid w:val="0E921C32"/>
    <w:rsid w:val="0EA12E00"/>
    <w:rsid w:val="0EA52CBE"/>
    <w:rsid w:val="0EC44D5F"/>
    <w:rsid w:val="0EC71C3E"/>
    <w:rsid w:val="0EDE708A"/>
    <w:rsid w:val="0F305A06"/>
    <w:rsid w:val="0F5A3C27"/>
    <w:rsid w:val="0F65121D"/>
    <w:rsid w:val="0F905F80"/>
    <w:rsid w:val="0F9718D9"/>
    <w:rsid w:val="0FE75D85"/>
    <w:rsid w:val="0FEC709E"/>
    <w:rsid w:val="100B14A3"/>
    <w:rsid w:val="10214A7C"/>
    <w:rsid w:val="10295D8E"/>
    <w:rsid w:val="10603BF4"/>
    <w:rsid w:val="106415C5"/>
    <w:rsid w:val="107232DD"/>
    <w:rsid w:val="10766EF7"/>
    <w:rsid w:val="10771EFF"/>
    <w:rsid w:val="107A0C96"/>
    <w:rsid w:val="10853902"/>
    <w:rsid w:val="108E1355"/>
    <w:rsid w:val="10956EEC"/>
    <w:rsid w:val="10F71086"/>
    <w:rsid w:val="10FF109F"/>
    <w:rsid w:val="110D2812"/>
    <w:rsid w:val="110F72C1"/>
    <w:rsid w:val="1132557E"/>
    <w:rsid w:val="114C1096"/>
    <w:rsid w:val="115724B6"/>
    <w:rsid w:val="117F785F"/>
    <w:rsid w:val="119F149D"/>
    <w:rsid w:val="11A17BC3"/>
    <w:rsid w:val="11D65E05"/>
    <w:rsid w:val="11D86036"/>
    <w:rsid w:val="122020CC"/>
    <w:rsid w:val="1231010E"/>
    <w:rsid w:val="125C533A"/>
    <w:rsid w:val="12703CF2"/>
    <w:rsid w:val="129313C9"/>
    <w:rsid w:val="129F0628"/>
    <w:rsid w:val="12A42AB2"/>
    <w:rsid w:val="12A764BE"/>
    <w:rsid w:val="12F2076C"/>
    <w:rsid w:val="13155065"/>
    <w:rsid w:val="13264D6F"/>
    <w:rsid w:val="1333266D"/>
    <w:rsid w:val="13430B4B"/>
    <w:rsid w:val="13626263"/>
    <w:rsid w:val="136F1A34"/>
    <w:rsid w:val="137E241C"/>
    <w:rsid w:val="138B4200"/>
    <w:rsid w:val="13CA5C4D"/>
    <w:rsid w:val="13D552EC"/>
    <w:rsid w:val="13EE15FA"/>
    <w:rsid w:val="14244DD5"/>
    <w:rsid w:val="14480A5A"/>
    <w:rsid w:val="14712FB7"/>
    <w:rsid w:val="14816B5F"/>
    <w:rsid w:val="14AA0805"/>
    <w:rsid w:val="14B72178"/>
    <w:rsid w:val="14C0137C"/>
    <w:rsid w:val="14E20D44"/>
    <w:rsid w:val="14EA5225"/>
    <w:rsid w:val="15120F09"/>
    <w:rsid w:val="15270E26"/>
    <w:rsid w:val="15325154"/>
    <w:rsid w:val="157113EA"/>
    <w:rsid w:val="157C53E9"/>
    <w:rsid w:val="157F1CD1"/>
    <w:rsid w:val="15993577"/>
    <w:rsid w:val="159F78B9"/>
    <w:rsid w:val="15A0313A"/>
    <w:rsid w:val="15F10798"/>
    <w:rsid w:val="15F51D1C"/>
    <w:rsid w:val="160659D5"/>
    <w:rsid w:val="160B115C"/>
    <w:rsid w:val="161E6781"/>
    <w:rsid w:val="162C36C8"/>
    <w:rsid w:val="163E0050"/>
    <w:rsid w:val="1640732D"/>
    <w:rsid w:val="16430633"/>
    <w:rsid w:val="167B04FF"/>
    <w:rsid w:val="16A56FB2"/>
    <w:rsid w:val="16BF0588"/>
    <w:rsid w:val="16BF1790"/>
    <w:rsid w:val="16C64BFD"/>
    <w:rsid w:val="16D84322"/>
    <w:rsid w:val="17007DC5"/>
    <w:rsid w:val="17026F67"/>
    <w:rsid w:val="17186B97"/>
    <w:rsid w:val="171F7A92"/>
    <w:rsid w:val="173B32F0"/>
    <w:rsid w:val="174E190C"/>
    <w:rsid w:val="17710231"/>
    <w:rsid w:val="17816124"/>
    <w:rsid w:val="17821E79"/>
    <w:rsid w:val="179842AB"/>
    <w:rsid w:val="17C32C1C"/>
    <w:rsid w:val="17C42329"/>
    <w:rsid w:val="18130587"/>
    <w:rsid w:val="1824019C"/>
    <w:rsid w:val="18587284"/>
    <w:rsid w:val="1879447F"/>
    <w:rsid w:val="1889738D"/>
    <w:rsid w:val="18A422C2"/>
    <w:rsid w:val="18AB7038"/>
    <w:rsid w:val="18B51EC3"/>
    <w:rsid w:val="18C06A71"/>
    <w:rsid w:val="18E27BAA"/>
    <w:rsid w:val="18FE0B3F"/>
    <w:rsid w:val="191E07B4"/>
    <w:rsid w:val="192073CC"/>
    <w:rsid w:val="192478B7"/>
    <w:rsid w:val="192D31EB"/>
    <w:rsid w:val="19467740"/>
    <w:rsid w:val="19552F51"/>
    <w:rsid w:val="198F7F93"/>
    <w:rsid w:val="19B47DD1"/>
    <w:rsid w:val="19DC4D71"/>
    <w:rsid w:val="19F72C8B"/>
    <w:rsid w:val="1A242DB8"/>
    <w:rsid w:val="1A6B657D"/>
    <w:rsid w:val="1A815BD3"/>
    <w:rsid w:val="1A8B02F0"/>
    <w:rsid w:val="1AA33CC8"/>
    <w:rsid w:val="1ABA7984"/>
    <w:rsid w:val="1ACB3375"/>
    <w:rsid w:val="1AD9601A"/>
    <w:rsid w:val="1B4367F4"/>
    <w:rsid w:val="1B5C2C5D"/>
    <w:rsid w:val="1B747074"/>
    <w:rsid w:val="1B9149EE"/>
    <w:rsid w:val="1B944CB1"/>
    <w:rsid w:val="1B9E6861"/>
    <w:rsid w:val="1BCC552D"/>
    <w:rsid w:val="1BD2095A"/>
    <w:rsid w:val="1BDB4AD2"/>
    <w:rsid w:val="1BDD3CBF"/>
    <w:rsid w:val="1C036B4B"/>
    <w:rsid w:val="1C044CFD"/>
    <w:rsid w:val="1C0C4EF8"/>
    <w:rsid w:val="1C104715"/>
    <w:rsid w:val="1C47333D"/>
    <w:rsid w:val="1C504041"/>
    <w:rsid w:val="1C6F6DE4"/>
    <w:rsid w:val="1C7F5574"/>
    <w:rsid w:val="1C825F0A"/>
    <w:rsid w:val="1CA519D5"/>
    <w:rsid w:val="1CB0205B"/>
    <w:rsid w:val="1CCF59CE"/>
    <w:rsid w:val="1CFE1F9E"/>
    <w:rsid w:val="1D0D6955"/>
    <w:rsid w:val="1D1046F8"/>
    <w:rsid w:val="1D2B026D"/>
    <w:rsid w:val="1D3359AA"/>
    <w:rsid w:val="1D3578F8"/>
    <w:rsid w:val="1D5F1195"/>
    <w:rsid w:val="1D6915AF"/>
    <w:rsid w:val="1D7C27F7"/>
    <w:rsid w:val="1D88197B"/>
    <w:rsid w:val="1D8F1E02"/>
    <w:rsid w:val="1D9B3CAA"/>
    <w:rsid w:val="1D9C1A16"/>
    <w:rsid w:val="1D9F5997"/>
    <w:rsid w:val="1DBF12C0"/>
    <w:rsid w:val="1DD60858"/>
    <w:rsid w:val="1DE368CE"/>
    <w:rsid w:val="1DFE763D"/>
    <w:rsid w:val="1E066BFD"/>
    <w:rsid w:val="1E3D16BE"/>
    <w:rsid w:val="1E716A79"/>
    <w:rsid w:val="1EAC0280"/>
    <w:rsid w:val="1EC44101"/>
    <w:rsid w:val="1EF13AE1"/>
    <w:rsid w:val="1F0E46A0"/>
    <w:rsid w:val="1F0F507B"/>
    <w:rsid w:val="1F280B33"/>
    <w:rsid w:val="1F436954"/>
    <w:rsid w:val="1F4D7CB2"/>
    <w:rsid w:val="1F5B3F83"/>
    <w:rsid w:val="1F5E07AC"/>
    <w:rsid w:val="1F6B3A55"/>
    <w:rsid w:val="1FB005B5"/>
    <w:rsid w:val="1FD239CE"/>
    <w:rsid w:val="1FFB7524"/>
    <w:rsid w:val="2017413E"/>
    <w:rsid w:val="202F2459"/>
    <w:rsid w:val="203568E0"/>
    <w:rsid w:val="204C06AD"/>
    <w:rsid w:val="2094409D"/>
    <w:rsid w:val="20BF12E3"/>
    <w:rsid w:val="210B33AA"/>
    <w:rsid w:val="211018D5"/>
    <w:rsid w:val="211853CD"/>
    <w:rsid w:val="21193B54"/>
    <w:rsid w:val="212267F3"/>
    <w:rsid w:val="214C5F38"/>
    <w:rsid w:val="21580063"/>
    <w:rsid w:val="215C5CA2"/>
    <w:rsid w:val="21710A68"/>
    <w:rsid w:val="2184486A"/>
    <w:rsid w:val="21980957"/>
    <w:rsid w:val="219D3E29"/>
    <w:rsid w:val="21BA4D5A"/>
    <w:rsid w:val="21C61DDE"/>
    <w:rsid w:val="21C7795A"/>
    <w:rsid w:val="21F9403C"/>
    <w:rsid w:val="220130C8"/>
    <w:rsid w:val="221F3F25"/>
    <w:rsid w:val="22333AA1"/>
    <w:rsid w:val="22BD2E76"/>
    <w:rsid w:val="22C9023E"/>
    <w:rsid w:val="22D05A47"/>
    <w:rsid w:val="22D26EAF"/>
    <w:rsid w:val="22EB6D0C"/>
    <w:rsid w:val="23020B57"/>
    <w:rsid w:val="2348188E"/>
    <w:rsid w:val="2369588F"/>
    <w:rsid w:val="23887625"/>
    <w:rsid w:val="23930482"/>
    <w:rsid w:val="23A22F3C"/>
    <w:rsid w:val="23C920C1"/>
    <w:rsid w:val="23D55828"/>
    <w:rsid w:val="24134497"/>
    <w:rsid w:val="241C417A"/>
    <w:rsid w:val="24680AE8"/>
    <w:rsid w:val="2491482B"/>
    <w:rsid w:val="249433B6"/>
    <w:rsid w:val="24944D34"/>
    <w:rsid w:val="24967AC6"/>
    <w:rsid w:val="24B03565"/>
    <w:rsid w:val="24BD1222"/>
    <w:rsid w:val="24D421CB"/>
    <w:rsid w:val="24D4787D"/>
    <w:rsid w:val="24DE5BF2"/>
    <w:rsid w:val="24DF3F31"/>
    <w:rsid w:val="24EE5C15"/>
    <w:rsid w:val="24F66AC0"/>
    <w:rsid w:val="250235F1"/>
    <w:rsid w:val="25590CC6"/>
    <w:rsid w:val="257229A7"/>
    <w:rsid w:val="259C0B3C"/>
    <w:rsid w:val="25A0482C"/>
    <w:rsid w:val="25B0357A"/>
    <w:rsid w:val="25B14002"/>
    <w:rsid w:val="25BC6888"/>
    <w:rsid w:val="25C1260B"/>
    <w:rsid w:val="25E41222"/>
    <w:rsid w:val="25FA399D"/>
    <w:rsid w:val="260F4A69"/>
    <w:rsid w:val="2654390B"/>
    <w:rsid w:val="265B3762"/>
    <w:rsid w:val="26745E1B"/>
    <w:rsid w:val="267C0312"/>
    <w:rsid w:val="269B26E9"/>
    <w:rsid w:val="26A57A65"/>
    <w:rsid w:val="26D85EDD"/>
    <w:rsid w:val="271E441C"/>
    <w:rsid w:val="2721255F"/>
    <w:rsid w:val="275C3451"/>
    <w:rsid w:val="27706349"/>
    <w:rsid w:val="277978A5"/>
    <w:rsid w:val="27C73D38"/>
    <w:rsid w:val="27D6481D"/>
    <w:rsid w:val="27E60AEC"/>
    <w:rsid w:val="27E92A96"/>
    <w:rsid w:val="28022CC6"/>
    <w:rsid w:val="281A5848"/>
    <w:rsid w:val="28411F49"/>
    <w:rsid w:val="284E2E6C"/>
    <w:rsid w:val="28DA7E14"/>
    <w:rsid w:val="28DC7F94"/>
    <w:rsid w:val="28E20191"/>
    <w:rsid w:val="29032593"/>
    <w:rsid w:val="291B5B6D"/>
    <w:rsid w:val="29283595"/>
    <w:rsid w:val="29384755"/>
    <w:rsid w:val="29474E9E"/>
    <w:rsid w:val="297E256D"/>
    <w:rsid w:val="29901482"/>
    <w:rsid w:val="29F35878"/>
    <w:rsid w:val="2A0744E4"/>
    <w:rsid w:val="2A220264"/>
    <w:rsid w:val="2A285457"/>
    <w:rsid w:val="2A3B4EF0"/>
    <w:rsid w:val="2A575882"/>
    <w:rsid w:val="2A665B39"/>
    <w:rsid w:val="2A7B42A5"/>
    <w:rsid w:val="2A802D8A"/>
    <w:rsid w:val="2AA004C2"/>
    <w:rsid w:val="2AAF3433"/>
    <w:rsid w:val="2AD01279"/>
    <w:rsid w:val="2B021229"/>
    <w:rsid w:val="2B074DB5"/>
    <w:rsid w:val="2B1030BD"/>
    <w:rsid w:val="2B151C54"/>
    <w:rsid w:val="2B2209DE"/>
    <w:rsid w:val="2B3137EA"/>
    <w:rsid w:val="2B3570BB"/>
    <w:rsid w:val="2B406E52"/>
    <w:rsid w:val="2B613F8A"/>
    <w:rsid w:val="2B715FF9"/>
    <w:rsid w:val="2B7C2469"/>
    <w:rsid w:val="2B8667B4"/>
    <w:rsid w:val="2B8B0140"/>
    <w:rsid w:val="2B9102BE"/>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4E2DDE"/>
    <w:rsid w:val="2D5E3ABF"/>
    <w:rsid w:val="2D9E4763"/>
    <w:rsid w:val="2DA45761"/>
    <w:rsid w:val="2DB44750"/>
    <w:rsid w:val="2DE16921"/>
    <w:rsid w:val="2E251C9D"/>
    <w:rsid w:val="2E5C17D6"/>
    <w:rsid w:val="2E5D7A1B"/>
    <w:rsid w:val="2E6922D6"/>
    <w:rsid w:val="2E7D14DA"/>
    <w:rsid w:val="2E8B4E7A"/>
    <w:rsid w:val="2EA15342"/>
    <w:rsid w:val="2EA67169"/>
    <w:rsid w:val="2EA87494"/>
    <w:rsid w:val="2EB21604"/>
    <w:rsid w:val="2EB84CFE"/>
    <w:rsid w:val="2ED912C5"/>
    <w:rsid w:val="2EDC5069"/>
    <w:rsid w:val="2EF237A7"/>
    <w:rsid w:val="2EFA7779"/>
    <w:rsid w:val="2F115E9C"/>
    <w:rsid w:val="2F331442"/>
    <w:rsid w:val="2F354053"/>
    <w:rsid w:val="2F3A36A2"/>
    <w:rsid w:val="2F6C637F"/>
    <w:rsid w:val="2F6E3251"/>
    <w:rsid w:val="2FB8673A"/>
    <w:rsid w:val="2FC1718F"/>
    <w:rsid w:val="2FD53C66"/>
    <w:rsid w:val="2FD57AE6"/>
    <w:rsid w:val="2FE32137"/>
    <w:rsid w:val="300D1A47"/>
    <w:rsid w:val="302A76D8"/>
    <w:rsid w:val="30325457"/>
    <w:rsid w:val="307642F8"/>
    <w:rsid w:val="307C2FD5"/>
    <w:rsid w:val="308472ED"/>
    <w:rsid w:val="308927E7"/>
    <w:rsid w:val="30D22C4D"/>
    <w:rsid w:val="30D824CE"/>
    <w:rsid w:val="30E8604C"/>
    <w:rsid w:val="311B4918"/>
    <w:rsid w:val="313919B9"/>
    <w:rsid w:val="31832045"/>
    <w:rsid w:val="318A56D9"/>
    <w:rsid w:val="31980BDD"/>
    <w:rsid w:val="31BC324A"/>
    <w:rsid w:val="31DD1A19"/>
    <w:rsid w:val="31E32CEF"/>
    <w:rsid w:val="322319DA"/>
    <w:rsid w:val="322E6F2F"/>
    <w:rsid w:val="323319A5"/>
    <w:rsid w:val="32473ADF"/>
    <w:rsid w:val="3276149F"/>
    <w:rsid w:val="32A068E9"/>
    <w:rsid w:val="32A23292"/>
    <w:rsid w:val="32CB7E65"/>
    <w:rsid w:val="32DC06BB"/>
    <w:rsid w:val="32F16CC0"/>
    <w:rsid w:val="330B75BD"/>
    <w:rsid w:val="33524A45"/>
    <w:rsid w:val="33696B21"/>
    <w:rsid w:val="33AF76FE"/>
    <w:rsid w:val="340F5B81"/>
    <w:rsid w:val="34132FF2"/>
    <w:rsid w:val="3471300F"/>
    <w:rsid w:val="34874227"/>
    <w:rsid w:val="34890003"/>
    <w:rsid w:val="34931091"/>
    <w:rsid w:val="34B775B2"/>
    <w:rsid w:val="34E038B6"/>
    <w:rsid w:val="34E30F0F"/>
    <w:rsid w:val="34F01269"/>
    <w:rsid w:val="351241C6"/>
    <w:rsid w:val="351F02B8"/>
    <w:rsid w:val="35480EDF"/>
    <w:rsid w:val="35686F69"/>
    <w:rsid w:val="35687EBB"/>
    <w:rsid w:val="35784769"/>
    <w:rsid w:val="35860DD5"/>
    <w:rsid w:val="358D7A7B"/>
    <w:rsid w:val="35923A51"/>
    <w:rsid w:val="359A3107"/>
    <w:rsid w:val="3611115D"/>
    <w:rsid w:val="361D0887"/>
    <w:rsid w:val="365506E1"/>
    <w:rsid w:val="36824A32"/>
    <w:rsid w:val="36974B8F"/>
    <w:rsid w:val="369B37BE"/>
    <w:rsid w:val="36A52223"/>
    <w:rsid w:val="36AD1C73"/>
    <w:rsid w:val="36B409CC"/>
    <w:rsid w:val="36CC20D7"/>
    <w:rsid w:val="36D2199E"/>
    <w:rsid w:val="36D70FE7"/>
    <w:rsid w:val="36DC2A3B"/>
    <w:rsid w:val="36DF2AB3"/>
    <w:rsid w:val="36E07DEB"/>
    <w:rsid w:val="36EA511D"/>
    <w:rsid w:val="36F44D99"/>
    <w:rsid w:val="36F70883"/>
    <w:rsid w:val="36F84BB1"/>
    <w:rsid w:val="371C5979"/>
    <w:rsid w:val="37370121"/>
    <w:rsid w:val="373B4262"/>
    <w:rsid w:val="37866BA0"/>
    <w:rsid w:val="37D65746"/>
    <w:rsid w:val="37ED3EEE"/>
    <w:rsid w:val="38107C75"/>
    <w:rsid w:val="382E3032"/>
    <w:rsid w:val="38574525"/>
    <w:rsid w:val="38650B7B"/>
    <w:rsid w:val="386C42FF"/>
    <w:rsid w:val="387306D3"/>
    <w:rsid w:val="38753B9D"/>
    <w:rsid w:val="38757EF7"/>
    <w:rsid w:val="388C754C"/>
    <w:rsid w:val="389A2C3B"/>
    <w:rsid w:val="38A356B6"/>
    <w:rsid w:val="38B6134F"/>
    <w:rsid w:val="38B77B89"/>
    <w:rsid w:val="38B94A25"/>
    <w:rsid w:val="38E4492B"/>
    <w:rsid w:val="38EA31B9"/>
    <w:rsid w:val="38EE644D"/>
    <w:rsid w:val="38F335E0"/>
    <w:rsid w:val="38FC6572"/>
    <w:rsid w:val="38FE3638"/>
    <w:rsid w:val="391A03B8"/>
    <w:rsid w:val="39291FA1"/>
    <w:rsid w:val="39587AC5"/>
    <w:rsid w:val="395E7235"/>
    <w:rsid w:val="396F6F4F"/>
    <w:rsid w:val="39710EB7"/>
    <w:rsid w:val="39884BFF"/>
    <w:rsid w:val="39952C82"/>
    <w:rsid w:val="39C67D0A"/>
    <w:rsid w:val="39CD59E2"/>
    <w:rsid w:val="39D049E4"/>
    <w:rsid w:val="39DD1FC0"/>
    <w:rsid w:val="39E278CB"/>
    <w:rsid w:val="3A0F0B48"/>
    <w:rsid w:val="3A224586"/>
    <w:rsid w:val="3A2B5335"/>
    <w:rsid w:val="3A31153A"/>
    <w:rsid w:val="3A3274F4"/>
    <w:rsid w:val="3A336219"/>
    <w:rsid w:val="3A4F3E22"/>
    <w:rsid w:val="3A657A57"/>
    <w:rsid w:val="3A6C1A5E"/>
    <w:rsid w:val="3A6C47E6"/>
    <w:rsid w:val="3A7B4085"/>
    <w:rsid w:val="3A8527BD"/>
    <w:rsid w:val="3AA54A51"/>
    <w:rsid w:val="3AAA30E3"/>
    <w:rsid w:val="3AF87CF3"/>
    <w:rsid w:val="3B0E4A2A"/>
    <w:rsid w:val="3B107CAF"/>
    <w:rsid w:val="3B4A3954"/>
    <w:rsid w:val="3B5318A0"/>
    <w:rsid w:val="3B6B5381"/>
    <w:rsid w:val="3B9004B9"/>
    <w:rsid w:val="3B9E1812"/>
    <w:rsid w:val="3BAF248D"/>
    <w:rsid w:val="3BAF3FE1"/>
    <w:rsid w:val="3BB57FF7"/>
    <w:rsid w:val="3BD834C3"/>
    <w:rsid w:val="3BF40B5B"/>
    <w:rsid w:val="3BF674FE"/>
    <w:rsid w:val="3C2F0DC1"/>
    <w:rsid w:val="3C3347D1"/>
    <w:rsid w:val="3C411F3D"/>
    <w:rsid w:val="3C461A3C"/>
    <w:rsid w:val="3C54676F"/>
    <w:rsid w:val="3C611C77"/>
    <w:rsid w:val="3C8015C6"/>
    <w:rsid w:val="3C9F1451"/>
    <w:rsid w:val="3CA5557B"/>
    <w:rsid w:val="3CAC1A05"/>
    <w:rsid w:val="3CBF2113"/>
    <w:rsid w:val="3CC5059F"/>
    <w:rsid w:val="3CCC0811"/>
    <w:rsid w:val="3CD92DC9"/>
    <w:rsid w:val="3CE109FF"/>
    <w:rsid w:val="3CF6320B"/>
    <w:rsid w:val="3D322722"/>
    <w:rsid w:val="3D4D2885"/>
    <w:rsid w:val="3D501F86"/>
    <w:rsid w:val="3D6C7970"/>
    <w:rsid w:val="3D8524B9"/>
    <w:rsid w:val="3DCC6E48"/>
    <w:rsid w:val="3E341AE6"/>
    <w:rsid w:val="3E51379D"/>
    <w:rsid w:val="3E721BE4"/>
    <w:rsid w:val="3E795D46"/>
    <w:rsid w:val="3EBD4C84"/>
    <w:rsid w:val="3EBD5746"/>
    <w:rsid w:val="3EC40A9D"/>
    <w:rsid w:val="3ECD0A86"/>
    <w:rsid w:val="3F126C25"/>
    <w:rsid w:val="3F270B16"/>
    <w:rsid w:val="3F2E1884"/>
    <w:rsid w:val="3F406847"/>
    <w:rsid w:val="3F486D14"/>
    <w:rsid w:val="3F8B38F8"/>
    <w:rsid w:val="3F911160"/>
    <w:rsid w:val="3FB60A8F"/>
    <w:rsid w:val="3FD50823"/>
    <w:rsid w:val="3FE57A37"/>
    <w:rsid w:val="3FE6620E"/>
    <w:rsid w:val="40190984"/>
    <w:rsid w:val="402D5AAC"/>
    <w:rsid w:val="40923A38"/>
    <w:rsid w:val="409F62B0"/>
    <w:rsid w:val="40AC35A1"/>
    <w:rsid w:val="40BF28FF"/>
    <w:rsid w:val="40F579A0"/>
    <w:rsid w:val="41161BA3"/>
    <w:rsid w:val="41251ED8"/>
    <w:rsid w:val="414D1A11"/>
    <w:rsid w:val="41541E79"/>
    <w:rsid w:val="415E5EAB"/>
    <w:rsid w:val="417437BF"/>
    <w:rsid w:val="419B28D7"/>
    <w:rsid w:val="41C6087A"/>
    <w:rsid w:val="41E106C4"/>
    <w:rsid w:val="41F41ECC"/>
    <w:rsid w:val="41F72304"/>
    <w:rsid w:val="422725DC"/>
    <w:rsid w:val="422C4743"/>
    <w:rsid w:val="42464C1F"/>
    <w:rsid w:val="424D630C"/>
    <w:rsid w:val="42647007"/>
    <w:rsid w:val="42927BEF"/>
    <w:rsid w:val="42A261A9"/>
    <w:rsid w:val="42F01A2C"/>
    <w:rsid w:val="430272B9"/>
    <w:rsid w:val="433567C5"/>
    <w:rsid w:val="43437508"/>
    <w:rsid w:val="4369441A"/>
    <w:rsid w:val="43715ACD"/>
    <w:rsid w:val="439B45B2"/>
    <w:rsid w:val="43A728DB"/>
    <w:rsid w:val="43B64B82"/>
    <w:rsid w:val="43CC220E"/>
    <w:rsid w:val="43EC4DB0"/>
    <w:rsid w:val="43F35274"/>
    <w:rsid w:val="43FD6BD7"/>
    <w:rsid w:val="44133473"/>
    <w:rsid w:val="443A78EA"/>
    <w:rsid w:val="444A0646"/>
    <w:rsid w:val="445143F6"/>
    <w:rsid w:val="44515A1D"/>
    <w:rsid w:val="44AF6F90"/>
    <w:rsid w:val="44D4142E"/>
    <w:rsid w:val="44D54043"/>
    <w:rsid w:val="452A40ED"/>
    <w:rsid w:val="452F142E"/>
    <w:rsid w:val="454A7BD2"/>
    <w:rsid w:val="455C521C"/>
    <w:rsid w:val="45940205"/>
    <w:rsid w:val="459A5AE0"/>
    <w:rsid w:val="45A71986"/>
    <w:rsid w:val="45B2417A"/>
    <w:rsid w:val="45D05C04"/>
    <w:rsid w:val="4676486A"/>
    <w:rsid w:val="46792153"/>
    <w:rsid w:val="467A3876"/>
    <w:rsid w:val="46D203B7"/>
    <w:rsid w:val="47080F16"/>
    <w:rsid w:val="47256A06"/>
    <w:rsid w:val="473174AB"/>
    <w:rsid w:val="475F2ECF"/>
    <w:rsid w:val="476E5ABA"/>
    <w:rsid w:val="477C7EA2"/>
    <w:rsid w:val="479902B6"/>
    <w:rsid w:val="47DA073E"/>
    <w:rsid w:val="47E41BE3"/>
    <w:rsid w:val="47F628FA"/>
    <w:rsid w:val="48014BE7"/>
    <w:rsid w:val="48651EF8"/>
    <w:rsid w:val="486561CC"/>
    <w:rsid w:val="487333F6"/>
    <w:rsid w:val="48774DFE"/>
    <w:rsid w:val="489A1C79"/>
    <w:rsid w:val="48B03E9F"/>
    <w:rsid w:val="48E00AC5"/>
    <w:rsid w:val="48F0132C"/>
    <w:rsid w:val="48F55B45"/>
    <w:rsid w:val="4918362D"/>
    <w:rsid w:val="49183BBE"/>
    <w:rsid w:val="491A4ED9"/>
    <w:rsid w:val="49252B13"/>
    <w:rsid w:val="494708E3"/>
    <w:rsid w:val="497C0AAC"/>
    <w:rsid w:val="498216FD"/>
    <w:rsid w:val="499B3E64"/>
    <w:rsid w:val="499E601B"/>
    <w:rsid w:val="49B84D2C"/>
    <w:rsid w:val="49C15343"/>
    <w:rsid w:val="49FE1162"/>
    <w:rsid w:val="4A0715DF"/>
    <w:rsid w:val="4A192CFD"/>
    <w:rsid w:val="4A262F2E"/>
    <w:rsid w:val="4A306175"/>
    <w:rsid w:val="4A3C43C9"/>
    <w:rsid w:val="4A3F15B8"/>
    <w:rsid w:val="4A6B6D2C"/>
    <w:rsid w:val="4A8169BE"/>
    <w:rsid w:val="4A8A3E4B"/>
    <w:rsid w:val="4A9506F7"/>
    <w:rsid w:val="4A986952"/>
    <w:rsid w:val="4AC07187"/>
    <w:rsid w:val="4B176EEC"/>
    <w:rsid w:val="4B2C56D0"/>
    <w:rsid w:val="4B2E2D9C"/>
    <w:rsid w:val="4B383963"/>
    <w:rsid w:val="4B5D46DE"/>
    <w:rsid w:val="4B807F14"/>
    <w:rsid w:val="4B935B69"/>
    <w:rsid w:val="4BB2756C"/>
    <w:rsid w:val="4BCD3B4D"/>
    <w:rsid w:val="4BCD7125"/>
    <w:rsid w:val="4BD643F7"/>
    <w:rsid w:val="4BD85189"/>
    <w:rsid w:val="4BDE1EA4"/>
    <w:rsid w:val="4BDF467B"/>
    <w:rsid w:val="4C272A15"/>
    <w:rsid w:val="4C2F1755"/>
    <w:rsid w:val="4C344AA1"/>
    <w:rsid w:val="4C3E1770"/>
    <w:rsid w:val="4C894CEA"/>
    <w:rsid w:val="4C8E5216"/>
    <w:rsid w:val="4CDC002F"/>
    <w:rsid w:val="4CE65642"/>
    <w:rsid w:val="4CEF5956"/>
    <w:rsid w:val="4CFF366F"/>
    <w:rsid w:val="4D1917A8"/>
    <w:rsid w:val="4D1E230F"/>
    <w:rsid w:val="4D3A7C59"/>
    <w:rsid w:val="4D3B644C"/>
    <w:rsid w:val="4D3C2959"/>
    <w:rsid w:val="4D974816"/>
    <w:rsid w:val="4DAF3144"/>
    <w:rsid w:val="4DBE19C2"/>
    <w:rsid w:val="4DC44364"/>
    <w:rsid w:val="4E001CC7"/>
    <w:rsid w:val="4E033A95"/>
    <w:rsid w:val="4E054997"/>
    <w:rsid w:val="4E545DE4"/>
    <w:rsid w:val="4EC02376"/>
    <w:rsid w:val="4EF86E1A"/>
    <w:rsid w:val="4F165B40"/>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5A1473"/>
    <w:rsid w:val="507F46AC"/>
    <w:rsid w:val="508F4E81"/>
    <w:rsid w:val="50C47A79"/>
    <w:rsid w:val="50F80D92"/>
    <w:rsid w:val="51064251"/>
    <w:rsid w:val="511D6223"/>
    <w:rsid w:val="51296F56"/>
    <w:rsid w:val="512D05D4"/>
    <w:rsid w:val="51391C5B"/>
    <w:rsid w:val="51467D32"/>
    <w:rsid w:val="515D45F9"/>
    <w:rsid w:val="518A531D"/>
    <w:rsid w:val="519F60B2"/>
    <w:rsid w:val="51AE15D4"/>
    <w:rsid w:val="51B95E72"/>
    <w:rsid w:val="51DF03CE"/>
    <w:rsid w:val="51F7052E"/>
    <w:rsid w:val="52271E16"/>
    <w:rsid w:val="52347744"/>
    <w:rsid w:val="52393C1D"/>
    <w:rsid w:val="52521A3D"/>
    <w:rsid w:val="52682107"/>
    <w:rsid w:val="52716292"/>
    <w:rsid w:val="527B5F26"/>
    <w:rsid w:val="528B62BC"/>
    <w:rsid w:val="529F4222"/>
    <w:rsid w:val="52A55CB3"/>
    <w:rsid w:val="52A91F2B"/>
    <w:rsid w:val="52B23FA9"/>
    <w:rsid w:val="52E45DE5"/>
    <w:rsid w:val="52EF0D67"/>
    <w:rsid w:val="52F02C42"/>
    <w:rsid w:val="52FE26CC"/>
    <w:rsid w:val="53195672"/>
    <w:rsid w:val="532845D8"/>
    <w:rsid w:val="535457FD"/>
    <w:rsid w:val="536461D5"/>
    <w:rsid w:val="537940E2"/>
    <w:rsid w:val="538C0DB6"/>
    <w:rsid w:val="53A718BB"/>
    <w:rsid w:val="53D109CC"/>
    <w:rsid w:val="54026EF3"/>
    <w:rsid w:val="54120CE3"/>
    <w:rsid w:val="54224AEE"/>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73446"/>
    <w:rsid w:val="55CD2683"/>
    <w:rsid w:val="55CE5218"/>
    <w:rsid w:val="55F02B37"/>
    <w:rsid w:val="55F52A95"/>
    <w:rsid w:val="563952B5"/>
    <w:rsid w:val="564B4A19"/>
    <w:rsid w:val="56AD2F65"/>
    <w:rsid w:val="56BE5DE9"/>
    <w:rsid w:val="56DA29F0"/>
    <w:rsid w:val="56E04480"/>
    <w:rsid w:val="5726114F"/>
    <w:rsid w:val="572E1DC4"/>
    <w:rsid w:val="572E263C"/>
    <w:rsid w:val="573A21E0"/>
    <w:rsid w:val="57550297"/>
    <w:rsid w:val="57556125"/>
    <w:rsid w:val="57751DA1"/>
    <w:rsid w:val="57A976CF"/>
    <w:rsid w:val="57D04474"/>
    <w:rsid w:val="57D44AE6"/>
    <w:rsid w:val="57D90E3A"/>
    <w:rsid w:val="58051E72"/>
    <w:rsid w:val="582A524A"/>
    <w:rsid w:val="5838167A"/>
    <w:rsid w:val="58535237"/>
    <w:rsid w:val="586D2587"/>
    <w:rsid w:val="587D70BF"/>
    <w:rsid w:val="58845475"/>
    <w:rsid w:val="5889606F"/>
    <w:rsid w:val="589E3082"/>
    <w:rsid w:val="589E51D8"/>
    <w:rsid w:val="58B20FE9"/>
    <w:rsid w:val="58B26326"/>
    <w:rsid w:val="58C13D6E"/>
    <w:rsid w:val="592E6E44"/>
    <w:rsid w:val="5931771A"/>
    <w:rsid w:val="59427279"/>
    <w:rsid w:val="59443F0F"/>
    <w:rsid w:val="594606B0"/>
    <w:rsid w:val="595A4F46"/>
    <w:rsid w:val="595B5C1B"/>
    <w:rsid w:val="595E5DBD"/>
    <w:rsid w:val="597804E9"/>
    <w:rsid w:val="59A15F8A"/>
    <w:rsid w:val="59AA7631"/>
    <w:rsid w:val="59B355A8"/>
    <w:rsid w:val="59CC778D"/>
    <w:rsid w:val="59DC5C31"/>
    <w:rsid w:val="5A1C2B94"/>
    <w:rsid w:val="5A41796E"/>
    <w:rsid w:val="5A447516"/>
    <w:rsid w:val="5A5E660A"/>
    <w:rsid w:val="5A6B2536"/>
    <w:rsid w:val="5A6C38ED"/>
    <w:rsid w:val="5A7D7DC9"/>
    <w:rsid w:val="5A870F43"/>
    <w:rsid w:val="5A902353"/>
    <w:rsid w:val="5AC83137"/>
    <w:rsid w:val="5ACB6B07"/>
    <w:rsid w:val="5AED4CE2"/>
    <w:rsid w:val="5AFE4B41"/>
    <w:rsid w:val="5AFE6C9F"/>
    <w:rsid w:val="5AFF2C16"/>
    <w:rsid w:val="5B0A38CB"/>
    <w:rsid w:val="5B61273E"/>
    <w:rsid w:val="5B6E7DE8"/>
    <w:rsid w:val="5B740E56"/>
    <w:rsid w:val="5B901EF3"/>
    <w:rsid w:val="5BA454AF"/>
    <w:rsid w:val="5BD0210D"/>
    <w:rsid w:val="5C256739"/>
    <w:rsid w:val="5C2C016F"/>
    <w:rsid w:val="5C384E29"/>
    <w:rsid w:val="5C3B42D6"/>
    <w:rsid w:val="5C4B7D70"/>
    <w:rsid w:val="5C78176A"/>
    <w:rsid w:val="5C89301D"/>
    <w:rsid w:val="5C91003A"/>
    <w:rsid w:val="5C941E9A"/>
    <w:rsid w:val="5CA65C73"/>
    <w:rsid w:val="5CD45A79"/>
    <w:rsid w:val="5CFD2BAF"/>
    <w:rsid w:val="5D372D3D"/>
    <w:rsid w:val="5D512F5D"/>
    <w:rsid w:val="5DA97C2A"/>
    <w:rsid w:val="5DDB5902"/>
    <w:rsid w:val="5DF904C3"/>
    <w:rsid w:val="5DFD1447"/>
    <w:rsid w:val="5E0619EE"/>
    <w:rsid w:val="5E18530F"/>
    <w:rsid w:val="5E4F212A"/>
    <w:rsid w:val="5E5A6482"/>
    <w:rsid w:val="5E5D519C"/>
    <w:rsid w:val="5E83792B"/>
    <w:rsid w:val="5EB22C18"/>
    <w:rsid w:val="5ECD13E0"/>
    <w:rsid w:val="5ECF1387"/>
    <w:rsid w:val="5EDA5E4B"/>
    <w:rsid w:val="5EE24148"/>
    <w:rsid w:val="5EEF2C72"/>
    <w:rsid w:val="5EFB6652"/>
    <w:rsid w:val="5F113FE6"/>
    <w:rsid w:val="5F1F04B3"/>
    <w:rsid w:val="5F54205E"/>
    <w:rsid w:val="5F5778EA"/>
    <w:rsid w:val="5F7F0FCC"/>
    <w:rsid w:val="5F864151"/>
    <w:rsid w:val="5FA16171"/>
    <w:rsid w:val="5FBE57DC"/>
    <w:rsid w:val="5FDC54B2"/>
    <w:rsid w:val="5FE36389"/>
    <w:rsid w:val="60290442"/>
    <w:rsid w:val="60396B20"/>
    <w:rsid w:val="60397D0D"/>
    <w:rsid w:val="603E4C08"/>
    <w:rsid w:val="60501874"/>
    <w:rsid w:val="607B0F50"/>
    <w:rsid w:val="60866833"/>
    <w:rsid w:val="60A0766E"/>
    <w:rsid w:val="60A564FB"/>
    <w:rsid w:val="60A772D5"/>
    <w:rsid w:val="6100428F"/>
    <w:rsid w:val="612F6EFB"/>
    <w:rsid w:val="61325CA3"/>
    <w:rsid w:val="614B4800"/>
    <w:rsid w:val="61833763"/>
    <w:rsid w:val="61B2107A"/>
    <w:rsid w:val="61B31EEA"/>
    <w:rsid w:val="61B95D15"/>
    <w:rsid w:val="61CD6317"/>
    <w:rsid w:val="62144378"/>
    <w:rsid w:val="622B4947"/>
    <w:rsid w:val="623C21BB"/>
    <w:rsid w:val="623C29CA"/>
    <w:rsid w:val="62642FCC"/>
    <w:rsid w:val="629321D7"/>
    <w:rsid w:val="62972F0F"/>
    <w:rsid w:val="62994F30"/>
    <w:rsid w:val="62D155AD"/>
    <w:rsid w:val="62DA1607"/>
    <w:rsid w:val="630579C8"/>
    <w:rsid w:val="6309664E"/>
    <w:rsid w:val="63284643"/>
    <w:rsid w:val="632A0132"/>
    <w:rsid w:val="632B7E9C"/>
    <w:rsid w:val="632D66EB"/>
    <w:rsid w:val="633817A6"/>
    <w:rsid w:val="63520053"/>
    <w:rsid w:val="63524BC7"/>
    <w:rsid w:val="636433B8"/>
    <w:rsid w:val="6394008A"/>
    <w:rsid w:val="63A60C4C"/>
    <w:rsid w:val="63B1701A"/>
    <w:rsid w:val="63D27CE5"/>
    <w:rsid w:val="63DA744D"/>
    <w:rsid w:val="63DF662B"/>
    <w:rsid w:val="63E978AB"/>
    <w:rsid w:val="63F130FF"/>
    <w:rsid w:val="64022E8C"/>
    <w:rsid w:val="640E4306"/>
    <w:rsid w:val="64357186"/>
    <w:rsid w:val="64401FB1"/>
    <w:rsid w:val="644244C6"/>
    <w:rsid w:val="645455F2"/>
    <w:rsid w:val="647C41D5"/>
    <w:rsid w:val="649D4F05"/>
    <w:rsid w:val="64CA54C0"/>
    <w:rsid w:val="64E57549"/>
    <w:rsid w:val="64F41122"/>
    <w:rsid w:val="64FB76F0"/>
    <w:rsid w:val="651057F3"/>
    <w:rsid w:val="651A6DCE"/>
    <w:rsid w:val="65347105"/>
    <w:rsid w:val="65466BDA"/>
    <w:rsid w:val="655E2FF8"/>
    <w:rsid w:val="65753AF2"/>
    <w:rsid w:val="657A5CEE"/>
    <w:rsid w:val="65BA7C51"/>
    <w:rsid w:val="65E21C88"/>
    <w:rsid w:val="661E0E6E"/>
    <w:rsid w:val="6643305A"/>
    <w:rsid w:val="664B0AEB"/>
    <w:rsid w:val="664E6051"/>
    <w:rsid w:val="66721D70"/>
    <w:rsid w:val="66817794"/>
    <w:rsid w:val="66996902"/>
    <w:rsid w:val="670D0ADC"/>
    <w:rsid w:val="672A14EE"/>
    <w:rsid w:val="672A527A"/>
    <w:rsid w:val="674468F2"/>
    <w:rsid w:val="67525CE9"/>
    <w:rsid w:val="67600DEC"/>
    <w:rsid w:val="67626C08"/>
    <w:rsid w:val="67694B6F"/>
    <w:rsid w:val="67CE5A52"/>
    <w:rsid w:val="67D46CBE"/>
    <w:rsid w:val="67D5553E"/>
    <w:rsid w:val="67FB6AF8"/>
    <w:rsid w:val="68273E23"/>
    <w:rsid w:val="683C36CD"/>
    <w:rsid w:val="686C1BB7"/>
    <w:rsid w:val="68717FC0"/>
    <w:rsid w:val="688F28C6"/>
    <w:rsid w:val="689204D6"/>
    <w:rsid w:val="68931A71"/>
    <w:rsid w:val="690C73C1"/>
    <w:rsid w:val="690E470A"/>
    <w:rsid w:val="69145543"/>
    <w:rsid w:val="69455631"/>
    <w:rsid w:val="69505908"/>
    <w:rsid w:val="69511D7C"/>
    <w:rsid w:val="69667239"/>
    <w:rsid w:val="698F63A7"/>
    <w:rsid w:val="69AF334E"/>
    <w:rsid w:val="69B20BA4"/>
    <w:rsid w:val="69B338D7"/>
    <w:rsid w:val="69D03A62"/>
    <w:rsid w:val="69E61A81"/>
    <w:rsid w:val="6A0B4A62"/>
    <w:rsid w:val="6A1E4169"/>
    <w:rsid w:val="6A272C44"/>
    <w:rsid w:val="6A4A53D9"/>
    <w:rsid w:val="6A4C1F16"/>
    <w:rsid w:val="6A584D82"/>
    <w:rsid w:val="6AC53309"/>
    <w:rsid w:val="6ADF6EF1"/>
    <w:rsid w:val="6AE063B8"/>
    <w:rsid w:val="6B1D7C10"/>
    <w:rsid w:val="6B326C6E"/>
    <w:rsid w:val="6B59680C"/>
    <w:rsid w:val="6B5B4C25"/>
    <w:rsid w:val="6B82310F"/>
    <w:rsid w:val="6B9955C4"/>
    <w:rsid w:val="6BA50FBC"/>
    <w:rsid w:val="6BA94B6C"/>
    <w:rsid w:val="6BBE23AC"/>
    <w:rsid w:val="6BC9393A"/>
    <w:rsid w:val="6BC965DC"/>
    <w:rsid w:val="6BD05FE0"/>
    <w:rsid w:val="6C15278F"/>
    <w:rsid w:val="6C192C77"/>
    <w:rsid w:val="6C247FF2"/>
    <w:rsid w:val="6C680B1C"/>
    <w:rsid w:val="6C6830AB"/>
    <w:rsid w:val="6CA35071"/>
    <w:rsid w:val="6CAA2244"/>
    <w:rsid w:val="6D176C50"/>
    <w:rsid w:val="6D635ECF"/>
    <w:rsid w:val="6D6B1A32"/>
    <w:rsid w:val="6D830976"/>
    <w:rsid w:val="6D8D1556"/>
    <w:rsid w:val="6D9C47D4"/>
    <w:rsid w:val="6D9D362B"/>
    <w:rsid w:val="6DA878E5"/>
    <w:rsid w:val="6DB3004E"/>
    <w:rsid w:val="6DC64084"/>
    <w:rsid w:val="6DD04789"/>
    <w:rsid w:val="6DD652A5"/>
    <w:rsid w:val="6DDA18E4"/>
    <w:rsid w:val="6DE31FA4"/>
    <w:rsid w:val="6DEF27A5"/>
    <w:rsid w:val="6DF1004A"/>
    <w:rsid w:val="6DF76419"/>
    <w:rsid w:val="6E2E21AD"/>
    <w:rsid w:val="6E5B527C"/>
    <w:rsid w:val="6E865950"/>
    <w:rsid w:val="6E8B12C4"/>
    <w:rsid w:val="6E921DF4"/>
    <w:rsid w:val="6EA40439"/>
    <w:rsid w:val="6EB0714F"/>
    <w:rsid w:val="6F016BFE"/>
    <w:rsid w:val="6F257E2B"/>
    <w:rsid w:val="6F74384E"/>
    <w:rsid w:val="6F7A1086"/>
    <w:rsid w:val="6F7D30C6"/>
    <w:rsid w:val="6F855C15"/>
    <w:rsid w:val="6F8C70D0"/>
    <w:rsid w:val="6FCD5F96"/>
    <w:rsid w:val="6FCD6A80"/>
    <w:rsid w:val="6FDF228C"/>
    <w:rsid w:val="701048BF"/>
    <w:rsid w:val="702A6418"/>
    <w:rsid w:val="70404FC8"/>
    <w:rsid w:val="70425707"/>
    <w:rsid w:val="70644806"/>
    <w:rsid w:val="706A34F7"/>
    <w:rsid w:val="70A44053"/>
    <w:rsid w:val="70B23DA1"/>
    <w:rsid w:val="70D42F6E"/>
    <w:rsid w:val="710B2E1E"/>
    <w:rsid w:val="713B6F9B"/>
    <w:rsid w:val="7198751A"/>
    <w:rsid w:val="71A51555"/>
    <w:rsid w:val="71C56B06"/>
    <w:rsid w:val="71E276CC"/>
    <w:rsid w:val="7209211A"/>
    <w:rsid w:val="729E0354"/>
    <w:rsid w:val="72AA2B05"/>
    <w:rsid w:val="72C546A9"/>
    <w:rsid w:val="72F05E81"/>
    <w:rsid w:val="72FE1849"/>
    <w:rsid w:val="73150265"/>
    <w:rsid w:val="731B7C39"/>
    <w:rsid w:val="732E12B1"/>
    <w:rsid w:val="733D0A3C"/>
    <w:rsid w:val="734961CD"/>
    <w:rsid w:val="734F3E47"/>
    <w:rsid w:val="73902F8B"/>
    <w:rsid w:val="73C678FC"/>
    <w:rsid w:val="73CF37E0"/>
    <w:rsid w:val="73E867D3"/>
    <w:rsid w:val="73F02CE7"/>
    <w:rsid w:val="73F21569"/>
    <w:rsid w:val="7400632C"/>
    <w:rsid w:val="74281E02"/>
    <w:rsid w:val="7453209B"/>
    <w:rsid w:val="745C37D5"/>
    <w:rsid w:val="746D6EA6"/>
    <w:rsid w:val="74741EC6"/>
    <w:rsid w:val="74794AD2"/>
    <w:rsid w:val="74BE0F07"/>
    <w:rsid w:val="74C9150D"/>
    <w:rsid w:val="74D11297"/>
    <w:rsid w:val="74F77888"/>
    <w:rsid w:val="7503560E"/>
    <w:rsid w:val="750F1F5A"/>
    <w:rsid w:val="755B23F0"/>
    <w:rsid w:val="756441E0"/>
    <w:rsid w:val="7569689C"/>
    <w:rsid w:val="759D43E0"/>
    <w:rsid w:val="75A738BE"/>
    <w:rsid w:val="75D13ED7"/>
    <w:rsid w:val="75E354AB"/>
    <w:rsid w:val="75FD0190"/>
    <w:rsid w:val="76001D27"/>
    <w:rsid w:val="76085DC1"/>
    <w:rsid w:val="76270C98"/>
    <w:rsid w:val="762E07D6"/>
    <w:rsid w:val="764D1C84"/>
    <w:rsid w:val="7659795A"/>
    <w:rsid w:val="76635F77"/>
    <w:rsid w:val="76912DA9"/>
    <w:rsid w:val="76BE2084"/>
    <w:rsid w:val="76C67A20"/>
    <w:rsid w:val="76FA32E0"/>
    <w:rsid w:val="777A7C3A"/>
    <w:rsid w:val="77B40DE8"/>
    <w:rsid w:val="77B6655A"/>
    <w:rsid w:val="77D2431F"/>
    <w:rsid w:val="77FF4097"/>
    <w:rsid w:val="781E2A58"/>
    <w:rsid w:val="78295A57"/>
    <w:rsid w:val="782E504C"/>
    <w:rsid w:val="786C031B"/>
    <w:rsid w:val="787108B6"/>
    <w:rsid w:val="787B4D40"/>
    <w:rsid w:val="78AE511E"/>
    <w:rsid w:val="78B80928"/>
    <w:rsid w:val="78C339EC"/>
    <w:rsid w:val="78CD3E56"/>
    <w:rsid w:val="78D939E3"/>
    <w:rsid w:val="78EB6EB1"/>
    <w:rsid w:val="790421B5"/>
    <w:rsid w:val="791B599B"/>
    <w:rsid w:val="79374CE7"/>
    <w:rsid w:val="794319BF"/>
    <w:rsid w:val="7955353C"/>
    <w:rsid w:val="799035A9"/>
    <w:rsid w:val="79A53B2D"/>
    <w:rsid w:val="79B81A90"/>
    <w:rsid w:val="79E6546C"/>
    <w:rsid w:val="79F8170D"/>
    <w:rsid w:val="79FC24F5"/>
    <w:rsid w:val="79FD14B8"/>
    <w:rsid w:val="7A096A08"/>
    <w:rsid w:val="7A2A11C4"/>
    <w:rsid w:val="7A2B2F1C"/>
    <w:rsid w:val="7A3A0843"/>
    <w:rsid w:val="7A3E6A0A"/>
    <w:rsid w:val="7A4447A6"/>
    <w:rsid w:val="7A444EC0"/>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008B3"/>
    <w:rsid w:val="7CA91F8C"/>
    <w:rsid w:val="7CAE0131"/>
    <w:rsid w:val="7CB876F9"/>
    <w:rsid w:val="7D2D607C"/>
    <w:rsid w:val="7D4164FE"/>
    <w:rsid w:val="7D576356"/>
    <w:rsid w:val="7D632F91"/>
    <w:rsid w:val="7D8173E7"/>
    <w:rsid w:val="7D8E5DA9"/>
    <w:rsid w:val="7D980DF8"/>
    <w:rsid w:val="7D9C6FEC"/>
    <w:rsid w:val="7DCC6265"/>
    <w:rsid w:val="7DEC6415"/>
    <w:rsid w:val="7E3F35A6"/>
    <w:rsid w:val="7E3F6376"/>
    <w:rsid w:val="7E602E99"/>
    <w:rsid w:val="7E71238B"/>
    <w:rsid w:val="7E867A69"/>
    <w:rsid w:val="7E8E2BAE"/>
    <w:rsid w:val="7E900D73"/>
    <w:rsid w:val="7ED1289E"/>
    <w:rsid w:val="7EF40520"/>
    <w:rsid w:val="7EF77DD6"/>
    <w:rsid w:val="7F380987"/>
    <w:rsid w:val="7F3C7D4F"/>
    <w:rsid w:val="7F3F1296"/>
    <w:rsid w:val="7F581501"/>
    <w:rsid w:val="7F805815"/>
    <w:rsid w:val="7F833067"/>
    <w:rsid w:val="7F8E2564"/>
    <w:rsid w:val="7F9A10F4"/>
    <w:rsid w:val="7FAE3319"/>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57</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2018-11-01T14:25:26Z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