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大盘反弹暂时不动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科大讯飞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23.52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26.16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人工智能开会，早盘开盘买入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5.98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6.61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资产重组做龙回头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买入价格4.981元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1096-1536542303639"/>
      <w:bookmarkEnd w:id="3"/>
      <w:bookmarkStart w:id="4" w:name="2151-1536542303645"/>
      <w:bookmarkEnd w:id="4"/>
      <w:bookmarkStart w:id="5" w:name="2911-1536542303635"/>
      <w:bookmarkEnd w:id="5"/>
      <w:bookmarkStart w:id="6" w:name="3677-1536542303641"/>
      <w:bookmarkEnd w:id="6"/>
      <w:bookmarkStart w:id="7" w:name="1227-1536542303637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收盘2665.43，-0.41%，成交额1686亿缩小。 习大大讲话开科创板块，港股、创业板下跌。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880" cy="20193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2.上证50：2511.59，-1.23%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港股：25934.39， -2.08%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贬值创新低6.9122，+131基点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GC001：2.475，-12.23%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融资融券余额：7676亿，-25.82亿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ascii="微软雅黑" w:hAnsi="微软雅黑" w:eastAsia="微软雅黑" w:cs="微软雅黑"/>
          <w:color w:val="393A4C"/>
          <w:sz w:val="15"/>
          <w:szCs w:val="15"/>
        </w:rPr>
        <w:t xml:space="preserve">【宏观要闻】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习近平：将在上海证券交易所设立科创板并试点注册制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习近平：为了更好发挥上海等地区在对外开放中的重要作用，我们决定，一是将增设中国上海自由贸易试验区的新片区，鼓励和支持上海在推进投资和贸易自由化便利化方面大胆创新探索，为全国积累更多可复制可推广经验。二是将在上海证券交易所设立科创板并试点注册制，支持上海国际金融中心和科技创新中心建设，不断完善资本市场基础制度。三是将支持长江三角洲区域一体化发展并上升为国家战略，着力落实新发展理念，构建现代化经济体系，推进更高起点的深化改革和更高层次的对外开放，同“一带一路”建设、京津冀协同发展、长江经济带发展、粤港澳大湾区建设相互配合，完善中国改革开放空间布局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证监会：鼓励中小投资者通过公募基金等方式参与科创板投资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证监会负责人表示，证监会党委将会同上交所党委坚决贯彻落实。证监会党委深刻认识到，在上交所设立科创板是落实创新驱动和科技强国战略、推动高质量发展、支持上海国际金融中心和科技创新中心建设的重大改革举措，是完善资本市场基础制度、激发市场活力和保护投资者合法权益的重要安排。科创板旨在补齐资本市场服务科技创新的短板，是资本市场的增量改革，将在盈利状况、股权结构等方面做出更为妥善的差异化安排，增强对创新企业的包容性和适应性。证监会将指导上交所针对创新企业的特点，在资产、投资经验、风险承受能力等方面加强科创板投资者适当性管理，引导投资者理性参与。鼓励中小投资者通过公募基金等方式参与科创板投资，分享创新企业发展成果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【资讯快报】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国办调整国务院关税税则委员会：肖捷任主任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中国据悉计划提高截至2020年的光伏装机目标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上交所：积极稳妥推进科创板和注册制试点顺利落地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国务院：积极支持杨凌示范区内符合条件的企业上市融资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外汇局：前三季度我国经常账户逆差128亿美元 资本和金融账户顺差625亿美元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上海司度案结案 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"http://www.yuncaijing.com/quote/sh600030.html"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中信证券(600030)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"https://www.yuncaijing.com/quote/sh600030_multi.html"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等三家券商涉案违法事实不成立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太平资产设立80亿专项产品纾解股票质押风险 系保险业第二只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11月初私募平均仓位为57.84% 较10月份下降了4.66个百分点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工信部：进一步拓展“产学研用”合作 推动机床行业、汽车行业高质量发展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山西焦炭开启第三轮提涨 涨幅50-100元/吨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财政部：对科技企业孵化器大学科技园和众创空间免征增值税、房产税和城镇土地使用税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【增减持】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"http://www.yuncaijing.com/quote/sz002909.html"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集泰股份(002909)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"https://www.yuncaijing.com/quote/sz002909_multi.html"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：拟回购3000万元-6000万元股份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"http://www.yuncaijing.com/quote/sz002361.html"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神剑股份(002361)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"https://www.yuncaijing.com/quote/sz002361_multi.html"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：拟不低于1亿元，不超过2亿元回购股份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"http://www.yuncaijing.com/quote/sz300294.html"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博雅生物(300294)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"https://www.yuncaijing.com/quote/sz300294_multi.html"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：拟以1亿元-2亿元回购股份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"http://www.yuncaijing.com/quote/sz300536.html"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农尚环境(300536)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"https://www.yuncaijing.com/quote/sz300536_multi.html"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：两股东拟合计减持不超5.11%股份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"http://www.yuncaijing.com/quote/sz000868.html"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安凯客车(000868)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"https://www.yuncaijing.com/quote/sz000868_multi.html"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：安徽省投资集团拟减持不超3%股份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"http://www.yuncaijing.com/quote/sz002669.html"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康达新材(002669)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"https://www.yuncaijing.com/quote/sz002669_multi.html"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：西藏瑞东管理的四只基金拟减持不超6.50%公司股份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"http://www.yuncaijing.com/quote/sz002377.html"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国创高新(002377)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"https://www.yuncaijing.com/quote/sz002377_multi.html"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：深圳传承互兴等拟减持不超3.07%股份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【利好公告】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"http://www.yuncaijing.com/quote/sh600120.html"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浙江东方(600120)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"https://www.yuncaijing.com/quote/sh600120_multi.html"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：减持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"http://www.yuncaijing.com/quote/sz002415.html"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海康威视(002415)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"https://www.yuncaijing.com/quote/sz002415_multi.html"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约1000万股 获利近2亿元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"http://www.yuncaijing.com/quote/sh600884.html"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杉杉股份(600884)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"https://www.yuncaijing.com/quote/sh600884_multi.html"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：减持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"http://www.yuncaijing.com/quote/sz002142.html"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宁波银行(002142)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"https://www.yuncaijing.com/quote/sz002142_multi.html"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股份 获投资收益1.3亿元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"http://www.yuncaijing.com/quote/sh601688.html"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华泰证券(601688)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"https://www.yuncaijing.com/quote/sh601688_multi.html"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：公开发行不超160亿元公司债获证监会核准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"http://www.yuncaijing.com/quote/sz002239.html"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奥特佳(002239)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"https://www.yuncaijing.com/quote/sz002239_multi.html"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：子公司空调国际成为特斯拉供应商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393A4C"/>
          <w:sz w:val="15"/>
          <w:szCs w:val="15"/>
        </w:rPr>
        <w:t>中信证券(600030)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：证监会认为公司与司度(上海)的融资融券业务涉案违法事实不成立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"http://www.yuncaijing.com/quote/sh600828.html"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茂业商业(600828)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"https://www.yuncaijing.com/quote/sh600828_multi.html"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前三季拟进行利润分配：10派2元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"http://www.yuncaijing.com/quote/sz002065.html"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东华软件(002065)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"https://www.yuncaijing.com/quote/sz002065_multi.html"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：与西安高新、腾讯拟战略合作 涉及云计算、智慧商业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"http://www.yuncaijing.com/quote/sh603188.html"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ST亚邦(603188)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"https://www.yuncaijing.com/quote/sh603188_multi.html"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：11月7日起撤销风险警示 明日停牌一天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*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"http://www.yuncaijing.com/quote/sh600150.html"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ST船舶(600150)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"https://www.yuncaijing.com/quote/sh600150_multi.html"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：将签订2艘大型邮轮新造船合同 合同价15.4亿美元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*ST 凡谷：实控人之一将9.5%公司股份转让给平潭华业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"http://www.yuncaijing.com/quote/sz300246.html"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宝莱特(300246)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"https://www.yuncaijing.com/quote/sz300246_multi.html"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：控股股东拟将5%-8%股权协议转让给华发集团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"http://www.yuncaijing.com/quote/sz002714.html"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牧原股份(002714)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"https://www.yuncaijing.com/quote/sz002714_multi.html"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：10月生猪销售收入15亿 同比增70%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"http://www.yuncaijing.com/quote/sz002015.html"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霞客环保(002015)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"https://www.yuncaijing.com/quote/sz002015_multi.html"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：拟作价47亿元收购协鑫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"http://www.yuncaijing.com/quote/sh600869.html"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智慧能源(600869)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"https://www.yuncaijing.com/quote/sh600869_multi.html"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90%股份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"http://www.yuncaijing.com/quote/sz002465.html"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海格通信(002465)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"https://www.yuncaijing.com/quote/sz002465_multi.html"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：与特殊机构客户签1.34亿元供货合同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"http://www.yuncaijing.com/quote/sz300043.html"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星辉娱乐(300043)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"https://www.yuncaijing.com/quote/sz300043_multi.html"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：旗下西班牙人俱乐部球员转会 将增加公司业绩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ascii="微软雅黑" w:hAnsi="微软雅黑" w:eastAsia="微软雅黑" w:cs="微软雅黑"/>
          <w:color w:val="393A4C"/>
          <w:sz w:val="15"/>
          <w:szCs w:val="15"/>
        </w:rPr>
        <w:t xml:space="preserve">【宏观要闻】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习近平：将在上海证券交易所设立科创板并试点注册制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习近平：为了更好发挥上海等地区在对外开放中的重要作用，我们决定，一是将增设中国上海自由贸易试验区的新片区，鼓励和支持上海在推进投资和贸易自由化便利化方面大胆创新探索，为全国积累更多可复制可推广经验。二是将在上海证券交易所设立科创板并试点注册制，支持上海国际金融中心和科技创新中心建设，不断完善资本市场基础制度。三是将支持长江三角洲区域一体化发展并上升为国家战略，着力落实新发展理念，构建现代化经济体系，推进更高起点的深化改革和更高层次的对外开放，同“一带一路”建设、京津冀协同发展、长江经济带发展、粤港澳大湾区建设相互配合，完善中国改革开放空间布局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证监会：鼓励中小投资者通过公募基金等方式参与科创板投资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证监会负责人表示，证监会党委将会同上交所党委坚决贯彻落实。证监会党委深刻认识到，在上交所设立科创板是落实创新驱动和科技强国战略、推动高质量发展、支持上海国际金融中心和科技创新中心建设的重大改革举措，是完善资本市场基础制度、激发市场活力和保护投资者合法权益的重要安排。科创板旨在补齐资本市场服务科技创新的短板，是资本市场的增量改革，将在盈利状况、股权结构等方面做出更为妥善的差异化安排，增强对创新企业的包容性和适应性。证监会将指导上交所针对创新企业的特点，在资产、投资经验、风险承受能力等方面加强科创板投资者适当性管理，引导投资者理性参与。鼓励中小投资者通过公募基金等方式参与科创板投资，分享创新企业发展成果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【资讯快报】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国办调整国务院关税税则委员会：肖捷任主任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中国据悉计划提高截至2020年的光伏装机目标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上交所：积极稳妥推进科创板和注册制试点顺利落地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国务院：积极支持杨凌示范区内符合条件的企业上市融资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外汇局：前三季度我国经常账户逆差128亿美元 资本和金融账户顺差625亿美元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上海司度案结案 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"http://www.yuncaijing.com/quote/sh600030.html"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中信证券(600030)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"https://www.yuncaijing.com/quote/sh600030_multi.html"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等三家券商涉案违法事实不成立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太平资产设立80亿专项产品纾解股票质押风险 系保险业第二只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11月初私募平均仓位为57.84% 较10月份下降了4.66个百分点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工信部：进一步拓展“产学研用”合作 推动机床行业、汽车行业高质量发展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山西焦炭开启第三轮提涨 涨幅50-100元/吨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财政部：对科技企业孵化器大学科技园和众创空间免征增值税、房产税和城镇土地使用税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【增减持】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"http://www.yuncaijing.com/quote/sz002909.html"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集泰股份(002909)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"https://www.yuncaijing.com/quote/sz002909_multi.html"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：拟回购3000万元-6000万元股份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"http://www.yuncaijing.com/quote/sz002361.html"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神剑股份(002361)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"https://www.yuncaijing.com/quote/sz002361_multi.html"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：拟不低于1亿元，不超过2亿元回购股份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"http://www.yuncaijing.com/quote/sz300294.html"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博雅生物(300294)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"https://www.yuncaijing.com/quote/sz300294_multi.html"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：拟以1亿元-2亿元回购股份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"http://www.yuncaijing.com/quote/sz300536.html"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农尚环境(300536)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"https://www.yuncaijing.com/quote/sz300536_multi.html"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：两股东拟合计减持不超5.11%股份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"http://www.yuncaijing.com/quote/sz000868.html"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安凯客车(000868)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"https://www.yuncaijing.com/quote/sz000868_multi.html"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：安徽省投资集团拟减持不超3%股份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"http://www.yuncaijing.com/quote/sz002669.html"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康达新材(002669)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"https://www.yuncaijing.com/quote/sz002669_multi.html"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：西藏瑞东管理的四只基金拟减持不超6.50%公司股份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"http://www.yuncaijing.com/quote/sz002377.html"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国创高新(002377)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"https://www.yuncaijing.com/quote/sz002377_multi.html"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：深圳传承互兴等拟减持不超3.07%股份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【利好公告】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"http://www.yuncaijing.com/quote/sh600120.html"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浙江东方(600120)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"https://www.yuncaijing.com/quote/sh600120_multi.html"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：减持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"http://www.yuncaijing.com/quote/sz002415.html"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海康威视(002415)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"https://www.yuncaijing.com/quote/sz002415_multi.html"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约1000万股 获利近2亿元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"http://www.yuncaijing.com/quote/sh600884.html"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杉杉股份(600884)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"https://www.yuncaijing.com/quote/sh600884_multi.html"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：减持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"http://www.yuncaijing.com/quote/sz002142.html"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宁波银行(002142)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"https://www.yuncaijing.com/quote/sz002142_multi.html"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股份 获投资收益1.3亿元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"http://www.yuncaijing.com/quote/sh601688.html"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华泰证券(601688)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"https://www.yuncaijing.com/quote/sh601688_multi.html"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：公开发行不超160亿元公司债获证监会核准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"http://www.yuncaijing.com/quote/sz002239.html"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奥特佳(002239)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"https://www.yuncaijing.com/quote/sz002239_multi.html"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：子公司空调国际成为特斯拉供应商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393A4C"/>
          <w:sz w:val="15"/>
          <w:szCs w:val="15"/>
        </w:rPr>
        <w:t>中信证券(600030)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：证监会认为公司与司度(上海)的融资融券业务涉案违法事实不成立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"http://www.yuncaijing.com/quote/sh600828.html"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茂业商业(600828)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"https://www.yuncaijing.com/quote/sh600828_multi.html"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前三季拟进行利润分配：10派2元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"http://www.yuncaijing.com/quote/sz002065.html"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东华软件(002065)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"https://www.yuncaijing.com/quote/sz002065_multi.html"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：与西安高新、腾讯拟战略合作 涉及云计算、智慧商业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"http://www.yuncaijing.com/quote/sh603188.html"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ST亚邦(603188)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"https://www.yuncaijing.com/quote/sh603188_multi.html"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：11月7日起撤销风险警示 明日停牌一天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*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"http://www.yuncaijing.com/quote/sh600150.html"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ST船舶(600150)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"https://www.yuncaijing.com/quote/sh600150_multi.html"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：将签订2艘大型邮轮新造船合同 合同价15.4亿美元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*ST 凡谷：实控人之一将9.5%公司股份转让给平潭华业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"http://www.yuncaijing.com/quote/sz300246.html"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宝莱特(300246)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"https://www.yuncaijing.com/quote/sz300246_multi.html"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：控股股东拟将5%-8%股权协议转让给华发集团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"http://www.yuncaijing.com/quote/sz002714.html"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牧原股份(002714)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"https://www.yuncaijing.com/quote/sz002714_multi.html"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：10月生猪销售收入15亿 同比增70%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"http://www.yuncaijing.com/quote/sz002015.html"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霞客环保(002015)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"https://www.yuncaijing.com/quote/sz002015_multi.html"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>：拟作价47亿元收购协鑫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"http://www.yuncaijing.com/quote/sh600869.html"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智慧能源(600869)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"https://www.yuncaijing.com/quote/sh600869_multi.html"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90%股份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"http://www.yuncaijing.com/quote/sz002465.html"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海格通信(002465)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"https://www.yuncaijing.com/quote/sz002465_multi.html"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：与特殊机构客户签1.34亿元供货合同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"http://www.yuncaijing.com/quote/sz300043.html"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星辉娱乐(300043)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"https://www.yuncaijing.com/quote/sz300043_multi.html"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：旗下西班牙人俱乐部球员转会 将增加公司业绩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11-1日关注股票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神马股份</w:t>
      </w:r>
      <w:r>
        <w:rPr>
          <w:rFonts w:hint="default"/>
          <w:strike w:val="0"/>
          <w:dstrike w:val="0"/>
          <w:color w:val="00B050"/>
          <w:lang w:val="en-US" w:eastAsia="zh-CN"/>
        </w:rPr>
        <w:t>(-1.08%)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11-2日关注股票：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涪陵榨菜（</w:t>
      </w:r>
      <w:r>
        <w:rPr>
          <w:rFonts w:hint="default"/>
          <w:strike w:val="0"/>
          <w:dstrike w:val="0"/>
          <w:color w:val="00B050"/>
          <w:lang w:val="en-US" w:eastAsia="zh-CN"/>
        </w:rPr>
        <w:t>-1.44%</w:t>
      </w:r>
      <w:r>
        <w:rPr>
          <w:rFonts w:hint="eastAsia"/>
          <w:strike w:val="0"/>
          <w:dstrike w:val="0"/>
          <w:color w:val="00B050"/>
          <w:lang w:val="en-US" w:eastAsia="zh-CN"/>
        </w:rPr>
        <w:t>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11-3日关注股票：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物产中大</w:t>
      </w:r>
      <w:r>
        <w:rPr>
          <w:rFonts w:hint="default"/>
          <w:strike w:val="0"/>
          <w:dstrike w:val="0"/>
          <w:color w:val="FF0000"/>
          <w:lang w:val="en-US" w:eastAsia="zh-CN"/>
        </w:rPr>
        <w:t>(+2.33%)</w:t>
      </w:r>
      <w:r>
        <w:rPr>
          <w:rFonts w:hint="eastAsia"/>
          <w:strike w:val="0"/>
          <w:dstrike w:val="0"/>
          <w:color w:val="FF0000"/>
          <w:lang w:val="en-US" w:eastAsia="zh-CN"/>
        </w:rPr>
        <w:t>、均胜电子</w:t>
      </w:r>
      <w:r>
        <w:rPr>
          <w:rFonts w:hint="default"/>
          <w:strike w:val="0"/>
          <w:dstrike w:val="0"/>
          <w:color w:val="FF0000"/>
          <w:lang w:val="en-US" w:eastAsia="zh-CN"/>
        </w:rPr>
        <w:t>(+0.52%)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11-5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张江高科、创业黑马、九鼎投资、大众公用、紫江企业、市北高新、阳光电源、林洋能源、隆基股份</w:t>
      </w: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YC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D1854"/>
    <w:rsid w:val="062F1F01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C12AEF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E0A098D"/>
    <w:rsid w:val="0E43440D"/>
    <w:rsid w:val="0E4773A6"/>
    <w:rsid w:val="0E6924DC"/>
    <w:rsid w:val="0E921C32"/>
    <w:rsid w:val="0EA12E00"/>
    <w:rsid w:val="0EA52CBE"/>
    <w:rsid w:val="0EC44D5F"/>
    <w:rsid w:val="0EC71C3E"/>
    <w:rsid w:val="0EDE708A"/>
    <w:rsid w:val="0F305A06"/>
    <w:rsid w:val="0F5A3C27"/>
    <w:rsid w:val="0F65121D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480A5A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7007DC5"/>
    <w:rsid w:val="17026F67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A33CC8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902E7"/>
    <w:rsid w:val="1DBF12C0"/>
    <w:rsid w:val="1DD60858"/>
    <w:rsid w:val="1DE368CE"/>
    <w:rsid w:val="1DFE763D"/>
    <w:rsid w:val="1E066BFD"/>
    <w:rsid w:val="1E3D16BE"/>
    <w:rsid w:val="1E716A79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69588F"/>
    <w:rsid w:val="23887625"/>
    <w:rsid w:val="23930482"/>
    <w:rsid w:val="23A22F3C"/>
    <w:rsid w:val="23A6343E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9B26E9"/>
    <w:rsid w:val="26A57A65"/>
    <w:rsid w:val="26D85EDD"/>
    <w:rsid w:val="26FF2DF0"/>
    <w:rsid w:val="271E441C"/>
    <w:rsid w:val="2721255F"/>
    <w:rsid w:val="273350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D22C4D"/>
    <w:rsid w:val="30D824CE"/>
    <w:rsid w:val="30E8604C"/>
    <w:rsid w:val="311B4918"/>
    <w:rsid w:val="3128318C"/>
    <w:rsid w:val="313919B9"/>
    <w:rsid w:val="31832045"/>
    <w:rsid w:val="318A56D9"/>
    <w:rsid w:val="31980BDD"/>
    <w:rsid w:val="31BC324A"/>
    <w:rsid w:val="31DD1A19"/>
    <w:rsid w:val="31E32CEF"/>
    <w:rsid w:val="31F27463"/>
    <w:rsid w:val="322319DA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40F5B81"/>
    <w:rsid w:val="34132FF2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5506E1"/>
    <w:rsid w:val="36824A32"/>
    <w:rsid w:val="36974B8F"/>
    <w:rsid w:val="369B37BE"/>
    <w:rsid w:val="36A52223"/>
    <w:rsid w:val="36AD1C73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D92DC9"/>
    <w:rsid w:val="3CE109FF"/>
    <w:rsid w:val="3CF474DA"/>
    <w:rsid w:val="3CF6320B"/>
    <w:rsid w:val="3D322722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2D5AA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647007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C220E"/>
    <w:rsid w:val="43EC4DB0"/>
    <w:rsid w:val="43F35274"/>
    <w:rsid w:val="43FD6BD7"/>
    <w:rsid w:val="44133473"/>
    <w:rsid w:val="443A78EA"/>
    <w:rsid w:val="444A0646"/>
    <w:rsid w:val="445143F6"/>
    <w:rsid w:val="44515A1D"/>
    <w:rsid w:val="44AF6F90"/>
    <w:rsid w:val="44D4142E"/>
    <w:rsid w:val="44D54043"/>
    <w:rsid w:val="452A40ED"/>
    <w:rsid w:val="452F142E"/>
    <w:rsid w:val="454A7BD2"/>
    <w:rsid w:val="455C521C"/>
    <w:rsid w:val="45940205"/>
    <w:rsid w:val="459A5AE0"/>
    <w:rsid w:val="45A71986"/>
    <w:rsid w:val="45B2417A"/>
    <w:rsid w:val="45D05C04"/>
    <w:rsid w:val="4676486A"/>
    <w:rsid w:val="46792153"/>
    <w:rsid w:val="467A3876"/>
    <w:rsid w:val="46D203B7"/>
    <w:rsid w:val="47080F16"/>
    <w:rsid w:val="47256A06"/>
    <w:rsid w:val="473174AB"/>
    <w:rsid w:val="475F2ECF"/>
    <w:rsid w:val="476E5ABA"/>
    <w:rsid w:val="477C7EA2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DA29F0"/>
    <w:rsid w:val="56E04480"/>
    <w:rsid w:val="5726114F"/>
    <w:rsid w:val="572E1DC4"/>
    <w:rsid w:val="572E263C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D45A79"/>
    <w:rsid w:val="5CFD2BAF"/>
    <w:rsid w:val="5D175E92"/>
    <w:rsid w:val="5D372D3D"/>
    <w:rsid w:val="5D512F5D"/>
    <w:rsid w:val="5DA97C2A"/>
    <w:rsid w:val="5DDB5902"/>
    <w:rsid w:val="5DF904C3"/>
    <w:rsid w:val="5DFD1447"/>
    <w:rsid w:val="5E0619EE"/>
    <w:rsid w:val="5E18530F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60290442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1CD6317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1E0E6E"/>
    <w:rsid w:val="6643305A"/>
    <w:rsid w:val="664B0AEB"/>
    <w:rsid w:val="664E6051"/>
    <w:rsid w:val="66721D70"/>
    <w:rsid w:val="66817794"/>
    <w:rsid w:val="66954A14"/>
    <w:rsid w:val="6699690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31A71"/>
    <w:rsid w:val="68C25076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4A53D9"/>
    <w:rsid w:val="6A4C1F16"/>
    <w:rsid w:val="6A584D82"/>
    <w:rsid w:val="6AB328DD"/>
    <w:rsid w:val="6AC53309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74384E"/>
    <w:rsid w:val="6F7A1086"/>
    <w:rsid w:val="6F7D30C6"/>
    <w:rsid w:val="6F855C15"/>
    <w:rsid w:val="6F8C70D0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81E02"/>
    <w:rsid w:val="7453209B"/>
    <w:rsid w:val="745C37D5"/>
    <w:rsid w:val="746D6EA6"/>
    <w:rsid w:val="74741EC6"/>
    <w:rsid w:val="74794AD2"/>
    <w:rsid w:val="74BE0F07"/>
    <w:rsid w:val="74C9150D"/>
    <w:rsid w:val="74D11297"/>
    <w:rsid w:val="74F77888"/>
    <w:rsid w:val="7503560E"/>
    <w:rsid w:val="750F1F5A"/>
    <w:rsid w:val="752939A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59795A"/>
    <w:rsid w:val="76635F77"/>
    <w:rsid w:val="76912DA9"/>
    <w:rsid w:val="76BE2084"/>
    <w:rsid w:val="76C67A20"/>
    <w:rsid w:val="76F50806"/>
    <w:rsid w:val="76FA32E0"/>
    <w:rsid w:val="771072F6"/>
    <w:rsid w:val="77126D6C"/>
    <w:rsid w:val="777A7C3A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D2D607C"/>
    <w:rsid w:val="7D4164FE"/>
    <w:rsid w:val="7D576356"/>
    <w:rsid w:val="7D617BDB"/>
    <w:rsid w:val="7D632F91"/>
    <w:rsid w:val="7D8173E7"/>
    <w:rsid w:val="7D8E5DA9"/>
    <w:rsid w:val="7D980DF8"/>
    <w:rsid w:val="7D9C6FEC"/>
    <w:rsid w:val="7DCC6265"/>
    <w:rsid w:val="7DEC6415"/>
    <w:rsid w:val="7E3F35A6"/>
    <w:rsid w:val="7E3F6376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380987"/>
    <w:rsid w:val="7F3C7D4F"/>
    <w:rsid w:val="7F3F1296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2018-11-05T19:18:13Z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