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pPr>
      <w:r>
        <w:rPr>
          <w:rFonts w:ascii="微软雅黑" w:hAnsi="微软雅黑" w:eastAsia="微软雅黑" w:cs="微软雅黑"/>
          <w:sz w:val="22"/>
        </w:rPr>
        <w:t>Date：</w:t>
      </w:r>
    </w:p>
    <w:tbl>
      <w:tblPr>
        <w:tblStyle w:val="12"/>
        <w:tblW w:w="88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85"/>
        <w:gridCol w:w="847"/>
        <w:gridCol w:w="1084"/>
        <w:gridCol w:w="1084"/>
        <w:gridCol w:w="2235"/>
        <w:gridCol w:w="240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1185" w:type="dxa"/>
            <w:vAlign w:val="center"/>
          </w:tcPr>
          <w:p>
            <w:pPr>
              <w:keepNext w:val="0"/>
              <w:keepLines w:val="0"/>
              <w:widowControl/>
              <w:suppressLineNumbers w:val="0"/>
              <w:jc w:val="left"/>
            </w:pPr>
            <w:r>
              <w:rPr>
                <w:rFonts w:ascii="微软雅黑" w:hAnsi="微软雅黑" w:eastAsia="微软雅黑" w:cs="微软雅黑"/>
                <w:b/>
                <w:i w:val="0"/>
                <w:color w:val="000000"/>
                <w:kern w:val="0"/>
                <w:sz w:val="21"/>
                <w:szCs w:val="21"/>
                <w:u w:val="none"/>
                <w:lang w:val="en-US" w:eastAsia="zh-CN" w:bidi="ar"/>
              </w:rPr>
              <w:t>标的</w:t>
            </w:r>
          </w:p>
        </w:tc>
        <w:tc>
          <w:tcPr>
            <w:tcW w:w="847"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方向</w:t>
            </w:r>
          </w:p>
        </w:tc>
        <w:tc>
          <w:tcPr>
            <w:tcW w:w="1084"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支撑位</w:t>
            </w:r>
          </w:p>
        </w:tc>
        <w:tc>
          <w:tcPr>
            <w:tcW w:w="1084"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压力位</w:t>
            </w:r>
          </w:p>
        </w:tc>
        <w:tc>
          <w:tcPr>
            <w:tcW w:w="2235"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买卖理由</w:t>
            </w:r>
          </w:p>
        </w:tc>
        <w:tc>
          <w:tcPr>
            <w:tcW w:w="2405"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青松股份</w:t>
            </w:r>
          </w:p>
        </w:tc>
        <w:tc>
          <w:tcPr>
            <w:tcW w:w="847"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12.32</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13.06</w:t>
            </w:r>
          </w:p>
        </w:tc>
        <w:tc>
          <w:tcPr>
            <w:tcW w:w="2235"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管道线的下沿，等待方向确认</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持仓1000股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乔治白</w:t>
            </w:r>
          </w:p>
        </w:tc>
        <w:tc>
          <w:tcPr>
            <w:tcW w:w="847"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买入</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5.98</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6.61</w:t>
            </w:r>
          </w:p>
        </w:tc>
        <w:tc>
          <w:tcPr>
            <w:tcW w:w="2235"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-7%水下捞起做T，结果尾盘跌停，等待明天看情况。科创板出来，壳资源应该结束了，按照风险来说不应该再次买入。</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持仓700股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国海证券</w:t>
            </w:r>
          </w:p>
        </w:tc>
        <w:tc>
          <w:tcPr>
            <w:tcW w:w="847"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持股</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default" w:asciiTheme="minorEastAsia" w:hAnsiTheme="minorEastAsia" w:cstheme="minorEastAsia"/>
                <w:b w:val="0"/>
                <w:i w:val="0"/>
                <w:color w:val="00B050"/>
                <w:kern w:val="0"/>
                <w:sz w:val="21"/>
                <w:szCs w:val="21"/>
                <w:u w:val="none"/>
                <w:lang w:val="en-US" w:eastAsia="zh-CN" w:bidi="ar"/>
              </w:rPr>
              <w:t>4.65</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default" w:asciiTheme="minorEastAsia" w:hAnsiTheme="minorEastAsia" w:cstheme="minorEastAsia"/>
                <w:b w:val="0"/>
                <w:i w:val="0"/>
                <w:color w:val="00B050"/>
                <w:kern w:val="0"/>
                <w:sz w:val="21"/>
                <w:szCs w:val="21"/>
                <w:u w:val="none"/>
                <w:lang w:val="en-US" w:eastAsia="zh-CN" w:bidi="ar"/>
              </w:rPr>
              <w:t>5.31</w:t>
            </w:r>
          </w:p>
        </w:tc>
        <w:tc>
          <w:tcPr>
            <w:tcW w:w="2235"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买入价格4.981元</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持仓2000股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阳光电源</w:t>
            </w:r>
          </w:p>
        </w:tc>
        <w:tc>
          <w:tcPr>
            <w:tcW w:w="847"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清仓</w:t>
            </w:r>
          </w:p>
        </w:tc>
        <w:tc>
          <w:tcPr>
            <w:tcW w:w="1084" w:type="dxa"/>
            <w:vAlign w:val="top"/>
          </w:tcPr>
          <w:p>
            <w:pPr>
              <w:keepNext w:val="0"/>
              <w:keepLines w:val="0"/>
              <w:widowControl/>
              <w:suppressLineNumbers w:val="0"/>
              <w:jc w:val="left"/>
              <w:textAlignment w:val="top"/>
              <w:rPr>
                <w:rFonts w:hint="default"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6.81</w:t>
            </w:r>
          </w:p>
        </w:tc>
        <w:tc>
          <w:tcPr>
            <w:tcW w:w="1084" w:type="dxa"/>
            <w:vAlign w:val="top"/>
          </w:tcPr>
          <w:p>
            <w:pPr>
              <w:keepNext w:val="0"/>
              <w:keepLines w:val="0"/>
              <w:widowControl/>
              <w:suppressLineNumbers w:val="0"/>
              <w:jc w:val="left"/>
              <w:textAlignment w:val="top"/>
              <w:rPr>
                <w:rFonts w:hint="default"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8.31</w:t>
            </w:r>
          </w:p>
        </w:tc>
        <w:tc>
          <w:tcPr>
            <w:tcW w:w="2235" w:type="dxa"/>
            <w:vAlign w:val="top"/>
          </w:tcPr>
          <w:p>
            <w:pPr>
              <w:keepNext w:val="0"/>
              <w:keepLines w:val="0"/>
              <w:widowControl/>
              <w:suppressLineNumbers w:val="0"/>
              <w:jc w:val="left"/>
              <w:textAlignment w:val="top"/>
              <w:rPr>
                <w:rFonts w:hint="eastAsia" w:asciiTheme="minorEastAsia" w:hAnsi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 xml:space="preserve">光伏政策股票没有动静，热点切换 </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持仓0股</w:t>
            </w:r>
          </w:p>
        </w:tc>
      </w:tr>
    </w:tbl>
    <w:p>
      <w:pPr>
        <w:spacing w:line="240" w:lineRule="auto"/>
        <w:rPr>
          <w:lang w:val="en-US"/>
        </w:rPr>
      </w:pPr>
      <w:bookmarkStart w:id="0" w:name="7380-1536542303605"/>
      <w:bookmarkEnd w:id="0"/>
      <w:bookmarkStart w:id="1" w:name="9057-1536542303601"/>
      <w:bookmarkEnd w:id="1"/>
    </w:p>
    <w:p>
      <w:pPr>
        <w:spacing w:line="240" w:lineRule="auto"/>
        <w:rPr>
          <w:lang w:val="en-US"/>
        </w:rPr>
      </w:pPr>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vAlign w:val="center"/>
          </w:tcPr>
          <w:p>
            <w:r>
              <w:rPr>
                <w:b/>
                <w:sz w:val="22"/>
              </w:rPr>
              <w:t>日内</w:t>
            </w:r>
          </w:p>
        </w:tc>
        <w:tc>
          <w:tcPr>
            <w:tcW w:w="1111" w:type="dxa"/>
            <w:vAlign w:val="center"/>
          </w:tcPr>
          <w:p>
            <w:pPr>
              <w:jc w:val="center"/>
            </w:pPr>
            <w:r>
              <w:rPr>
                <w:rFonts w:ascii="微软雅黑" w:hAnsi="微软雅黑" w:eastAsia="微软雅黑" w:cs="微软雅黑"/>
                <w:b/>
                <w:sz w:val="22"/>
              </w:rPr>
              <w:t>交易笔数</w:t>
            </w:r>
          </w:p>
        </w:tc>
        <w:tc>
          <w:tcPr>
            <w:tcW w:w="1111" w:type="dxa"/>
            <w:vAlign w:val="center"/>
          </w:tcPr>
          <w:p>
            <w:pPr>
              <w:jc w:val="center"/>
            </w:pPr>
            <w:r>
              <w:rPr>
                <w:rFonts w:ascii="微软雅黑" w:hAnsi="微软雅黑" w:eastAsia="微软雅黑" w:cs="微软雅黑"/>
                <w:b/>
                <w:sz w:val="22"/>
              </w:rPr>
              <w:t>盈利交易数</w:t>
            </w:r>
          </w:p>
        </w:tc>
        <w:tc>
          <w:tcPr>
            <w:tcW w:w="1111" w:type="dxa"/>
            <w:vAlign w:val="center"/>
          </w:tcPr>
          <w:p>
            <w:pPr>
              <w:jc w:val="center"/>
            </w:pPr>
            <w:r>
              <w:rPr>
                <w:rFonts w:ascii="微软雅黑" w:hAnsi="微软雅黑" w:eastAsia="微软雅黑" w:cs="微软雅黑"/>
                <w:b/>
                <w:sz w:val="22"/>
              </w:rPr>
              <w:t>亏损交易数</w:t>
            </w:r>
          </w:p>
        </w:tc>
        <w:tc>
          <w:tcPr>
            <w:tcW w:w="1110" w:type="dxa"/>
            <w:vAlign w:val="center"/>
          </w:tcPr>
          <w:p>
            <w:pPr>
              <w:jc w:val="center"/>
            </w:pPr>
            <w:r>
              <w:rPr>
                <w:rFonts w:ascii="微软雅黑" w:hAnsi="微软雅黑" w:eastAsia="微软雅黑" w:cs="微软雅黑"/>
                <w:b/>
                <w:sz w:val="22"/>
              </w:rPr>
              <w:t>成功/失败比率</w:t>
            </w:r>
          </w:p>
        </w:tc>
        <w:tc>
          <w:tcPr>
            <w:tcW w:w="1111" w:type="dxa"/>
            <w:vAlign w:val="center"/>
          </w:tcPr>
          <w:p>
            <w:pPr>
              <w:jc w:val="center"/>
            </w:pPr>
            <w:r>
              <w:rPr>
                <w:rFonts w:ascii="微软雅黑" w:hAnsi="微软雅黑" w:eastAsia="微软雅黑" w:cs="微软雅黑"/>
                <w:b/>
                <w:sz w:val="22"/>
              </w:rPr>
              <w:t>平均获利</w:t>
            </w:r>
          </w:p>
        </w:tc>
        <w:tc>
          <w:tcPr>
            <w:tcW w:w="1111" w:type="dxa"/>
            <w:vAlign w:val="center"/>
          </w:tcPr>
          <w:p>
            <w:pPr>
              <w:jc w:val="center"/>
            </w:pPr>
            <w:r>
              <w:rPr>
                <w:rFonts w:ascii="微软雅黑" w:hAnsi="微软雅黑" w:eastAsia="微软雅黑" w:cs="微软雅黑"/>
                <w:b/>
                <w:sz w:val="22"/>
              </w:rPr>
              <w:t>平均亏损</w:t>
            </w:r>
          </w:p>
        </w:tc>
        <w:tc>
          <w:tcPr>
            <w:tcW w:w="1044" w:type="dxa"/>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3</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3</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3/0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100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300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2</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1</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1/1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500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200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300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1/0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400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400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2911-1536542303635"/>
      <w:bookmarkEnd w:id="2"/>
      <w:bookmarkStart w:id="3" w:name="3677-1536542303641"/>
      <w:bookmarkEnd w:id="3"/>
      <w:bookmarkStart w:id="4" w:name="2151-1536542303645"/>
      <w:bookmarkEnd w:id="4"/>
      <w:bookmarkStart w:id="5" w:name="1227-1536542303637"/>
      <w:bookmarkEnd w:id="5"/>
      <w:bookmarkStart w:id="6" w:name="8416-1536542303643"/>
      <w:bookmarkEnd w:id="6"/>
      <w:bookmarkStart w:id="7" w:name="1096-1536542303639"/>
      <w:bookmarkEnd w:id="7"/>
    </w:p>
    <w:p>
      <w:pPr>
        <w:spacing w:line="240" w:lineRule="auto"/>
        <w:rPr>
          <w:rFonts w:ascii="微软雅黑" w:hAnsi="微软雅黑" w:eastAsia="微软雅黑" w:cs="微软雅黑"/>
          <w:b/>
          <w:sz w:val="22"/>
        </w:rPr>
      </w:pPr>
      <w:r>
        <w:rPr>
          <w:rFonts w:ascii="微软雅黑" w:hAnsi="微软雅黑" w:eastAsia="微软雅黑" w:cs="微软雅黑"/>
          <w:b/>
          <w:sz w:val="22"/>
        </w:rPr>
        <w:t>今日回顾：</w:t>
      </w:r>
    </w:p>
    <w:p>
      <w:pPr>
        <w:numPr>
          <w:ilvl w:val="0"/>
          <w:numId w:val="1"/>
        </w:numPr>
        <w:spacing w:line="240" w:lineRule="auto"/>
        <w:ind w:left="105" w:leftChars="0" w:firstLine="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上证：</w:t>
      </w:r>
    </w:p>
    <w:p>
      <w:pPr>
        <w:numPr>
          <w:ilvl w:val="0"/>
          <w:numId w:val="0"/>
        </w:numPr>
        <w:spacing w:line="240" w:lineRule="auto"/>
        <w:ind w:left="105" w:left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收盘2641.34，-0.68%，成交额1473亿下降。 下午开盘拉起后，突然下杀，后市不稳定。</w:t>
      </w:r>
    </w:p>
    <w:p>
      <w:pPr>
        <w:numPr>
          <w:ilvl w:val="0"/>
          <w:numId w:val="0"/>
        </w:numPr>
        <w:spacing w:line="240" w:lineRule="auto"/>
        <w:ind w:left="105" w:leftChars="0"/>
        <w:rPr>
          <w:rFonts w:hint="eastAsia" w:asciiTheme="minorEastAsia" w:hAnsiTheme="minorEastAsia" w:cstheme="minorEastAsia"/>
          <w:sz w:val="21"/>
          <w:szCs w:val="21"/>
          <w:lang w:val="en-US" w:eastAsia="zh-CN"/>
        </w:rPr>
      </w:pPr>
      <w:r>
        <w:drawing>
          <wp:inline distT="0" distB="0" distL="114300" distR="114300">
            <wp:extent cx="5268595" cy="2411095"/>
            <wp:effectExtent l="0" t="0" r="825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411095"/>
                    </a:xfrm>
                    <a:prstGeom prst="rect">
                      <a:avLst/>
                    </a:prstGeom>
                    <a:noFill/>
                    <a:ln w="9525">
                      <a:noFill/>
                    </a:ln>
                  </pic:spPr>
                </pic:pic>
              </a:graphicData>
            </a:graphic>
          </wp:inline>
        </w:drawing>
      </w:r>
    </w:p>
    <w:p>
      <w:pPr>
        <w:numPr>
          <w:ilvl w:val="0"/>
          <w:numId w:val="0"/>
        </w:numPr>
        <w:spacing w:line="240" w:lineRule="auto"/>
        <w:rPr>
          <w:rFonts w:hint="eastAsia"/>
          <w:lang w:val="en-US" w:eastAsia="zh-CN"/>
        </w:rPr>
      </w:pPr>
      <w:r>
        <w:rPr>
          <w:rFonts w:hint="eastAsia"/>
          <w:lang w:val="en-US" w:eastAsia="zh-CN"/>
        </w:rPr>
        <w:t>2. 上证50：2482.33，-0.69%</w:t>
      </w:r>
    </w:p>
    <w:p>
      <w:pPr>
        <w:numPr>
          <w:ilvl w:val="0"/>
          <w:numId w:val="2"/>
        </w:numPr>
        <w:spacing w:line="240" w:lineRule="auto"/>
        <w:rPr>
          <w:rFonts w:hint="eastAsia"/>
          <w:lang w:val="en-US" w:eastAsia="zh-CN"/>
        </w:rPr>
      </w:pPr>
      <w:r>
        <w:rPr>
          <w:rFonts w:hint="eastAsia"/>
          <w:lang w:val="en-US" w:eastAsia="zh-CN"/>
        </w:rPr>
        <w:t xml:space="preserve">港股：26147.69， +0.10% </w:t>
      </w:r>
    </w:p>
    <w:p>
      <w:pPr>
        <w:numPr>
          <w:ilvl w:val="0"/>
          <w:numId w:val="2"/>
        </w:numPr>
        <w:spacing w:line="240" w:lineRule="auto"/>
        <w:rPr>
          <w:rFonts w:hint="eastAsia"/>
          <w:lang w:val="en-US" w:eastAsia="zh-CN"/>
        </w:rPr>
      </w:pPr>
      <w:r>
        <w:rPr>
          <w:rFonts w:hint="eastAsia"/>
          <w:lang w:val="en-US" w:eastAsia="zh-CN"/>
        </w:rPr>
        <w:t>人民币： 贬值创新低6.9158，-69基点</w:t>
      </w:r>
    </w:p>
    <w:p>
      <w:pPr>
        <w:numPr>
          <w:ilvl w:val="0"/>
          <w:numId w:val="2"/>
        </w:numPr>
        <w:spacing w:line="240" w:lineRule="auto"/>
        <w:rPr>
          <w:rFonts w:hint="eastAsia"/>
          <w:lang w:val="en-US" w:eastAsia="zh-CN"/>
        </w:rPr>
      </w:pPr>
      <w:r>
        <w:rPr>
          <w:rFonts w:hint="eastAsia"/>
          <w:lang w:val="en-US" w:eastAsia="zh-CN"/>
        </w:rPr>
        <w:t>GC001：2.455，-1.80%</w:t>
      </w:r>
    </w:p>
    <w:p>
      <w:pPr>
        <w:numPr>
          <w:ilvl w:val="0"/>
          <w:numId w:val="2"/>
        </w:numPr>
        <w:spacing w:line="240" w:lineRule="auto"/>
        <w:rPr>
          <w:rFonts w:hint="eastAsia"/>
          <w:lang w:val="en-US" w:eastAsia="zh-CN"/>
        </w:rPr>
      </w:pPr>
      <w:r>
        <w:rPr>
          <w:rFonts w:hint="eastAsia"/>
          <w:lang w:val="en-US" w:eastAsia="zh-CN"/>
        </w:rPr>
        <w:t>融资融券余额：7704亿，</w:t>
      </w:r>
      <w:r>
        <w:rPr>
          <w:rFonts w:hint="eastAsia"/>
          <w:color w:val="FF0000"/>
          <w:lang w:val="en-US" w:eastAsia="zh-CN"/>
        </w:rPr>
        <w:t>+10.63</w:t>
      </w:r>
      <w:r>
        <w:rPr>
          <w:rFonts w:hint="eastAsia"/>
          <w:lang w:val="en-US" w:eastAsia="zh-CN"/>
        </w:rPr>
        <w:t>亿</w:t>
      </w:r>
    </w:p>
    <w:p>
      <w:pPr>
        <w:spacing w:line="240" w:lineRule="auto"/>
        <w:rPr>
          <w:rFonts w:hint="eastAsia"/>
          <w:lang w:val="en-US" w:eastAsia="zh-CN"/>
        </w:rPr>
      </w:pPr>
    </w:p>
    <w:p>
      <w:pPr>
        <w:pStyle w:val="2"/>
        <w:keepNext w:val="0"/>
        <w:keepLines w:val="0"/>
        <w:widowControl/>
        <w:suppressLineNumbers w:val="0"/>
        <w:spacing w:line="23" w:lineRule="atLeast"/>
      </w:pPr>
      <w:r>
        <w:rPr>
          <w:rFonts w:ascii="微软雅黑" w:hAnsi="微软雅黑" w:eastAsia="微软雅黑" w:cs="微软雅黑"/>
          <w:color w:val="393A4C"/>
          <w:sz w:val="15"/>
          <w:szCs w:val="15"/>
        </w:rPr>
        <w:t xml:space="preserve">【宏观要闻】 </w:t>
      </w:r>
    </w:p>
    <w:p>
      <w:pPr>
        <w:pStyle w:val="2"/>
        <w:keepNext w:val="0"/>
        <w:keepLines w:val="0"/>
        <w:widowControl/>
        <w:suppressLineNumbers w:val="0"/>
        <w:spacing w:line="23" w:lineRule="atLeast"/>
      </w:pPr>
      <w:r>
        <w:rPr>
          <w:rStyle w:val="4"/>
          <w:rFonts w:hint="eastAsia" w:ascii="微软雅黑" w:hAnsi="微软雅黑" w:eastAsia="微软雅黑" w:cs="微软雅黑"/>
          <w:b/>
          <w:color w:val="E53333"/>
          <w:sz w:val="15"/>
          <w:szCs w:val="15"/>
        </w:rPr>
        <w:t>习近平寄语上海：勇创国际一流城市管理水平</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6日下午，习近平来到浦东新区城市运行综合管理中心，了解上海在推进城市精细化管理方面的做法。他强调，城市管理搞得好，社会才能稳定、经济才能发展。一流城市要有一流治理。提高城市管理水平，要在科学化、精细化、智能化上下功夫。习近平希望上海继续探索，走出一条中国特色的超大城市管理新路子，不断提高城市管理水平。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中国结算修订并发布融资融券登记结算业务实施细则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中国结算修订并发布《中国证券登记结算有限责任公司融资融券登记结算业务实施细则》。一、在第一条中增加“保护投资者合法权益”。二、将第五十七条修改为：“投资者信用证券账户不得买入或转入除可充抵保证金证券范围以外的证券，也不得用于参与定向增发、股票交易型开放式基金和债券交易型开放式基金申购及赎回、债券回购交易等。”上述修订条款自本通知发布之日起施行。修订后的《中国证券登记结算有限责任公司融资融券登记结算业务实施细则》重新公布。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【资讯快报】 </w:t>
      </w:r>
    </w:p>
    <w:p>
      <w:pPr>
        <w:pStyle w:val="2"/>
        <w:keepNext w:val="0"/>
        <w:keepLines w:val="0"/>
        <w:widowControl/>
        <w:suppressLineNumbers w:val="0"/>
        <w:spacing w:line="23" w:lineRule="atLeast"/>
      </w:pPr>
      <w:r>
        <w:rPr>
          <w:rStyle w:val="4"/>
          <w:rFonts w:hint="eastAsia" w:ascii="微软雅黑" w:hAnsi="微软雅黑" w:eastAsia="微软雅黑" w:cs="微软雅黑"/>
          <w:b/>
          <w:color w:val="E53333"/>
          <w:sz w:val="15"/>
          <w:szCs w:val="15"/>
        </w:rPr>
        <w:t>中国10月外汇储备30531亿美元，预期30600亿美元，前值30870亿美元</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E53333"/>
          <w:sz w:val="15"/>
          <w:szCs w:val="15"/>
        </w:rPr>
        <w:t>券商股权质押业务门槛未降 没听说有“无平仓线”业务</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深交所将在11月8日决定</w:t>
      </w: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"http://www.yuncaijing.com/quote/sz000979.html"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中弘股份(000979)</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"https://www.yuncaijing.com/quote/sz000979_multi.html"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是否退市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深圳：突出抓好重大项目投资 着力帮助民营企业解决困难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央行：严厉查处侵吞、贪污、输送、挥霍国有金融资本的行为 </w:t>
      </w:r>
    </w:p>
    <w:p>
      <w:pPr>
        <w:pStyle w:val="2"/>
        <w:keepNext w:val="0"/>
        <w:keepLines w:val="0"/>
        <w:widowControl/>
        <w:suppressLineNumbers w:val="0"/>
        <w:spacing w:line="23" w:lineRule="atLeast"/>
      </w:pPr>
      <w:r>
        <w:rPr>
          <w:rStyle w:val="4"/>
          <w:rFonts w:hint="eastAsia" w:ascii="微软雅黑" w:hAnsi="微软雅黑" w:eastAsia="微软雅黑" w:cs="微软雅黑"/>
          <w:b/>
          <w:color w:val="E53333"/>
          <w:sz w:val="15"/>
          <w:szCs w:val="15"/>
        </w:rPr>
        <w:t>工信部暂停受理27家企业新能源汽车新产品申报 万向电动等上榜</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E53333"/>
          <w:sz w:val="15"/>
          <w:szCs w:val="15"/>
        </w:rPr>
        <w:t>发改委：加快推动石化产业重大项目开工建设</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E53333"/>
          <w:sz w:val="15"/>
          <w:szCs w:val="15"/>
        </w:rPr>
        <w:t>国家版权局：短视频平台版权整改取得阶段性成效</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E53333"/>
          <w:sz w:val="15"/>
          <w:szCs w:val="15"/>
        </w:rPr>
        <w:t>监管层重申金交所整顿：投资门槛不得低于资管新规</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上海出台“鼓励药械创新32条” 建设全球领先的生物医药创新研发高地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浙江率先签署民营企业债券融资支持工具三方合作协议 </w:t>
      </w:r>
    </w:p>
    <w:p>
      <w:pPr>
        <w:spacing w:line="240" w:lineRule="auto"/>
        <w:rPr>
          <w:rFonts w:hint="eastAsia"/>
          <w:lang w:val="en-US" w:eastAsia="zh-CN"/>
        </w:rPr>
      </w:pPr>
      <w:bookmarkStart w:id="14" w:name="_GoBack"/>
      <w:bookmarkEnd w:id="14"/>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130-1536542303665"/>
      <w:bookmarkEnd w:id="9"/>
      <w:bookmarkStart w:id="10" w:name="8598-1536542303673"/>
      <w:bookmarkEnd w:id="10"/>
    </w:p>
    <w:p>
      <w:pPr>
        <w:spacing w:line="240" w:lineRule="auto"/>
        <w:rPr>
          <w:rFonts w:hint="eastAsia"/>
          <w:strike w:val="0"/>
          <w:dstrike w:val="0"/>
          <w:color w:val="auto"/>
          <w:lang w:val="en-US" w:eastAsia="zh-CN"/>
        </w:rPr>
      </w:pPr>
      <w:r>
        <w:rPr>
          <w:rFonts w:hint="eastAsia"/>
          <w:strike w:val="0"/>
          <w:dstrike w:val="0"/>
          <w:color w:val="auto"/>
          <w:lang w:val="en-US" w:eastAsia="zh-CN"/>
        </w:rPr>
        <w:t>11-1日关注股票</w:t>
      </w:r>
    </w:p>
    <w:p>
      <w:pPr>
        <w:spacing w:line="240" w:lineRule="auto"/>
        <w:rPr>
          <w:rFonts w:hint="eastAsia"/>
          <w:strike/>
          <w:dstrike w:val="0"/>
          <w:color w:val="FF0000"/>
          <w:lang w:val="en-US" w:eastAsia="zh-CN"/>
        </w:rPr>
      </w:pPr>
      <w:r>
        <w:rPr>
          <w:rFonts w:hint="eastAsia"/>
          <w:strike/>
          <w:dstrike w:val="0"/>
          <w:color w:val="FF0000"/>
          <w:lang w:val="en-US" w:eastAsia="zh-CN"/>
        </w:rPr>
        <w:t>神马股份</w:t>
      </w:r>
      <w:r>
        <w:rPr>
          <w:rFonts w:hint="default"/>
          <w:strike/>
          <w:dstrike w:val="0"/>
          <w:color w:val="FF0000"/>
          <w:lang w:val="en-US" w:eastAsia="zh-CN"/>
        </w:rPr>
        <w:t>(+4.06%)</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11-2日关注股票：</w:t>
      </w:r>
    </w:p>
    <w:p>
      <w:pPr>
        <w:spacing w:line="240" w:lineRule="auto"/>
        <w:rPr>
          <w:rFonts w:hint="eastAsia"/>
          <w:strike/>
          <w:dstrike w:val="0"/>
          <w:color w:val="FF0000"/>
          <w:lang w:val="en-US" w:eastAsia="zh-CN"/>
        </w:rPr>
      </w:pPr>
      <w:r>
        <w:rPr>
          <w:rFonts w:hint="eastAsia"/>
          <w:strike/>
          <w:dstrike w:val="0"/>
          <w:color w:val="FF0000"/>
          <w:lang w:val="en-US" w:eastAsia="zh-CN"/>
        </w:rPr>
        <w:t>涪陵榨菜（</w:t>
      </w:r>
      <w:r>
        <w:rPr>
          <w:rFonts w:hint="default"/>
          <w:strike/>
          <w:dstrike w:val="0"/>
          <w:color w:val="FF0000"/>
          <w:lang w:val="en-US" w:eastAsia="zh-CN"/>
        </w:rPr>
        <w:t>+3.24%</w:t>
      </w:r>
      <w:r>
        <w:rPr>
          <w:rFonts w:hint="eastAsia"/>
          <w:strike/>
          <w:dstrike w:val="0"/>
          <w:color w:val="FF0000"/>
          <w:lang w:val="en-US" w:eastAsia="zh-CN"/>
        </w:rPr>
        <w:t>）</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11-3日关注股票：</w:t>
      </w:r>
    </w:p>
    <w:p>
      <w:pPr>
        <w:spacing w:line="240" w:lineRule="auto"/>
        <w:rPr>
          <w:rFonts w:hint="eastAsia"/>
          <w:strike/>
          <w:dstrike w:val="0"/>
          <w:color w:val="00B050"/>
          <w:lang w:val="en-US" w:eastAsia="zh-CN"/>
        </w:rPr>
      </w:pPr>
      <w:r>
        <w:rPr>
          <w:rFonts w:hint="eastAsia"/>
          <w:strike/>
          <w:dstrike w:val="0"/>
          <w:color w:val="00B050"/>
          <w:lang w:val="en-US" w:eastAsia="zh-CN"/>
        </w:rPr>
        <w:t>物产中大</w:t>
      </w:r>
      <w:r>
        <w:rPr>
          <w:rFonts w:hint="default"/>
          <w:strike/>
          <w:dstrike w:val="0"/>
          <w:color w:val="00B050"/>
          <w:lang w:val="en-US" w:eastAsia="zh-CN"/>
        </w:rPr>
        <w:t>(-1.66%)</w:t>
      </w:r>
      <w:r>
        <w:rPr>
          <w:rFonts w:hint="eastAsia"/>
          <w:strike/>
          <w:dstrike w:val="0"/>
          <w:color w:val="00B050"/>
          <w:lang w:val="en-US" w:eastAsia="zh-CN"/>
        </w:rPr>
        <w:t>、均胜电子</w:t>
      </w:r>
      <w:r>
        <w:rPr>
          <w:rFonts w:hint="default"/>
          <w:strike/>
          <w:dstrike w:val="0"/>
          <w:color w:val="00B050"/>
          <w:lang w:val="en-US" w:eastAsia="zh-CN"/>
        </w:rPr>
        <w:t>(-1.68%)</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default"/>
          <w:strike w:val="0"/>
          <w:dstrike w:val="0"/>
          <w:color w:val="auto"/>
          <w:lang w:val="en-US" w:eastAsia="zh-CN"/>
        </w:rPr>
        <w:t>11-5</w:t>
      </w:r>
      <w:r>
        <w:rPr>
          <w:rFonts w:hint="eastAsia"/>
          <w:strike w:val="0"/>
          <w:dstrike w:val="0"/>
          <w:color w:val="auto"/>
          <w:lang w:val="en-US" w:eastAsia="zh-CN"/>
        </w:rPr>
        <w:t>日关注股票：</w:t>
      </w:r>
    </w:p>
    <w:p>
      <w:pPr>
        <w:spacing w:line="240" w:lineRule="auto"/>
        <w:rPr>
          <w:rFonts w:hint="default"/>
          <w:strike/>
          <w:dstrike w:val="0"/>
          <w:color w:val="00B050"/>
          <w:lang w:val="en-US" w:eastAsia="zh-CN"/>
        </w:rPr>
      </w:pPr>
      <w:r>
        <w:rPr>
          <w:rFonts w:hint="eastAsia"/>
          <w:strike/>
          <w:dstrike w:val="0"/>
          <w:color w:val="FF0000"/>
          <w:lang w:val="en-US" w:eastAsia="zh-CN"/>
        </w:rPr>
        <w:t>张江高科</w:t>
      </w:r>
      <w:r>
        <w:rPr>
          <w:rFonts w:hint="default"/>
          <w:strike/>
          <w:dstrike w:val="0"/>
          <w:color w:val="FF0000"/>
          <w:lang w:val="en-US" w:eastAsia="zh-CN"/>
        </w:rPr>
        <w:t>(+10.01%)</w:t>
      </w:r>
      <w:r>
        <w:rPr>
          <w:rFonts w:hint="eastAsia"/>
          <w:strike/>
          <w:dstrike w:val="0"/>
          <w:color w:val="FF0000"/>
          <w:lang w:val="en-US" w:eastAsia="zh-CN"/>
        </w:rPr>
        <w:t>、创业黑马</w:t>
      </w:r>
      <w:r>
        <w:rPr>
          <w:rFonts w:hint="default"/>
          <w:strike/>
          <w:dstrike w:val="0"/>
          <w:color w:val="FF0000"/>
          <w:lang w:val="en-US" w:eastAsia="zh-CN"/>
        </w:rPr>
        <w:t>(+10.01%)</w:t>
      </w:r>
      <w:r>
        <w:rPr>
          <w:rFonts w:hint="eastAsia"/>
          <w:strike/>
          <w:dstrike w:val="0"/>
          <w:color w:val="FF0000"/>
          <w:lang w:val="en-US" w:eastAsia="zh-CN"/>
        </w:rPr>
        <w:t>、九鼎投资</w:t>
      </w:r>
      <w:r>
        <w:rPr>
          <w:rFonts w:hint="default"/>
          <w:strike/>
          <w:dstrike w:val="0"/>
          <w:color w:val="FF0000"/>
          <w:lang w:val="en-US" w:eastAsia="zh-CN"/>
        </w:rPr>
        <w:t>(+9.97%)</w:t>
      </w:r>
      <w:r>
        <w:rPr>
          <w:rFonts w:hint="eastAsia"/>
          <w:strike/>
          <w:dstrike w:val="0"/>
          <w:color w:val="FF0000"/>
          <w:lang w:val="en-US" w:eastAsia="zh-CN"/>
        </w:rPr>
        <w:t>、大众公用</w:t>
      </w:r>
      <w:r>
        <w:rPr>
          <w:rFonts w:hint="default"/>
          <w:strike/>
          <w:dstrike w:val="0"/>
          <w:color w:val="FF0000"/>
          <w:lang w:val="en-US" w:eastAsia="zh-CN"/>
        </w:rPr>
        <w:t>(+10.13%)</w:t>
      </w:r>
      <w:r>
        <w:rPr>
          <w:rFonts w:hint="eastAsia"/>
          <w:strike/>
          <w:dstrike w:val="0"/>
          <w:color w:val="FF0000"/>
          <w:lang w:val="en-US" w:eastAsia="zh-CN"/>
        </w:rPr>
        <w:t>、紫江企业</w:t>
      </w:r>
      <w:r>
        <w:rPr>
          <w:rFonts w:hint="default"/>
          <w:strike/>
          <w:dstrike w:val="0"/>
          <w:color w:val="FF0000"/>
          <w:lang w:val="en-US" w:eastAsia="zh-CN"/>
        </w:rPr>
        <w:t>(+9.94%)</w:t>
      </w:r>
      <w:r>
        <w:rPr>
          <w:rFonts w:hint="eastAsia"/>
          <w:strike/>
          <w:dstrike w:val="0"/>
          <w:color w:val="FF0000"/>
          <w:lang w:val="en-US" w:eastAsia="zh-CN"/>
        </w:rPr>
        <w:t>、市北高新</w:t>
      </w:r>
      <w:r>
        <w:rPr>
          <w:rFonts w:hint="default"/>
          <w:strike/>
          <w:dstrike w:val="0"/>
          <w:color w:val="FF0000"/>
          <w:lang w:val="en-US" w:eastAsia="zh-CN"/>
        </w:rPr>
        <w:t>(+10.08%)</w:t>
      </w:r>
      <w:r>
        <w:rPr>
          <w:rFonts w:hint="eastAsia"/>
          <w:strike/>
          <w:dstrike w:val="0"/>
          <w:color w:val="FF0000"/>
          <w:lang w:val="en-US" w:eastAsia="zh-CN"/>
        </w:rPr>
        <w:t>、阳光电源</w:t>
      </w:r>
      <w:r>
        <w:rPr>
          <w:rFonts w:hint="default"/>
          <w:strike/>
          <w:dstrike w:val="0"/>
          <w:color w:val="FF0000"/>
          <w:lang w:val="en-US" w:eastAsia="zh-CN"/>
        </w:rPr>
        <w:t>(+10.03%)</w:t>
      </w:r>
      <w:r>
        <w:rPr>
          <w:rFonts w:hint="eastAsia"/>
          <w:strike/>
          <w:dstrike w:val="0"/>
          <w:color w:val="FF0000"/>
          <w:lang w:val="en-US" w:eastAsia="zh-CN"/>
        </w:rPr>
        <w:t>、林洋能源</w:t>
      </w:r>
      <w:r>
        <w:rPr>
          <w:rFonts w:hint="default"/>
          <w:strike/>
          <w:dstrike w:val="0"/>
          <w:color w:val="FF0000"/>
          <w:lang w:val="en-US" w:eastAsia="zh-CN"/>
        </w:rPr>
        <w:t>(+0.81%)</w:t>
      </w:r>
      <w:r>
        <w:rPr>
          <w:rFonts w:hint="eastAsia"/>
          <w:strike/>
          <w:dstrike w:val="0"/>
          <w:color w:val="FF0000"/>
          <w:lang w:val="en-US" w:eastAsia="zh-CN"/>
        </w:rPr>
        <w:t>、</w:t>
      </w:r>
      <w:r>
        <w:rPr>
          <w:rFonts w:hint="eastAsia"/>
          <w:strike/>
          <w:dstrike w:val="0"/>
          <w:color w:val="00B050"/>
          <w:lang w:val="en-US" w:eastAsia="zh-CN"/>
        </w:rPr>
        <w:t>隆基股份</w:t>
      </w:r>
      <w:r>
        <w:rPr>
          <w:rFonts w:hint="default"/>
          <w:strike/>
          <w:dstrike w:val="0"/>
          <w:color w:val="00B050"/>
          <w:lang w:val="en-US" w:eastAsia="zh-CN"/>
        </w:rPr>
        <w:t>(-3.26%)</w:t>
      </w:r>
    </w:p>
    <w:p>
      <w:pPr>
        <w:spacing w:line="240" w:lineRule="auto"/>
        <w:rPr>
          <w:rFonts w:hint="default"/>
          <w:strike/>
          <w:dstrike w:val="0"/>
          <w:color w:val="00B050"/>
          <w:lang w:val="en-US" w:eastAsia="zh-CN"/>
        </w:rPr>
      </w:pPr>
    </w:p>
    <w:p>
      <w:pPr>
        <w:spacing w:line="240" w:lineRule="auto"/>
        <w:rPr>
          <w:rFonts w:hint="default"/>
          <w:strike/>
          <w:dstrike w:val="0"/>
          <w:color w:val="00B050"/>
          <w:lang w:val="en-US" w:eastAsia="zh-CN"/>
        </w:rPr>
      </w:pPr>
    </w:p>
    <w:p>
      <w:pPr>
        <w:spacing w:line="240" w:lineRule="auto"/>
        <w:rPr>
          <w:rFonts w:hint="eastAsia"/>
          <w:strike w:val="0"/>
          <w:dstrike w:val="0"/>
          <w:color w:val="auto"/>
          <w:lang w:val="en-US" w:eastAsia="zh-CN"/>
        </w:rPr>
      </w:pPr>
      <w:r>
        <w:rPr>
          <w:rFonts w:hint="default"/>
          <w:strike w:val="0"/>
          <w:dstrike w:val="0"/>
          <w:color w:val="auto"/>
          <w:lang w:val="en-US" w:eastAsia="zh-CN"/>
        </w:rPr>
        <w:t>11-</w:t>
      </w:r>
      <w:r>
        <w:rPr>
          <w:rFonts w:hint="eastAsia"/>
          <w:strike w:val="0"/>
          <w:dstrike w:val="0"/>
          <w:color w:val="auto"/>
          <w:lang w:val="en-US" w:eastAsia="zh-CN"/>
        </w:rPr>
        <w:t>7</w:t>
      </w:r>
      <w:r>
        <w:rPr>
          <w:rFonts w:hint="default"/>
          <w:strike w:val="0"/>
          <w:dstrike w:val="0"/>
          <w:color w:val="auto"/>
          <w:lang w:val="en-US" w:eastAsia="zh-CN"/>
        </w:rPr>
        <w:t xml:space="preserve"> </w:t>
      </w:r>
      <w:r>
        <w:rPr>
          <w:rFonts w:hint="eastAsia"/>
          <w:strike w:val="0"/>
          <w:dstrike w:val="0"/>
          <w:color w:val="auto"/>
          <w:lang w:val="en-US" w:eastAsia="zh-CN"/>
        </w:rPr>
        <w:t>日关注股票：</w:t>
      </w:r>
    </w:p>
    <w:p>
      <w:pPr>
        <w:spacing w:line="240" w:lineRule="auto"/>
        <w:rPr>
          <w:rFonts w:hint="eastAsia"/>
          <w:strike w:val="0"/>
          <w:dstrike w:val="0"/>
          <w:color w:val="auto"/>
          <w:lang w:val="en-US" w:eastAsia="zh-CN"/>
        </w:rPr>
      </w:pPr>
      <w:r>
        <w:rPr>
          <w:rFonts w:hint="eastAsia"/>
          <w:strike w:val="0"/>
          <w:dstrike w:val="0"/>
          <w:color w:val="auto"/>
          <w:lang w:val="en-US" w:eastAsia="zh-CN"/>
        </w:rPr>
        <w:t>宜通世纪、思美传媒、东山精密</w:t>
      </w:r>
    </w:p>
    <w:p>
      <w:pPr>
        <w:spacing w:line="240" w:lineRule="auto"/>
        <w:rPr>
          <w:rFonts w:hint="eastAsia"/>
          <w:strike w:val="0"/>
          <w:dstrike w:val="0"/>
          <w:color w:val="auto"/>
          <w:lang w:val="en-US" w:eastAsia="zh-CN"/>
        </w:rPr>
      </w:pP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lang w:val="en-US" w:eastAsia="zh-CN"/>
        </w:rPr>
      </w:pPr>
      <w:bookmarkStart w:id="12" w:name="8313-1536542303682"/>
      <w:bookmarkEnd w:id="12"/>
      <w:bookmarkStart w:id="13" w:name="9928-1536542303678"/>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lang w:val="en-US" w:eastAsia="zh-CN"/>
        </w:rPr>
      </w:pPr>
      <w:r>
        <w:rPr>
          <w:rFonts w:hint="eastAsia"/>
          <w:lang w:val="en-US" w:eastAsia="zh-CN"/>
        </w:rPr>
        <w:t>炒股不是只看K线，要看财报才能赚大钱。</w:t>
      </w:r>
    </w:p>
    <w:p>
      <w:pPr>
        <w:spacing w:line="240" w:lineRule="auto"/>
        <w:rPr>
          <w:rFonts w:hint="eastAsia" w:eastAsiaTheme="minorEastAsia"/>
          <w:lang w:val="en-US" w:eastAsia="zh-CN"/>
        </w:rPr>
      </w:pPr>
      <w:r>
        <w:rPr>
          <w:rFonts w:hint="eastAsia"/>
          <w:lang w:val="en-US" w:eastAsia="zh-CN"/>
        </w:rPr>
        <w:t>看高手买的股票可以分析其逻辑。（研究国家队清仓基金）</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6D2A92"/>
    <w:multiLevelType w:val="singleLevel"/>
    <w:tmpl w:val="F56D2A92"/>
    <w:lvl w:ilvl="0" w:tentative="0">
      <w:start w:val="3"/>
      <w:numFmt w:val="decimal"/>
      <w:lvlText w:val="%1."/>
      <w:lvlJc w:val="left"/>
      <w:pPr>
        <w:tabs>
          <w:tab w:val="left" w:pos="312"/>
        </w:tabs>
      </w:pPr>
    </w:lvl>
  </w:abstractNum>
  <w:abstractNum w:abstractNumId="1">
    <w:nsid w:val="10FEA6E6"/>
    <w:multiLevelType w:val="singleLevel"/>
    <w:tmpl w:val="10FEA6E6"/>
    <w:lvl w:ilvl="0" w:tentative="0">
      <w:start w:val="1"/>
      <w:numFmt w:val="decimal"/>
      <w:lvlText w:val="%1."/>
      <w:lvlJc w:val="left"/>
      <w:pPr>
        <w:tabs>
          <w:tab w:val="left" w:pos="312"/>
        </w:tabs>
        <w:ind w:left="105"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261413"/>
    <w:rsid w:val="004D4197"/>
    <w:rsid w:val="0052221C"/>
    <w:rsid w:val="006764BA"/>
    <w:rsid w:val="00697FC3"/>
    <w:rsid w:val="00901FB1"/>
    <w:rsid w:val="00C11855"/>
    <w:rsid w:val="00D3582F"/>
    <w:rsid w:val="00E66844"/>
    <w:rsid w:val="01056385"/>
    <w:rsid w:val="014F3B92"/>
    <w:rsid w:val="0152242D"/>
    <w:rsid w:val="01647B7E"/>
    <w:rsid w:val="016B2B40"/>
    <w:rsid w:val="017B05B5"/>
    <w:rsid w:val="01977FEF"/>
    <w:rsid w:val="0202356D"/>
    <w:rsid w:val="02450328"/>
    <w:rsid w:val="026A4625"/>
    <w:rsid w:val="026C250E"/>
    <w:rsid w:val="02840E6B"/>
    <w:rsid w:val="02873DC1"/>
    <w:rsid w:val="0293307A"/>
    <w:rsid w:val="029B43B0"/>
    <w:rsid w:val="029F1E5F"/>
    <w:rsid w:val="02A41296"/>
    <w:rsid w:val="02A46468"/>
    <w:rsid w:val="02D8702F"/>
    <w:rsid w:val="02E40250"/>
    <w:rsid w:val="02EA5F6C"/>
    <w:rsid w:val="03217E12"/>
    <w:rsid w:val="033B014F"/>
    <w:rsid w:val="03D77D11"/>
    <w:rsid w:val="03DA5A87"/>
    <w:rsid w:val="03DD087F"/>
    <w:rsid w:val="04220426"/>
    <w:rsid w:val="044D03F6"/>
    <w:rsid w:val="04525AAA"/>
    <w:rsid w:val="04744B22"/>
    <w:rsid w:val="04A21184"/>
    <w:rsid w:val="04A641E4"/>
    <w:rsid w:val="04AF28FE"/>
    <w:rsid w:val="04CE0549"/>
    <w:rsid w:val="04F5092B"/>
    <w:rsid w:val="05016A5F"/>
    <w:rsid w:val="051801EF"/>
    <w:rsid w:val="05224B2F"/>
    <w:rsid w:val="05367AD1"/>
    <w:rsid w:val="055029FA"/>
    <w:rsid w:val="0563041F"/>
    <w:rsid w:val="056D0B52"/>
    <w:rsid w:val="05727E27"/>
    <w:rsid w:val="057E173A"/>
    <w:rsid w:val="058E3BE7"/>
    <w:rsid w:val="05996F7D"/>
    <w:rsid w:val="059F2277"/>
    <w:rsid w:val="05D61E65"/>
    <w:rsid w:val="05DB0C89"/>
    <w:rsid w:val="05F42636"/>
    <w:rsid w:val="05F71A0E"/>
    <w:rsid w:val="06253556"/>
    <w:rsid w:val="062D1854"/>
    <w:rsid w:val="062F1F01"/>
    <w:rsid w:val="06603F9C"/>
    <w:rsid w:val="066107E1"/>
    <w:rsid w:val="066C601E"/>
    <w:rsid w:val="067A6AFF"/>
    <w:rsid w:val="06944398"/>
    <w:rsid w:val="06B03E2C"/>
    <w:rsid w:val="06C47C16"/>
    <w:rsid w:val="06D30ADE"/>
    <w:rsid w:val="06E62AE5"/>
    <w:rsid w:val="070A6F35"/>
    <w:rsid w:val="07397C16"/>
    <w:rsid w:val="075B55B8"/>
    <w:rsid w:val="078270AF"/>
    <w:rsid w:val="07945E37"/>
    <w:rsid w:val="07BF39C9"/>
    <w:rsid w:val="07DB23C7"/>
    <w:rsid w:val="07EB284F"/>
    <w:rsid w:val="082D6981"/>
    <w:rsid w:val="084322AE"/>
    <w:rsid w:val="08447F53"/>
    <w:rsid w:val="084721DB"/>
    <w:rsid w:val="084C0D07"/>
    <w:rsid w:val="084F6707"/>
    <w:rsid w:val="085E77E3"/>
    <w:rsid w:val="08C5143D"/>
    <w:rsid w:val="0912413A"/>
    <w:rsid w:val="091322CC"/>
    <w:rsid w:val="092B4110"/>
    <w:rsid w:val="092D0512"/>
    <w:rsid w:val="092F2F78"/>
    <w:rsid w:val="093670EF"/>
    <w:rsid w:val="09383AB9"/>
    <w:rsid w:val="093B7917"/>
    <w:rsid w:val="094F49CA"/>
    <w:rsid w:val="09740E46"/>
    <w:rsid w:val="097A36CE"/>
    <w:rsid w:val="098C590A"/>
    <w:rsid w:val="099853DA"/>
    <w:rsid w:val="09C162DD"/>
    <w:rsid w:val="09C3792A"/>
    <w:rsid w:val="09CC4828"/>
    <w:rsid w:val="09D47958"/>
    <w:rsid w:val="0A2C5CA0"/>
    <w:rsid w:val="0A400DBB"/>
    <w:rsid w:val="0A493EF5"/>
    <w:rsid w:val="0A5C746A"/>
    <w:rsid w:val="0A647BE1"/>
    <w:rsid w:val="0A716325"/>
    <w:rsid w:val="0A895E24"/>
    <w:rsid w:val="0A8F079E"/>
    <w:rsid w:val="0A9A7F0F"/>
    <w:rsid w:val="0ACC444A"/>
    <w:rsid w:val="0AD31BA2"/>
    <w:rsid w:val="0B034842"/>
    <w:rsid w:val="0B0E0B30"/>
    <w:rsid w:val="0B264614"/>
    <w:rsid w:val="0B3F4495"/>
    <w:rsid w:val="0B4F23A6"/>
    <w:rsid w:val="0B543CA0"/>
    <w:rsid w:val="0B5F4434"/>
    <w:rsid w:val="0B75475E"/>
    <w:rsid w:val="0BA85F8D"/>
    <w:rsid w:val="0BF86B96"/>
    <w:rsid w:val="0C1A48EA"/>
    <w:rsid w:val="0C212C19"/>
    <w:rsid w:val="0C2D340E"/>
    <w:rsid w:val="0C3F4D9B"/>
    <w:rsid w:val="0C6E045E"/>
    <w:rsid w:val="0C76654E"/>
    <w:rsid w:val="0C7F62D6"/>
    <w:rsid w:val="0C880409"/>
    <w:rsid w:val="0CAA6A0A"/>
    <w:rsid w:val="0CB44896"/>
    <w:rsid w:val="0CBB5F78"/>
    <w:rsid w:val="0CC12AEF"/>
    <w:rsid w:val="0CC46945"/>
    <w:rsid w:val="0CD013FA"/>
    <w:rsid w:val="0CE272BE"/>
    <w:rsid w:val="0D0B0DE6"/>
    <w:rsid w:val="0D2627E2"/>
    <w:rsid w:val="0D275AA8"/>
    <w:rsid w:val="0D441CB0"/>
    <w:rsid w:val="0D4C6DF5"/>
    <w:rsid w:val="0D5669F9"/>
    <w:rsid w:val="0D5A65C9"/>
    <w:rsid w:val="0D5E2687"/>
    <w:rsid w:val="0D6D7C9B"/>
    <w:rsid w:val="0D7578CB"/>
    <w:rsid w:val="0D773D75"/>
    <w:rsid w:val="0D7E4FD5"/>
    <w:rsid w:val="0D9B1CEC"/>
    <w:rsid w:val="0DBA54E4"/>
    <w:rsid w:val="0DE62585"/>
    <w:rsid w:val="0DFC5D75"/>
    <w:rsid w:val="0E0A098D"/>
    <w:rsid w:val="0E43440D"/>
    <w:rsid w:val="0E4773A6"/>
    <w:rsid w:val="0E6924DC"/>
    <w:rsid w:val="0E921C32"/>
    <w:rsid w:val="0EA12E00"/>
    <w:rsid w:val="0EA52CBE"/>
    <w:rsid w:val="0EC44D5F"/>
    <w:rsid w:val="0EC71C3E"/>
    <w:rsid w:val="0EDE708A"/>
    <w:rsid w:val="0F305A06"/>
    <w:rsid w:val="0F385D65"/>
    <w:rsid w:val="0F5A3C27"/>
    <w:rsid w:val="0F65121D"/>
    <w:rsid w:val="0F905F80"/>
    <w:rsid w:val="0F9718D9"/>
    <w:rsid w:val="0FE75D85"/>
    <w:rsid w:val="0FEC709E"/>
    <w:rsid w:val="100B14A3"/>
    <w:rsid w:val="10214A7C"/>
    <w:rsid w:val="10295D8E"/>
    <w:rsid w:val="10603BF4"/>
    <w:rsid w:val="106415C5"/>
    <w:rsid w:val="107232DD"/>
    <w:rsid w:val="10766EF7"/>
    <w:rsid w:val="10771EFF"/>
    <w:rsid w:val="107A0C96"/>
    <w:rsid w:val="107A3DC8"/>
    <w:rsid w:val="10853902"/>
    <w:rsid w:val="108E1355"/>
    <w:rsid w:val="10956EEC"/>
    <w:rsid w:val="10F71086"/>
    <w:rsid w:val="10FF109F"/>
    <w:rsid w:val="110D2812"/>
    <w:rsid w:val="110F72C1"/>
    <w:rsid w:val="1132557E"/>
    <w:rsid w:val="114C1096"/>
    <w:rsid w:val="115724B6"/>
    <w:rsid w:val="117F785F"/>
    <w:rsid w:val="119F149D"/>
    <w:rsid w:val="11A17BC3"/>
    <w:rsid w:val="11D65E05"/>
    <w:rsid w:val="11D86036"/>
    <w:rsid w:val="122020CC"/>
    <w:rsid w:val="1231010E"/>
    <w:rsid w:val="125C533A"/>
    <w:rsid w:val="12703CF2"/>
    <w:rsid w:val="129313C9"/>
    <w:rsid w:val="129F0628"/>
    <w:rsid w:val="12A42AB2"/>
    <w:rsid w:val="12A764BE"/>
    <w:rsid w:val="12F2076C"/>
    <w:rsid w:val="13155065"/>
    <w:rsid w:val="13264D6F"/>
    <w:rsid w:val="1333266D"/>
    <w:rsid w:val="13430B4B"/>
    <w:rsid w:val="13626263"/>
    <w:rsid w:val="136F1A34"/>
    <w:rsid w:val="137E241C"/>
    <w:rsid w:val="138B4200"/>
    <w:rsid w:val="13CA5C4D"/>
    <w:rsid w:val="13D5185C"/>
    <w:rsid w:val="13D552EC"/>
    <w:rsid w:val="13EE15FA"/>
    <w:rsid w:val="14244DD5"/>
    <w:rsid w:val="14480A5A"/>
    <w:rsid w:val="14712FB7"/>
    <w:rsid w:val="14816B5F"/>
    <w:rsid w:val="14AA0805"/>
    <w:rsid w:val="14B72178"/>
    <w:rsid w:val="14C0137C"/>
    <w:rsid w:val="14E20D44"/>
    <w:rsid w:val="14EA5225"/>
    <w:rsid w:val="15120F09"/>
    <w:rsid w:val="15270E26"/>
    <w:rsid w:val="15325154"/>
    <w:rsid w:val="157113EA"/>
    <w:rsid w:val="157C53E9"/>
    <w:rsid w:val="157F1CD1"/>
    <w:rsid w:val="15993577"/>
    <w:rsid w:val="159F78B9"/>
    <w:rsid w:val="15A0313A"/>
    <w:rsid w:val="15F10798"/>
    <w:rsid w:val="15F51D1C"/>
    <w:rsid w:val="160659D5"/>
    <w:rsid w:val="160B115C"/>
    <w:rsid w:val="161E6781"/>
    <w:rsid w:val="162C36C8"/>
    <w:rsid w:val="163E0050"/>
    <w:rsid w:val="1640732D"/>
    <w:rsid w:val="16430633"/>
    <w:rsid w:val="167B04FF"/>
    <w:rsid w:val="16A56FB2"/>
    <w:rsid w:val="16BF0588"/>
    <w:rsid w:val="16BF1790"/>
    <w:rsid w:val="16C64BFD"/>
    <w:rsid w:val="16D84322"/>
    <w:rsid w:val="16EF1747"/>
    <w:rsid w:val="17007DC5"/>
    <w:rsid w:val="17026F67"/>
    <w:rsid w:val="170664EB"/>
    <w:rsid w:val="17186B97"/>
    <w:rsid w:val="171F7A92"/>
    <w:rsid w:val="173B32F0"/>
    <w:rsid w:val="174E190C"/>
    <w:rsid w:val="17710231"/>
    <w:rsid w:val="17816124"/>
    <w:rsid w:val="17821E79"/>
    <w:rsid w:val="179842AB"/>
    <w:rsid w:val="17C32C1C"/>
    <w:rsid w:val="17C42329"/>
    <w:rsid w:val="18130587"/>
    <w:rsid w:val="1824019C"/>
    <w:rsid w:val="18587284"/>
    <w:rsid w:val="186000EE"/>
    <w:rsid w:val="1879447F"/>
    <w:rsid w:val="1889738D"/>
    <w:rsid w:val="18A422C2"/>
    <w:rsid w:val="18AB7038"/>
    <w:rsid w:val="18B51EC3"/>
    <w:rsid w:val="18C06A71"/>
    <w:rsid w:val="18E27BAA"/>
    <w:rsid w:val="18FE0B3F"/>
    <w:rsid w:val="191E07B4"/>
    <w:rsid w:val="192073CC"/>
    <w:rsid w:val="192478B7"/>
    <w:rsid w:val="192D31EB"/>
    <w:rsid w:val="19467740"/>
    <w:rsid w:val="19552F51"/>
    <w:rsid w:val="198F7F93"/>
    <w:rsid w:val="19B47DD1"/>
    <w:rsid w:val="19DC4D71"/>
    <w:rsid w:val="19F72C8B"/>
    <w:rsid w:val="1A242DB8"/>
    <w:rsid w:val="1A6B40CE"/>
    <w:rsid w:val="1A6B657D"/>
    <w:rsid w:val="1A815BD3"/>
    <w:rsid w:val="1A8B02F0"/>
    <w:rsid w:val="1A950125"/>
    <w:rsid w:val="1AA33CC8"/>
    <w:rsid w:val="1ABA7984"/>
    <w:rsid w:val="1ACB3375"/>
    <w:rsid w:val="1AD9601A"/>
    <w:rsid w:val="1B4367F4"/>
    <w:rsid w:val="1B5C2C5D"/>
    <w:rsid w:val="1B747074"/>
    <w:rsid w:val="1B9149EE"/>
    <w:rsid w:val="1B944CB1"/>
    <w:rsid w:val="1B9E6861"/>
    <w:rsid w:val="1BAA068A"/>
    <w:rsid w:val="1BCB12E1"/>
    <w:rsid w:val="1BCC552D"/>
    <w:rsid w:val="1BD2095A"/>
    <w:rsid w:val="1BDB4AD2"/>
    <w:rsid w:val="1BDD3CBF"/>
    <w:rsid w:val="1BF2003A"/>
    <w:rsid w:val="1C036B4B"/>
    <w:rsid w:val="1C044CFD"/>
    <w:rsid w:val="1C0C4EF8"/>
    <w:rsid w:val="1C104715"/>
    <w:rsid w:val="1C47333D"/>
    <w:rsid w:val="1C504041"/>
    <w:rsid w:val="1C670988"/>
    <w:rsid w:val="1C6F6DE4"/>
    <w:rsid w:val="1C7F5574"/>
    <w:rsid w:val="1C825F0A"/>
    <w:rsid w:val="1CA519D5"/>
    <w:rsid w:val="1CB0205B"/>
    <w:rsid w:val="1CCF59CE"/>
    <w:rsid w:val="1CFE1F9E"/>
    <w:rsid w:val="1D0D6955"/>
    <w:rsid w:val="1D1046F8"/>
    <w:rsid w:val="1D2B026D"/>
    <w:rsid w:val="1D3359AA"/>
    <w:rsid w:val="1D3578F8"/>
    <w:rsid w:val="1D5F1195"/>
    <w:rsid w:val="1D6915AF"/>
    <w:rsid w:val="1D7C27F7"/>
    <w:rsid w:val="1D88197B"/>
    <w:rsid w:val="1D8F1E02"/>
    <w:rsid w:val="1D9B3CAA"/>
    <w:rsid w:val="1D9C1A16"/>
    <w:rsid w:val="1D9F5997"/>
    <w:rsid w:val="1DB70379"/>
    <w:rsid w:val="1DB902E7"/>
    <w:rsid w:val="1DBF12C0"/>
    <w:rsid w:val="1DD60858"/>
    <w:rsid w:val="1DE368CE"/>
    <w:rsid w:val="1DFE763D"/>
    <w:rsid w:val="1E066BFD"/>
    <w:rsid w:val="1E3D16BE"/>
    <w:rsid w:val="1E716A79"/>
    <w:rsid w:val="1E7D12C4"/>
    <w:rsid w:val="1EAC0280"/>
    <w:rsid w:val="1EC44101"/>
    <w:rsid w:val="1EF13AE1"/>
    <w:rsid w:val="1F0E46A0"/>
    <w:rsid w:val="1F0F507B"/>
    <w:rsid w:val="1F280B33"/>
    <w:rsid w:val="1F436954"/>
    <w:rsid w:val="1F4D7CB2"/>
    <w:rsid w:val="1F5B3F83"/>
    <w:rsid w:val="1F5E07AC"/>
    <w:rsid w:val="1F6B3A55"/>
    <w:rsid w:val="1F921442"/>
    <w:rsid w:val="1FB005B5"/>
    <w:rsid w:val="1FCC172B"/>
    <w:rsid w:val="1FD239CE"/>
    <w:rsid w:val="1FFB7524"/>
    <w:rsid w:val="2017413E"/>
    <w:rsid w:val="202F2459"/>
    <w:rsid w:val="203568E0"/>
    <w:rsid w:val="204C06AD"/>
    <w:rsid w:val="2078113D"/>
    <w:rsid w:val="2094409D"/>
    <w:rsid w:val="20BF12E3"/>
    <w:rsid w:val="210B33AA"/>
    <w:rsid w:val="211018D5"/>
    <w:rsid w:val="211853CD"/>
    <w:rsid w:val="21193B54"/>
    <w:rsid w:val="212267F3"/>
    <w:rsid w:val="214C5F38"/>
    <w:rsid w:val="21580063"/>
    <w:rsid w:val="215C5CA2"/>
    <w:rsid w:val="21710A68"/>
    <w:rsid w:val="2184486A"/>
    <w:rsid w:val="2188663D"/>
    <w:rsid w:val="21980957"/>
    <w:rsid w:val="219D3E29"/>
    <w:rsid w:val="21B17B55"/>
    <w:rsid w:val="21BA4D5A"/>
    <w:rsid w:val="21C61DDE"/>
    <w:rsid w:val="21C7795A"/>
    <w:rsid w:val="21F9403C"/>
    <w:rsid w:val="220130C8"/>
    <w:rsid w:val="221F3F25"/>
    <w:rsid w:val="22333AA1"/>
    <w:rsid w:val="22BD2E76"/>
    <w:rsid w:val="22C9023E"/>
    <w:rsid w:val="22D05A47"/>
    <w:rsid w:val="22D26EAF"/>
    <w:rsid w:val="22E73534"/>
    <w:rsid w:val="22EB6D0C"/>
    <w:rsid w:val="23020B57"/>
    <w:rsid w:val="2348188E"/>
    <w:rsid w:val="235003C1"/>
    <w:rsid w:val="2369588F"/>
    <w:rsid w:val="23887625"/>
    <w:rsid w:val="23930482"/>
    <w:rsid w:val="23A22F3C"/>
    <w:rsid w:val="23A6343E"/>
    <w:rsid w:val="23C920C1"/>
    <w:rsid w:val="23D55828"/>
    <w:rsid w:val="24134497"/>
    <w:rsid w:val="241C417A"/>
    <w:rsid w:val="24680AE8"/>
    <w:rsid w:val="2491482B"/>
    <w:rsid w:val="249433B6"/>
    <w:rsid w:val="24944D34"/>
    <w:rsid w:val="24967AC6"/>
    <w:rsid w:val="24B03565"/>
    <w:rsid w:val="24BD1222"/>
    <w:rsid w:val="24D421CB"/>
    <w:rsid w:val="24D4787D"/>
    <w:rsid w:val="24DE5BF2"/>
    <w:rsid w:val="24DF3F31"/>
    <w:rsid w:val="24EE5C15"/>
    <w:rsid w:val="24F66AC0"/>
    <w:rsid w:val="250235F1"/>
    <w:rsid w:val="25590CC6"/>
    <w:rsid w:val="257229A7"/>
    <w:rsid w:val="257709FB"/>
    <w:rsid w:val="259C0B3C"/>
    <w:rsid w:val="25A0482C"/>
    <w:rsid w:val="25B0357A"/>
    <w:rsid w:val="25B14002"/>
    <w:rsid w:val="25BC6888"/>
    <w:rsid w:val="25C1260B"/>
    <w:rsid w:val="25E41222"/>
    <w:rsid w:val="25FA399D"/>
    <w:rsid w:val="260F4A69"/>
    <w:rsid w:val="2654390B"/>
    <w:rsid w:val="265B3762"/>
    <w:rsid w:val="26745E1B"/>
    <w:rsid w:val="267C0312"/>
    <w:rsid w:val="2681036C"/>
    <w:rsid w:val="269B26E9"/>
    <w:rsid w:val="26A57A65"/>
    <w:rsid w:val="26D85EDD"/>
    <w:rsid w:val="26FF2DF0"/>
    <w:rsid w:val="271E441C"/>
    <w:rsid w:val="2721255F"/>
    <w:rsid w:val="273350FA"/>
    <w:rsid w:val="274A56FA"/>
    <w:rsid w:val="275C3451"/>
    <w:rsid w:val="27706349"/>
    <w:rsid w:val="277978A5"/>
    <w:rsid w:val="27C73D38"/>
    <w:rsid w:val="27D6481D"/>
    <w:rsid w:val="27E60AEC"/>
    <w:rsid w:val="27E92A96"/>
    <w:rsid w:val="28022CC6"/>
    <w:rsid w:val="281A5848"/>
    <w:rsid w:val="28411F49"/>
    <w:rsid w:val="284E2E6C"/>
    <w:rsid w:val="285B3B30"/>
    <w:rsid w:val="28A9268D"/>
    <w:rsid w:val="28DA7E14"/>
    <w:rsid w:val="28DC7F94"/>
    <w:rsid w:val="28E20191"/>
    <w:rsid w:val="29032593"/>
    <w:rsid w:val="291B5B6D"/>
    <w:rsid w:val="29283595"/>
    <w:rsid w:val="29384755"/>
    <w:rsid w:val="29474E9E"/>
    <w:rsid w:val="297E256D"/>
    <w:rsid w:val="29901482"/>
    <w:rsid w:val="29F35878"/>
    <w:rsid w:val="2A0744E4"/>
    <w:rsid w:val="2A154AC5"/>
    <w:rsid w:val="2A220264"/>
    <w:rsid w:val="2A285457"/>
    <w:rsid w:val="2A3B4EF0"/>
    <w:rsid w:val="2A575882"/>
    <w:rsid w:val="2A665B39"/>
    <w:rsid w:val="2A7B42A5"/>
    <w:rsid w:val="2A802D8A"/>
    <w:rsid w:val="2AA004C2"/>
    <w:rsid w:val="2AAF3433"/>
    <w:rsid w:val="2AD01279"/>
    <w:rsid w:val="2B021229"/>
    <w:rsid w:val="2B074DB5"/>
    <w:rsid w:val="2B1030BD"/>
    <w:rsid w:val="2B151C54"/>
    <w:rsid w:val="2B2209DE"/>
    <w:rsid w:val="2B2560CD"/>
    <w:rsid w:val="2B3137EA"/>
    <w:rsid w:val="2B3570BB"/>
    <w:rsid w:val="2B406E52"/>
    <w:rsid w:val="2B613F8A"/>
    <w:rsid w:val="2B715FF9"/>
    <w:rsid w:val="2B7C2469"/>
    <w:rsid w:val="2B8667B4"/>
    <w:rsid w:val="2B8B0140"/>
    <w:rsid w:val="2B9102BE"/>
    <w:rsid w:val="2B9C3E2A"/>
    <w:rsid w:val="2BB83060"/>
    <w:rsid w:val="2BE454D5"/>
    <w:rsid w:val="2BE546C3"/>
    <w:rsid w:val="2BE7784D"/>
    <w:rsid w:val="2C1A5864"/>
    <w:rsid w:val="2C36468A"/>
    <w:rsid w:val="2C380A4C"/>
    <w:rsid w:val="2C517FCF"/>
    <w:rsid w:val="2C7E3F52"/>
    <w:rsid w:val="2CD9470B"/>
    <w:rsid w:val="2CF63F14"/>
    <w:rsid w:val="2D0C0D09"/>
    <w:rsid w:val="2D3904C5"/>
    <w:rsid w:val="2D430572"/>
    <w:rsid w:val="2D4E2DDE"/>
    <w:rsid w:val="2D5E3ABF"/>
    <w:rsid w:val="2D600536"/>
    <w:rsid w:val="2D9E4763"/>
    <w:rsid w:val="2DA45761"/>
    <w:rsid w:val="2DA81C99"/>
    <w:rsid w:val="2DB44750"/>
    <w:rsid w:val="2DCA1C15"/>
    <w:rsid w:val="2DE16921"/>
    <w:rsid w:val="2E251C9D"/>
    <w:rsid w:val="2E5C17D6"/>
    <w:rsid w:val="2E5D7A1B"/>
    <w:rsid w:val="2E6922D6"/>
    <w:rsid w:val="2E7D14DA"/>
    <w:rsid w:val="2E8B4E7A"/>
    <w:rsid w:val="2EA15342"/>
    <w:rsid w:val="2EA67169"/>
    <w:rsid w:val="2EA87494"/>
    <w:rsid w:val="2EB21604"/>
    <w:rsid w:val="2EB84CFE"/>
    <w:rsid w:val="2ED912C5"/>
    <w:rsid w:val="2EDC5069"/>
    <w:rsid w:val="2EF237A7"/>
    <w:rsid w:val="2EFA7779"/>
    <w:rsid w:val="2F115E9C"/>
    <w:rsid w:val="2F331442"/>
    <w:rsid w:val="2F354053"/>
    <w:rsid w:val="2F3A36A2"/>
    <w:rsid w:val="2F6C637F"/>
    <w:rsid w:val="2F6E3251"/>
    <w:rsid w:val="2FAF3F01"/>
    <w:rsid w:val="2FB8673A"/>
    <w:rsid w:val="2FC1718F"/>
    <w:rsid w:val="2FD53C66"/>
    <w:rsid w:val="2FD57AE6"/>
    <w:rsid w:val="2FE32137"/>
    <w:rsid w:val="300D1A47"/>
    <w:rsid w:val="302A76D8"/>
    <w:rsid w:val="30325457"/>
    <w:rsid w:val="307642F8"/>
    <w:rsid w:val="307C2FD5"/>
    <w:rsid w:val="308472ED"/>
    <w:rsid w:val="308927E7"/>
    <w:rsid w:val="30A83E2F"/>
    <w:rsid w:val="30BE10FD"/>
    <w:rsid w:val="30D22C4D"/>
    <w:rsid w:val="30D824CE"/>
    <w:rsid w:val="30E8604C"/>
    <w:rsid w:val="311B4918"/>
    <w:rsid w:val="3128318C"/>
    <w:rsid w:val="313919B9"/>
    <w:rsid w:val="313C6E33"/>
    <w:rsid w:val="31832045"/>
    <w:rsid w:val="318A56D9"/>
    <w:rsid w:val="31980BDD"/>
    <w:rsid w:val="319B0DA4"/>
    <w:rsid w:val="31BC324A"/>
    <w:rsid w:val="31DD1A19"/>
    <w:rsid w:val="31E32CEF"/>
    <w:rsid w:val="31F27463"/>
    <w:rsid w:val="322319DA"/>
    <w:rsid w:val="32283386"/>
    <w:rsid w:val="322E6F2F"/>
    <w:rsid w:val="323319A5"/>
    <w:rsid w:val="32473ADF"/>
    <w:rsid w:val="3276149F"/>
    <w:rsid w:val="32A068E9"/>
    <w:rsid w:val="32A23292"/>
    <w:rsid w:val="32CB7E65"/>
    <w:rsid w:val="32DC06BB"/>
    <w:rsid w:val="32F16CC0"/>
    <w:rsid w:val="330B75BD"/>
    <w:rsid w:val="33524A45"/>
    <w:rsid w:val="33696B21"/>
    <w:rsid w:val="33AF76FE"/>
    <w:rsid w:val="33C16442"/>
    <w:rsid w:val="340F5B81"/>
    <w:rsid w:val="34132FF2"/>
    <w:rsid w:val="3471300F"/>
    <w:rsid w:val="34874227"/>
    <w:rsid w:val="34890003"/>
    <w:rsid w:val="34931091"/>
    <w:rsid w:val="34B775B2"/>
    <w:rsid w:val="34E038B6"/>
    <w:rsid w:val="34E30F0F"/>
    <w:rsid w:val="34F01269"/>
    <w:rsid w:val="351241C6"/>
    <w:rsid w:val="351F02B8"/>
    <w:rsid w:val="35480EDF"/>
    <w:rsid w:val="35686F69"/>
    <w:rsid w:val="35687EBB"/>
    <w:rsid w:val="35784769"/>
    <w:rsid w:val="357F03D9"/>
    <w:rsid w:val="35860DD5"/>
    <w:rsid w:val="358D7A7B"/>
    <w:rsid w:val="35923A51"/>
    <w:rsid w:val="359A3107"/>
    <w:rsid w:val="3611115D"/>
    <w:rsid w:val="361D0887"/>
    <w:rsid w:val="365506E1"/>
    <w:rsid w:val="36824A32"/>
    <w:rsid w:val="36974B8F"/>
    <w:rsid w:val="369B37BE"/>
    <w:rsid w:val="36A52223"/>
    <w:rsid w:val="36AD1C73"/>
    <w:rsid w:val="36AF43CB"/>
    <w:rsid w:val="36B409CC"/>
    <w:rsid w:val="36CC20D7"/>
    <w:rsid w:val="36D2199E"/>
    <w:rsid w:val="36D70FE7"/>
    <w:rsid w:val="36DC2A3B"/>
    <w:rsid w:val="36DF2AB3"/>
    <w:rsid w:val="36E07DEB"/>
    <w:rsid w:val="36EA511D"/>
    <w:rsid w:val="36F44D99"/>
    <w:rsid w:val="36F70883"/>
    <w:rsid w:val="36F84BB1"/>
    <w:rsid w:val="36FF3F93"/>
    <w:rsid w:val="371C5979"/>
    <w:rsid w:val="37370121"/>
    <w:rsid w:val="373B4262"/>
    <w:rsid w:val="37866BA0"/>
    <w:rsid w:val="37D65746"/>
    <w:rsid w:val="37ED3EEE"/>
    <w:rsid w:val="38107C75"/>
    <w:rsid w:val="382E3032"/>
    <w:rsid w:val="38574525"/>
    <w:rsid w:val="38650B7B"/>
    <w:rsid w:val="386C42FF"/>
    <w:rsid w:val="387306D3"/>
    <w:rsid w:val="38753B9D"/>
    <w:rsid w:val="38757EF7"/>
    <w:rsid w:val="388C754C"/>
    <w:rsid w:val="389A2C3B"/>
    <w:rsid w:val="38A356B6"/>
    <w:rsid w:val="38B6134F"/>
    <w:rsid w:val="38B77B89"/>
    <w:rsid w:val="38B94A25"/>
    <w:rsid w:val="38E4492B"/>
    <w:rsid w:val="38EA31B9"/>
    <w:rsid w:val="38EE644D"/>
    <w:rsid w:val="38F335E0"/>
    <w:rsid w:val="38FC6572"/>
    <w:rsid w:val="38FE3638"/>
    <w:rsid w:val="391A03B8"/>
    <w:rsid w:val="39291FA1"/>
    <w:rsid w:val="39587AC5"/>
    <w:rsid w:val="395E7235"/>
    <w:rsid w:val="396F6F4F"/>
    <w:rsid w:val="39710EB7"/>
    <w:rsid w:val="39884BFF"/>
    <w:rsid w:val="39952C82"/>
    <w:rsid w:val="39C67D0A"/>
    <w:rsid w:val="39CD59E2"/>
    <w:rsid w:val="39D049E4"/>
    <w:rsid w:val="39DD1FC0"/>
    <w:rsid w:val="39E20FE2"/>
    <w:rsid w:val="39E278CB"/>
    <w:rsid w:val="3A0F0B48"/>
    <w:rsid w:val="3A224586"/>
    <w:rsid w:val="3A2B5335"/>
    <w:rsid w:val="3A31153A"/>
    <w:rsid w:val="3A3274F4"/>
    <w:rsid w:val="3A336219"/>
    <w:rsid w:val="3A4F3E22"/>
    <w:rsid w:val="3A657A57"/>
    <w:rsid w:val="3A6C1A5E"/>
    <w:rsid w:val="3A6C47E6"/>
    <w:rsid w:val="3A7B4085"/>
    <w:rsid w:val="3A8527BD"/>
    <w:rsid w:val="3AA54A51"/>
    <w:rsid w:val="3AAA30E3"/>
    <w:rsid w:val="3AF87CF3"/>
    <w:rsid w:val="3B0E4A2A"/>
    <w:rsid w:val="3B107CAF"/>
    <w:rsid w:val="3B4A3954"/>
    <w:rsid w:val="3B5318A0"/>
    <w:rsid w:val="3B6B5381"/>
    <w:rsid w:val="3B7742CD"/>
    <w:rsid w:val="3B9004B9"/>
    <w:rsid w:val="3B9E1812"/>
    <w:rsid w:val="3BAF248D"/>
    <w:rsid w:val="3BAF3FE1"/>
    <w:rsid w:val="3BB57FF7"/>
    <w:rsid w:val="3BD834C3"/>
    <w:rsid w:val="3BF40B5B"/>
    <w:rsid w:val="3BF674FE"/>
    <w:rsid w:val="3C2F0DC1"/>
    <w:rsid w:val="3C3347D1"/>
    <w:rsid w:val="3C411F3D"/>
    <w:rsid w:val="3C461A3C"/>
    <w:rsid w:val="3C54676F"/>
    <w:rsid w:val="3C611C77"/>
    <w:rsid w:val="3C8015C6"/>
    <w:rsid w:val="3C856B15"/>
    <w:rsid w:val="3C9F1451"/>
    <w:rsid w:val="3CA5557B"/>
    <w:rsid w:val="3CAC1A05"/>
    <w:rsid w:val="3CBF2113"/>
    <w:rsid w:val="3CC5059F"/>
    <w:rsid w:val="3CCC0811"/>
    <w:rsid w:val="3CD92DC9"/>
    <w:rsid w:val="3CE109FF"/>
    <w:rsid w:val="3CF474DA"/>
    <w:rsid w:val="3CF6320B"/>
    <w:rsid w:val="3D322722"/>
    <w:rsid w:val="3D3E0E07"/>
    <w:rsid w:val="3D4D2885"/>
    <w:rsid w:val="3D501F86"/>
    <w:rsid w:val="3D5B6FD8"/>
    <w:rsid w:val="3D6C7970"/>
    <w:rsid w:val="3D8524B9"/>
    <w:rsid w:val="3DC67841"/>
    <w:rsid w:val="3DCC6E48"/>
    <w:rsid w:val="3E1302F2"/>
    <w:rsid w:val="3E341AE6"/>
    <w:rsid w:val="3E51379D"/>
    <w:rsid w:val="3E721BE4"/>
    <w:rsid w:val="3E795D46"/>
    <w:rsid w:val="3EBD4C84"/>
    <w:rsid w:val="3EBD5746"/>
    <w:rsid w:val="3EC40A9D"/>
    <w:rsid w:val="3ECD0A86"/>
    <w:rsid w:val="3F126C25"/>
    <w:rsid w:val="3F2541BD"/>
    <w:rsid w:val="3F270B16"/>
    <w:rsid w:val="3F2E1884"/>
    <w:rsid w:val="3F406847"/>
    <w:rsid w:val="3F486D14"/>
    <w:rsid w:val="3F8B38F8"/>
    <w:rsid w:val="3F911160"/>
    <w:rsid w:val="3FB60A8F"/>
    <w:rsid w:val="3FD16542"/>
    <w:rsid w:val="3FD50823"/>
    <w:rsid w:val="3FE57A37"/>
    <w:rsid w:val="3FE6620E"/>
    <w:rsid w:val="40190984"/>
    <w:rsid w:val="402D5AAC"/>
    <w:rsid w:val="403C756C"/>
    <w:rsid w:val="4084312C"/>
    <w:rsid w:val="40923A38"/>
    <w:rsid w:val="409F62B0"/>
    <w:rsid w:val="40AC35A1"/>
    <w:rsid w:val="40B87888"/>
    <w:rsid w:val="40BF28FF"/>
    <w:rsid w:val="40F579A0"/>
    <w:rsid w:val="41161BA3"/>
    <w:rsid w:val="41251ED8"/>
    <w:rsid w:val="414D1A11"/>
    <w:rsid w:val="41541E79"/>
    <w:rsid w:val="415E5EAB"/>
    <w:rsid w:val="417437BF"/>
    <w:rsid w:val="419B28D7"/>
    <w:rsid w:val="41C6087A"/>
    <w:rsid w:val="41E106C4"/>
    <w:rsid w:val="41F41ECC"/>
    <w:rsid w:val="41F72304"/>
    <w:rsid w:val="422725DC"/>
    <w:rsid w:val="422C4743"/>
    <w:rsid w:val="42464C1F"/>
    <w:rsid w:val="424D630C"/>
    <w:rsid w:val="42647007"/>
    <w:rsid w:val="42927BEF"/>
    <w:rsid w:val="42A261A9"/>
    <w:rsid w:val="42F01A2C"/>
    <w:rsid w:val="430272B9"/>
    <w:rsid w:val="433567C5"/>
    <w:rsid w:val="43437508"/>
    <w:rsid w:val="4369441A"/>
    <w:rsid w:val="43715ACD"/>
    <w:rsid w:val="439B45B2"/>
    <w:rsid w:val="43A728DB"/>
    <w:rsid w:val="43B64B82"/>
    <w:rsid w:val="43CC220E"/>
    <w:rsid w:val="43EC4DB0"/>
    <w:rsid w:val="43F35274"/>
    <w:rsid w:val="43FD6BD7"/>
    <w:rsid w:val="44133473"/>
    <w:rsid w:val="443A78EA"/>
    <w:rsid w:val="444A0646"/>
    <w:rsid w:val="445143F6"/>
    <w:rsid w:val="44515A1D"/>
    <w:rsid w:val="448778CA"/>
    <w:rsid w:val="44AF6F90"/>
    <w:rsid w:val="44D4142E"/>
    <w:rsid w:val="44D54043"/>
    <w:rsid w:val="452A40ED"/>
    <w:rsid w:val="452F142E"/>
    <w:rsid w:val="454A7BD2"/>
    <w:rsid w:val="455C521C"/>
    <w:rsid w:val="45657922"/>
    <w:rsid w:val="45771FDE"/>
    <w:rsid w:val="45940205"/>
    <w:rsid w:val="459A5AE0"/>
    <w:rsid w:val="45A71986"/>
    <w:rsid w:val="45B2417A"/>
    <w:rsid w:val="45D05C04"/>
    <w:rsid w:val="4676486A"/>
    <w:rsid w:val="46792153"/>
    <w:rsid w:val="467A3876"/>
    <w:rsid w:val="46882F36"/>
    <w:rsid w:val="46D203B7"/>
    <w:rsid w:val="47080F16"/>
    <w:rsid w:val="47256A06"/>
    <w:rsid w:val="473174AB"/>
    <w:rsid w:val="475F2ECF"/>
    <w:rsid w:val="476E5ABA"/>
    <w:rsid w:val="477C7EA2"/>
    <w:rsid w:val="47932506"/>
    <w:rsid w:val="479902B6"/>
    <w:rsid w:val="47DA073E"/>
    <w:rsid w:val="47E41BE3"/>
    <w:rsid w:val="47F628FA"/>
    <w:rsid w:val="48014BE7"/>
    <w:rsid w:val="48073349"/>
    <w:rsid w:val="48651EF8"/>
    <w:rsid w:val="486561CC"/>
    <w:rsid w:val="487333F6"/>
    <w:rsid w:val="48774DFE"/>
    <w:rsid w:val="489A1C79"/>
    <w:rsid w:val="48B03E9F"/>
    <w:rsid w:val="48C76242"/>
    <w:rsid w:val="48E00AC5"/>
    <w:rsid w:val="48F0132C"/>
    <w:rsid w:val="48F55B45"/>
    <w:rsid w:val="4918362D"/>
    <w:rsid w:val="49183BBE"/>
    <w:rsid w:val="491A4ED9"/>
    <w:rsid w:val="49252B13"/>
    <w:rsid w:val="494708E3"/>
    <w:rsid w:val="497C0AAC"/>
    <w:rsid w:val="498216FD"/>
    <w:rsid w:val="499B3E64"/>
    <w:rsid w:val="499E601B"/>
    <w:rsid w:val="49B84D2C"/>
    <w:rsid w:val="49C15343"/>
    <w:rsid w:val="49D07AEA"/>
    <w:rsid w:val="49FE1162"/>
    <w:rsid w:val="4A0715DF"/>
    <w:rsid w:val="4A192CFD"/>
    <w:rsid w:val="4A262F2E"/>
    <w:rsid w:val="4A306175"/>
    <w:rsid w:val="4A3C43C9"/>
    <w:rsid w:val="4A3F15B8"/>
    <w:rsid w:val="4A6B6D2C"/>
    <w:rsid w:val="4A8169BE"/>
    <w:rsid w:val="4A8A3E4B"/>
    <w:rsid w:val="4A9506F7"/>
    <w:rsid w:val="4A986952"/>
    <w:rsid w:val="4AC07187"/>
    <w:rsid w:val="4ADD7E5A"/>
    <w:rsid w:val="4B176EEC"/>
    <w:rsid w:val="4B2C56D0"/>
    <w:rsid w:val="4B2E2D9C"/>
    <w:rsid w:val="4B383963"/>
    <w:rsid w:val="4B5D46DE"/>
    <w:rsid w:val="4B760445"/>
    <w:rsid w:val="4B807F14"/>
    <w:rsid w:val="4B935B69"/>
    <w:rsid w:val="4BB2756C"/>
    <w:rsid w:val="4BCD3B4D"/>
    <w:rsid w:val="4BCD7125"/>
    <w:rsid w:val="4BD643F7"/>
    <w:rsid w:val="4BD85189"/>
    <w:rsid w:val="4BDE1EA4"/>
    <w:rsid w:val="4BDF467B"/>
    <w:rsid w:val="4C220551"/>
    <w:rsid w:val="4C272A15"/>
    <w:rsid w:val="4C2F1755"/>
    <w:rsid w:val="4C344AA1"/>
    <w:rsid w:val="4C3E1770"/>
    <w:rsid w:val="4C894CEA"/>
    <w:rsid w:val="4C8E5216"/>
    <w:rsid w:val="4CDC002F"/>
    <w:rsid w:val="4CE65642"/>
    <w:rsid w:val="4CEF5956"/>
    <w:rsid w:val="4CFF366F"/>
    <w:rsid w:val="4D1917A8"/>
    <w:rsid w:val="4D1E230F"/>
    <w:rsid w:val="4D3A7C59"/>
    <w:rsid w:val="4D3B644C"/>
    <w:rsid w:val="4D3C2959"/>
    <w:rsid w:val="4D974816"/>
    <w:rsid w:val="4DAF3144"/>
    <w:rsid w:val="4DBE19C2"/>
    <w:rsid w:val="4DC44364"/>
    <w:rsid w:val="4E001CC7"/>
    <w:rsid w:val="4E033A95"/>
    <w:rsid w:val="4E054997"/>
    <w:rsid w:val="4E545DE4"/>
    <w:rsid w:val="4E7E348D"/>
    <w:rsid w:val="4EB75C6C"/>
    <w:rsid w:val="4EC02376"/>
    <w:rsid w:val="4EF86E1A"/>
    <w:rsid w:val="4F165B40"/>
    <w:rsid w:val="4F263247"/>
    <w:rsid w:val="4F32218E"/>
    <w:rsid w:val="4F4D4A7F"/>
    <w:rsid w:val="4F4E26AD"/>
    <w:rsid w:val="4F6F2B2A"/>
    <w:rsid w:val="4F965F99"/>
    <w:rsid w:val="4F9A754C"/>
    <w:rsid w:val="4FA51FC1"/>
    <w:rsid w:val="4FBA02D7"/>
    <w:rsid w:val="4FBD302C"/>
    <w:rsid w:val="4FCE2834"/>
    <w:rsid w:val="4FEE729E"/>
    <w:rsid w:val="4FF25B13"/>
    <w:rsid w:val="500B5A1B"/>
    <w:rsid w:val="50111B63"/>
    <w:rsid w:val="501D1529"/>
    <w:rsid w:val="502258CD"/>
    <w:rsid w:val="505A1473"/>
    <w:rsid w:val="507F46AC"/>
    <w:rsid w:val="508F4E81"/>
    <w:rsid w:val="50C47A79"/>
    <w:rsid w:val="50E91E05"/>
    <w:rsid w:val="50F80D92"/>
    <w:rsid w:val="51064251"/>
    <w:rsid w:val="511D6223"/>
    <w:rsid w:val="51296F56"/>
    <w:rsid w:val="512D05D4"/>
    <w:rsid w:val="51391C5B"/>
    <w:rsid w:val="51467D32"/>
    <w:rsid w:val="515D45F9"/>
    <w:rsid w:val="518A531D"/>
    <w:rsid w:val="519F60B2"/>
    <w:rsid w:val="51AE15D4"/>
    <w:rsid w:val="51B95E72"/>
    <w:rsid w:val="51DF03CE"/>
    <w:rsid w:val="51F7052E"/>
    <w:rsid w:val="52271E16"/>
    <w:rsid w:val="52347744"/>
    <w:rsid w:val="52393C1D"/>
    <w:rsid w:val="52521A3D"/>
    <w:rsid w:val="52682107"/>
    <w:rsid w:val="52716292"/>
    <w:rsid w:val="527B5F26"/>
    <w:rsid w:val="528B62BC"/>
    <w:rsid w:val="529F4222"/>
    <w:rsid w:val="52A5296A"/>
    <w:rsid w:val="52A55CB3"/>
    <w:rsid w:val="52A91F2B"/>
    <w:rsid w:val="52B23FA9"/>
    <w:rsid w:val="52E45DE5"/>
    <w:rsid w:val="52EF0D67"/>
    <w:rsid w:val="52F02C42"/>
    <w:rsid w:val="52FE26CC"/>
    <w:rsid w:val="53195672"/>
    <w:rsid w:val="532845D8"/>
    <w:rsid w:val="535457FD"/>
    <w:rsid w:val="536461D5"/>
    <w:rsid w:val="537940E2"/>
    <w:rsid w:val="538C0DB6"/>
    <w:rsid w:val="53A718BB"/>
    <w:rsid w:val="53A87981"/>
    <w:rsid w:val="53C631AC"/>
    <w:rsid w:val="53D109CC"/>
    <w:rsid w:val="53D24CDD"/>
    <w:rsid w:val="54026EF3"/>
    <w:rsid w:val="54120CE3"/>
    <w:rsid w:val="54224AEE"/>
    <w:rsid w:val="542B0DCA"/>
    <w:rsid w:val="54366104"/>
    <w:rsid w:val="54381B54"/>
    <w:rsid w:val="54533030"/>
    <w:rsid w:val="54706F37"/>
    <w:rsid w:val="549B0BFD"/>
    <w:rsid w:val="54A23911"/>
    <w:rsid w:val="54EC5526"/>
    <w:rsid w:val="54F51974"/>
    <w:rsid w:val="54F713F9"/>
    <w:rsid w:val="55102B46"/>
    <w:rsid w:val="5539209E"/>
    <w:rsid w:val="556E1E0E"/>
    <w:rsid w:val="557B5091"/>
    <w:rsid w:val="558C3DD7"/>
    <w:rsid w:val="55964F95"/>
    <w:rsid w:val="559A6F4B"/>
    <w:rsid w:val="55AA20C6"/>
    <w:rsid w:val="55C73446"/>
    <w:rsid w:val="55CD2683"/>
    <w:rsid w:val="55CE5218"/>
    <w:rsid w:val="55F02B37"/>
    <w:rsid w:val="55F52A95"/>
    <w:rsid w:val="563952B5"/>
    <w:rsid w:val="564B4A19"/>
    <w:rsid w:val="56AD2F65"/>
    <w:rsid w:val="56BE5DE9"/>
    <w:rsid w:val="56DA29F0"/>
    <w:rsid w:val="56E04480"/>
    <w:rsid w:val="5726114F"/>
    <w:rsid w:val="572E1DC4"/>
    <w:rsid w:val="572E263C"/>
    <w:rsid w:val="573A21E0"/>
    <w:rsid w:val="57550297"/>
    <w:rsid w:val="57556125"/>
    <w:rsid w:val="57751DA1"/>
    <w:rsid w:val="57A976CF"/>
    <w:rsid w:val="57D04474"/>
    <w:rsid w:val="57D44AE6"/>
    <w:rsid w:val="57D90E3A"/>
    <w:rsid w:val="58051E72"/>
    <w:rsid w:val="582A524A"/>
    <w:rsid w:val="5838167A"/>
    <w:rsid w:val="58535237"/>
    <w:rsid w:val="586203E8"/>
    <w:rsid w:val="586D2587"/>
    <w:rsid w:val="587D70BF"/>
    <w:rsid w:val="58845475"/>
    <w:rsid w:val="5889606F"/>
    <w:rsid w:val="589E3082"/>
    <w:rsid w:val="589E51D8"/>
    <w:rsid w:val="58B20FE9"/>
    <w:rsid w:val="58B26326"/>
    <w:rsid w:val="58C13D6E"/>
    <w:rsid w:val="58CF3699"/>
    <w:rsid w:val="592E6E44"/>
    <w:rsid w:val="5931771A"/>
    <w:rsid w:val="59427279"/>
    <w:rsid w:val="59443F0F"/>
    <w:rsid w:val="594606B0"/>
    <w:rsid w:val="595A4F46"/>
    <w:rsid w:val="595B5C1B"/>
    <w:rsid w:val="595E5DBD"/>
    <w:rsid w:val="597804E9"/>
    <w:rsid w:val="59A15F8A"/>
    <w:rsid w:val="59AA7631"/>
    <w:rsid w:val="59B355A8"/>
    <w:rsid w:val="59CC778D"/>
    <w:rsid w:val="59DC5C31"/>
    <w:rsid w:val="5A0A05EF"/>
    <w:rsid w:val="5A1C2B94"/>
    <w:rsid w:val="5A41796E"/>
    <w:rsid w:val="5A447516"/>
    <w:rsid w:val="5A5E660A"/>
    <w:rsid w:val="5A6B2536"/>
    <w:rsid w:val="5A6C38ED"/>
    <w:rsid w:val="5A7D7DC9"/>
    <w:rsid w:val="5A870F43"/>
    <w:rsid w:val="5A902353"/>
    <w:rsid w:val="5AB55D62"/>
    <w:rsid w:val="5AC83137"/>
    <w:rsid w:val="5ACB6B07"/>
    <w:rsid w:val="5AED4CE2"/>
    <w:rsid w:val="5AFE4B41"/>
    <w:rsid w:val="5AFE6C9F"/>
    <w:rsid w:val="5AFF2C16"/>
    <w:rsid w:val="5B0A38CB"/>
    <w:rsid w:val="5B5C4A48"/>
    <w:rsid w:val="5B61273E"/>
    <w:rsid w:val="5B6E7DE8"/>
    <w:rsid w:val="5B740E56"/>
    <w:rsid w:val="5B901EF3"/>
    <w:rsid w:val="5BA454AF"/>
    <w:rsid w:val="5BAE32E0"/>
    <w:rsid w:val="5BD0210D"/>
    <w:rsid w:val="5BDF238A"/>
    <w:rsid w:val="5C256739"/>
    <w:rsid w:val="5C2C016F"/>
    <w:rsid w:val="5C384E29"/>
    <w:rsid w:val="5C3B42D6"/>
    <w:rsid w:val="5C4B7D70"/>
    <w:rsid w:val="5C78176A"/>
    <w:rsid w:val="5C89301D"/>
    <w:rsid w:val="5C91003A"/>
    <w:rsid w:val="5C941E9A"/>
    <w:rsid w:val="5CA37943"/>
    <w:rsid w:val="5CA65C73"/>
    <w:rsid w:val="5CAD47EF"/>
    <w:rsid w:val="5CD45A79"/>
    <w:rsid w:val="5CFD2BAF"/>
    <w:rsid w:val="5D175E92"/>
    <w:rsid w:val="5D372D3D"/>
    <w:rsid w:val="5D512F5D"/>
    <w:rsid w:val="5D6937A6"/>
    <w:rsid w:val="5DA97C2A"/>
    <w:rsid w:val="5DDB5902"/>
    <w:rsid w:val="5DF904C3"/>
    <w:rsid w:val="5DFC0579"/>
    <w:rsid w:val="5DFD1447"/>
    <w:rsid w:val="5E0619EE"/>
    <w:rsid w:val="5E18530F"/>
    <w:rsid w:val="5E4F212A"/>
    <w:rsid w:val="5E5A6482"/>
    <w:rsid w:val="5E5D519C"/>
    <w:rsid w:val="5E8356EF"/>
    <w:rsid w:val="5E83792B"/>
    <w:rsid w:val="5EB22C18"/>
    <w:rsid w:val="5ECD13E0"/>
    <w:rsid w:val="5ECF1387"/>
    <w:rsid w:val="5EDA5E4B"/>
    <w:rsid w:val="5EE24148"/>
    <w:rsid w:val="5EEF2C72"/>
    <w:rsid w:val="5EFB6652"/>
    <w:rsid w:val="5F036FC3"/>
    <w:rsid w:val="5F113FE6"/>
    <w:rsid w:val="5F1F04B3"/>
    <w:rsid w:val="5F54205E"/>
    <w:rsid w:val="5F5778EA"/>
    <w:rsid w:val="5F735764"/>
    <w:rsid w:val="5F7F0FCC"/>
    <w:rsid w:val="5F864151"/>
    <w:rsid w:val="5FA16171"/>
    <w:rsid w:val="5FBE57DC"/>
    <w:rsid w:val="5FDC54B2"/>
    <w:rsid w:val="5FE36389"/>
    <w:rsid w:val="5FE73EAF"/>
    <w:rsid w:val="60290442"/>
    <w:rsid w:val="603858FC"/>
    <w:rsid w:val="60396B20"/>
    <w:rsid w:val="60397D0D"/>
    <w:rsid w:val="603E4C08"/>
    <w:rsid w:val="60501874"/>
    <w:rsid w:val="607B0F50"/>
    <w:rsid w:val="60866833"/>
    <w:rsid w:val="60A0766E"/>
    <w:rsid w:val="60A564FB"/>
    <w:rsid w:val="60A772D5"/>
    <w:rsid w:val="6100428F"/>
    <w:rsid w:val="612F6EFB"/>
    <w:rsid w:val="61325CA3"/>
    <w:rsid w:val="614B4800"/>
    <w:rsid w:val="61833763"/>
    <w:rsid w:val="61B2107A"/>
    <w:rsid w:val="61B31EEA"/>
    <w:rsid w:val="61B95D15"/>
    <w:rsid w:val="61CD6317"/>
    <w:rsid w:val="61D5175F"/>
    <w:rsid w:val="62144378"/>
    <w:rsid w:val="622B4947"/>
    <w:rsid w:val="623C21BB"/>
    <w:rsid w:val="623C29CA"/>
    <w:rsid w:val="62642FCC"/>
    <w:rsid w:val="629321D7"/>
    <w:rsid w:val="62972F0F"/>
    <w:rsid w:val="62994F30"/>
    <w:rsid w:val="62D155AD"/>
    <w:rsid w:val="62DA1607"/>
    <w:rsid w:val="630579C8"/>
    <w:rsid w:val="6309664E"/>
    <w:rsid w:val="63284643"/>
    <w:rsid w:val="632A0132"/>
    <w:rsid w:val="632B7E9C"/>
    <w:rsid w:val="632D66EB"/>
    <w:rsid w:val="633817A6"/>
    <w:rsid w:val="63520053"/>
    <w:rsid w:val="63524BC7"/>
    <w:rsid w:val="63540E17"/>
    <w:rsid w:val="636433B8"/>
    <w:rsid w:val="6394008A"/>
    <w:rsid w:val="639D08D0"/>
    <w:rsid w:val="63A60C4C"/>
    <w:rsid w:val="63B1701A"/>
    <w:rsid w:val="63D27CE5"/>
    <w:rsid w:val="63DA744D"/>
    <w:rsid w:val="63DF662B"/>
    <w:rsid w:val="63E766DA"/>
    <w:rsid w:val="63E978AB"/>
    <w:rsid w:val="63F130FF"/>
    <w:rsid w:val="64022E8C"/>
    <w:rsid w:val="640E4306"/>
    <w:rsid w:val="64357186"/>
    <w:rsid w:val="643764F1"/>
    <w:rsid w:val="64401FB1"/>
    <w:rsid w:val="644244C6"/>
    <w:rsid w:val="645455F2"/>
    <w:rsid w:val="647C41D5"/>
    <w:rsid w:val="649D4F05"/>
    <w:rsid w:val="64CA54C0"/>
    <w:rsid w:val="64CA62E5"/>
    <w:rsid w:val="64E57549"/>
    <w:rsid w:val="64F41122"/>
    <w:rsid w:val="64FB76F0"/>
    <w:rsid w:val="651057F3"/>
    <w:rsid w:val="651A6DCE"/>
    <w:rsid w:val="65347105"/>
    <w:rsid w:val="65466BDA"/>
    <w:rsid w:val="655E2FF8"/>
    <w:rsid w:val="65726623"/>
    <w:rsid w:val="65753AF2"/>
    <w:rsid w:val="657A5CEE"/>
    <w:rsid w:val="659D27A2"/>
    <w:rsid w:val="65BA7C51"/>
    <w:rsid w:val="65E21C88"/>
    <w:rsid w:val="661E0E6E"/>
    <w:rsid w:val="6643305A"/>
    <w:rsid w:val="664B0AEB"/>
    <w:rsid w:val="664E6051"/>
    <w:rsid w:val="66721D70"/>
    <w:rsid w:val="66817794"/>
    <w:rsid w:val="66954A14"/>
    <w:rsid w:val="66996902"/>
    <w:rsid w:val="669C2C6E"/>
    <w:rsid w:val="669D51F2"/>
    <w:rsid w:val="66A84C68"/>
    <w:rsid w:val="670D0ADC"/>
    <w:rsid w:val="672A14EE"/>
    <w:rsid w:val="672A527A"/>
    <w:rsid w:val="674468F2"/>
    <w:rsid w:val="67525CE9"/>
    <w:rsid w:val="67600DEC"/>
    <w:rsid w:val="67626C08"/>
    <w:rsid w:val="67694B6F"/>
    <w:rsid w:val="67BF2499"/>
    <w:rsid w:val="67CE5A52"/>
    <w:rsid w:val="67D46CBE"/>
    <w:rsid w:val="67D5553E"/>
    <w:rsid w:val="67FB6AF8"/>
    <w:rsid w:val="681D33E8"/>
    <w:rsid w:val="68273E23"/>
    <w:rsid w:val="683C36CD"/>
    <w:rsid w:val="686C1BB7"/>
    <w:rsid w:val="68717FC0"/>
    <w:rsid w:val="688F28C6"/>
    <w:rsid w:val="689204D6"/>
    <w:rsid w:val="6892571D"/>
    <w:rsid w:val="68931A71"/>
    <w:rsid w:val="68B8502B"/>
    <w:rsid w:val="68C25076"/>
    <w:rsid w:val="68F9345B"/>
    <w:rsid w:val="690C73C1"/>
    <w:rsid w:val="690E470A"/>
    <w:rsid w:val="69145543"/>
    <w:rsid w:val="69455631"/>
    <w:rsid w:val="69505908"/>
    <w:rsid w:val="69511D7C"/>
    <w:rsid w:val="69667239"/>
    <w:rsid w:val="698F63A7"/>
    <w:rsid w:val="69AF334E"/>
    <w:rsid w:val="69B20BA4"/>
    <w:rsid w:val="69B338D7"/>
    <w:rsid w:val="69D03A62"/>
    <w:rsid w:val="69E61A81"/>
    <w:rsid w:val="6A0B4A62"/>
    <w:rsid w:val="6A1E4169"/>
    <w:rsid w:val="6A272C44"/>
    <w:rsid w:val="6A3527AF"/>
    <w:rsid w:val="6A4A53D9"/>
    <w:rsid w:val="6A4C1F16"/>
    <w:rsid w:val="6A584D82"/>
    <w:rsid w:val="6AB328DD"/>
    <w:rsid w:val="6AC53309"/>
    <w:rsid w:val="6ADF6EF1"/>
    <w:rsid w:val="6AE063B8"/>
    <w:rsid w:val="6B1D7C10"/>
    <w:rsid w:val="6B326C6E"/>
    <w:rsid w:val="6B59680C"/>
    <w:rsid w:val="6B5B4C25"/>
    <w:rsid w:val="6B82310F"/>
    <w:rsid w:val="6B9955C4"/>
    <w:rsid w:val="6BA50FBC"/>
    <w:rsid w:val="6BA94B6C"/>
    <w:rsid w:val="6BBE23AC"/>
    <w:rsid w:val="6BC9393A"/>
    <w:rsid w:val="6BC965DC"/>
    <w:rsid w:val="6BD05FE0"/>
    <w:rsid w:val="6C15278F"/>
    <w:rsid w:val="6C192C77"/>
    <w:rsid w:val="6C247FF2"/>
    <w:rsid w:val="6C5A37E8"/>
    <w:rsid w:val="6C680B1C"/>
    <w:rsid w:val="6C6830AB"/>
    <w:rsid w:val="6CA35071"/>
    <w:rsid w:val="6CA958D9"/>
    <w:rsid w:val="6CAA2244"/>
    <w:rsid w:val="6D176C50"/>
    <w:rsid w:val="6D635ECF"/>
    <w:rsid w:val="6D6B1A32"/>
    <w:rsid w:val="6D830976"/>
    <w:rsid w:val="6D8D1556"/>
    <w:rsid w:val="6D9C47D4"/>
    <w:rsid w:val="6D9D362B"/>
    <w:rsid w:val="6DA878E5"/>
    <w:rsid w:val="6DB3004E"/>
    <w:rsid w:val="6DC64084"/>
    <w:rsid w:val="6DD04789"/>
    <w:rsid w:val="6DD652A5"/>
    <w:rsid w:val="6DDA18E4"/>
    <w:rsid w:val="6DE31FA4"/>
    <w:rsid w:val="6DEF27A5"/>
    <w:rsid w:val="6DF1004A"/>
    <w:rsid w:val="6DF76419"/>
    <w:rsid w:val="6E2E21AD"/>
    <w:rsid w:val="6E5B527C"/>
    <w:rsid w:val="6E760AC8"/>
    <w:rsid w:val="6E865950"/>
    <w:rsid w:val="6E8B12C4"/>
    <w:rsid w:val="6E921DF4"/>
    <w:rsid w:val="6EA40439"/>
    <w:rsid w:val="6EB0714F"/>
    <w:rsid w:val="6F016BFE"/>
    <w:rsid w:val="6F257E2B"/>
    <w:rsid w:val="6F4902C7"/>
    <w:rsid w:val="6F74384E"/>
    <w:rsid w:val="6F7A1086"/>
    <w:rsid w:val="6F7D30C6"/>
    <w:rsid w:val="6F855C15"/>
    <w:rsid w:val="6F8C70D0"/>
    <w:rsid w:val="6FCD5F96"/>
    <w:rsid w:val="6FCD6A80"/>
    <w:rsid w:val="6FDF228C"/>
    <w:rsid w:val="6FEC6BA3"/>
    <w:rsid w:val="6FEE7509"/>
    <w:rsid w:val="701048BF"/>
    <w:rsid w:val="70255ADB"/>
    <w:rsid w:val="702A6418"/>
    <w:rsid w:val="70404FC8"/>
    <w:rsid w:val="70425707"/>
    <w:rsid w:val="70511DE4"/>
    <w:rsid w:val="70644806"/>
    <w:rsid w:val="706A34F7"/>
    <w:rsid w:val="70A44053"/>
    <w:rsid w:val="70B23DA1"/>
    <w:rsid w:val="70D42F6E"/>
    <w:rsid w:val="710B2E1E"/>
    <w:rsid w:val="71163A30"/>
    <w:rsid w:val="71326984"/>
    <w:rsid w:val="713B6F9B"/>
    <w:rsid w:val="7198751A"/>
    <w:rsid w:val="71A51555"/>
    <w:rsid w:val="71C56B06"/>
    <w:rsid w:val="71E276CC"/>
    <w:rsid w:val="7209211A"/>
    <w:rsid w:val="72424140"/>
    <w:rsid w:val="729E0354"/>
    <w:rsid w:val="72AA2B05"/>
    <w:rsid w:val="72C546A9"/>
    <w:rsid w:val="72EC7EF7"/>
    <w:rsid w:val="72F05E81"/>
    <w:rsid w:val="72FE1849"/>
    <w:rsid w:val="73150265"/>
    <w:rsid w:val="731B7C39"/>
    <w:rsid w:val="732E12B1"/>
    <w:rsid w:val="733D0A3C"/>
    <w:rsid w:val="734961CD"/>
    <w:rsid w:val="734F3E47"/>
    <w:rsid w:val="73902F8B"/>
    <w:rsid w:val="73C678FC"/>
    <w:rsid w:val="73C810E9"/>
    <w:rsid w:val="73CF37E0"/>
    <w:rsid w:val="73E867D3"/>
    <w:rsid w:val="73F02CE7"/>
    <w:rsid w:val="73F21569"/>
    <w:rsid w:val="7400632C"/>
    <w:rsid w:val="74281E02"/>
    <w:rsid w:val="7453209B"/>
    <w:rsid w:val="745C37D5"/>
    <w:rsid w:val="746D6EA6"/>
    <w:rsid w:val="74741EC6"/>
    <w:rsid w:val="74794AD2"/>
    <w:rsid w:val="74BE0F07"/>
    <w:rsid w:val="74C9150D"/>
    <w:rsid w:val="74D11297"/>
    <w:rsid w:val="74F77888"/>
    <w:rsid w:val="7503560E"/>
    <w:rsid w:val="750F1F5A"/>
    <w:rsid w:val="75236E65"/>
    <w:rsid w:val="752939A5"/>
    <w:rsid w:val="75373D85"/>
    <w:rsid w:val="755B23F0"/>
    <w:rsid w:val="756441E0"/>
    <w:rsid w:val="7569689C"/>
    <w:rsid w:val="759D43E0"/>
    <w:rsid w:val="75A738BE"/>
    <w:rsid w:val="75D13ED7"/>
    <w:rsid w:val="75E354AB"/>
    <w:rsid w:val="75FD0190"/>
    <w:rsid w:val="76001D27"/>
    <w:rsid w:val="76085DC1"/>
    <w:rsid w:val="76270C98"/>
    <w:rsid w:val="762E07D6"/>
    <w:rsid w:val="764D1C84"/>
    <w:rsid w:val="764D73DC"/>
    <w:rsid w:val="7659795A"/>
    <w:rsid w:val="76635F77"/>
    <w:rsid w:val="76676717"/>
    <w:rsid w:val="76912DA9"/>
    <w:rsid w:val="76BE2084"/>
    <w:rsid w:val="76C67A20"/>
    <w:rsid w:val="76F50806"/>
    <w:rsid w:val="76FA32E0"/>
    <w:rsid w:val="771072F6"/>
    <w:rsid w:val="77126D6C"/>
    <w:rsid w:val="777A7C3A"/>
    <w:rsid w:val="77A01607"/>
    <w:rsid w:val="77B40DE8"/>
    <w:rsid w:val="77B6655A"/>
    <w:rsid w:val="77D2431F"/>
    <w:rsid w:val="77FF4097"/>
    <w:rsid w:val="781E2A58"/>
    <w:rsid w:val="78295A57"/>
    <w:rsid w:val="782E504C"/>
    <w:rsid w:val="786C031B"/>
    <w:rsid w:val="787108B6"/>
    <w:rsid w:val="787B4D40"/>
    <w:rsid w:val="788D2861"/>
    <w:rsid w:val="78AE511E"/>
    <w:rsid w:val="78B80928"/>
    <w:rsid w:val="78C339EC"/>
    <w:rsid w:val="78C74108"/>
    <w:rsid w:val="78CD3E56"/>
    <w:rsid w:val="78D939E3"/>
    <w:rsid w:val="78EB6EB1"/>
    <w:rsid w:val="790421B5"/>
    <w:rsid w:val="791B599B"/>
    <w:rsid w:val="79374CE7"/>
    <w:rsid w:val="794319BF"/>
    <w:rsid w:val="7955353C"/>
    <w:rsid w:val="799035A9"/>
    <w:rsid w:val="79A53B2D"/>
    <w:rsid w:val="79B81A90"/>
    <w:rsid w:val="79E6546C"/>
    <w:rsid w:val="79F8170D"/>
    <w:rsid w:val="79FC24F5"/>
    <w:rsid w:val="79FD14B8"/>
    <w:rsid w:val="7A096A08"/>
    <w:rsid w:val="7A2A11C4"/>
    <w:rsid w:val="7A2B2F1C"/>
    <w:rsid w:val="7A3A0843"/>
    <w:rsid w:val="7A3E6A0A"/>
    <w:rsid w:val="7A4447A6"/>
    <w:rsid w:val="7A444EC0"/>
    <w:rsid w:val="7A6A7C3A"/>
    <w:rsid w:val="7ABF5A43"/>
    <w:rsid w:val="7AC77976"/>
    <w:rsid w:val="7ADA60BB"/>
    <w:rsid w:val="7AE91B27"/>
    <w:rsid w:val="7B151CB1"/>
    <w:rsid w:val="7B343384"/>
    <w:rsid w:val="7B452A87"/>
    <w:rsid w:val="7B557A15"/>
    <w:rsid w:val="7BA13BF2"/>
    <w:rsid w:val="7BFC0376"/>
    <w:rsid w:val="7C0773BC"/>
    <w:rsid w:val="7C0943F2"/>
    <w:rsid w:val="7C1823A4"/>
    <w:rsid w:val="7C1E37BA"/>
    <w:rsid w:val="7C3634B1"/>
    <w:rsid w:val="7C3B2D2B"/>
    <w:rsid w:val="7C561668"/>
    <w:rsid w:val="7C920129"/>
    <w:rsid w:val="7CA008B3"/>
    <w:rsid w:val="7CA91F8C"/>
    <w:rsid w:val="7CAE0131"/>
    <w:rsid w:val="7CB876F9"/>
    <w:rsid w:val="7CC836D2"/>
    <w:rsid w:val="7D2D607C"/>
    <w:rsid w:val="7D4164FE"/>
    <w:rsid w:val="7D4E42B7"/>
    <w:rsid w:val="7D576356"/>
    <w:rsid w:val="7D617BDB"/>
    <w:rsid w:val="7D632F91"/>
    <w:rsid w:val="7D8173E7"/>
    <w:rsid w:val="7D8E5DA9"/>
    <w:rsid w:val="7D980DF8"/>
    <w:rsid w:val="7D9C6FEC"/>
    <w:rsid w:val="7DCC6265"/>
    <w:rsid w:val="7DE75339"/>
    <w:rsid w:val="7DEC6415"/>
    <w:rsid w:val="7E3F35A6"/>
    <w:rsid w:val="7E3F6376"/>
    <w:rsid w:val="7E57142B"/>
    <w:rsid w:val="7E602E99"/>
    <w:rsid w:val="7E71238B"/>
    <w:rsid w:val="7E867A69"/>
    <w:rsid w:val="7E8E2BAE"/>
    <w:rsid w:val="7E900D73"/>
    <w:rsid w:val="7ED1289E"/>
    <w:rsid w:val="7EF40520"/>
    <w:rsid w:val="7EF77DD6"/>
    <w:rsid w:val="7F171113"/>
    <w:rsid w:val="7F380987"/>
    <w:rsid w:val="7F3C7D4F"/>
    <w:rsid w:val="7F3F1296"/>
    <w:rsid w:val="7F4F614C"/>
    <w:rsid w:val="7F581501"/>
    <w:rsid w:val="7F805815"/>
    <w:rsid w:val="7F833067"/>
    <w:rsid w:val="7F8E2564"/>
    <w:rsid w:val="7F9A10F4"/>
    <w:rsid w:val="7FAE3319"/>
    <w:rsid w:val="7FD01E17"/>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80</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2018-11-07T14:03:29Z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