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12.32</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13.06</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管道线的下沿，等待方向确认</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乔治白</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5.98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6.61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-7%水下捞起做T，结果尾盘跌停，等待明天看情况。科创板出来，壳资源应该结束了，按照风险来说不应该再次买入。</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国海证券</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持股</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default" w:asciiTheme="minorEastAsia" w:hAnsiTheme="minorEastAsia" w:cstheme="minorEastAsia"/>
                <w:b w:val="0"/>
                <w:i w:val="0"/>
                <w:color w:val="00B050"/>
                <w:kern w:val="0"/>
                <w:sz w:val="21"/>
                <w:szCs w:val="21"/>
                <w:u w:val="none"/>
                <w:lang w:val="en-US" w:eastAsia="zh-CN" w:bidi="ar"/>
              </w:rPr>
              <w:t>4.65</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default" w:asciiTheme="minorEastAsia" w:hAnsiTheme="minorEastAsia" w:cstheme="minorEastAsia"/>
                <w:b w:val="0"/>
                <w:i w:val="0"/>
                <w:color w:val="00B050"/>
                <w:kern w:val="0"/>
                <w:sz w:val="21"/>
                <w:szCs w:val="21"/>
                <w:u w:val="none"/>
                <w:lang w:val="en-US" w:eastAsia="zh-CN" w:bidi="ar"/>
              </w:rPr>
              <w:t>5.31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00B050"/>
                <w:sz w:val="21"/>
                <w:szCs w:val="21"/>
                <w:lang w:val="en-US" w:eastAsia="zh-CN"/>
              </w:rPr>
            </w:pPr>
            <w:r>
              <w:rPr>
                <w:rFonts w:hint="eastAsia" w:asciiTheme="minorEastAsia" w:hAnsiTheme="minorEastAsia" w:cstheme="minorEastAsia"/>
                <w:color w:val="00B050"/>
                <w:sz w:val="21"/>
                <w:szCs w:val="21"/>
                <w:lang w:val="en-US" w:eastAsia="zh-CN"/>
              </w:rPr>
              <w:t>买入价格4.981元</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B050"/>
                <w:kern w:val="0"/>
                <w:sz w:val="21"/>
                <w:szCs w:val="21"/>
                <w:u w:val="none"/>
                <w:lang w:val="en-US" w:eastAsia="zh-CN" w:bidi="ar"/>
              </w:rPr>
            </w:pPr>
            <w:r>
              <w:rPr>
                <w:rFonts w:hint="eastAsia" w:asciiTheme="minorEastAsia" w:hAnsiTheme="minorEastAsia" w:cstheme="minorEastAsia"/>
                <w:b w:val="0"/>
                <w:i w:val="0"/>
                <w:color w:val="00B050"/>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阳光电源</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清仓</w:t>
            </w:r>
          </w:p>
        </w:tc>
        <w:tc>
          <w:tcPr>
            <w:tcW w:w="1084"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6.81</w:t>
            </w:r>
          </w:p>
        </w:tc>
        <w:tc>
          <w:tcPr>
            <w:tcW w:w="1084" w:type="dxa"/>
            <w:vAlign w:val="top"/>
          </w:tcPr>
          <w:p>
            <w:pPr>
              <w:keepNext w:val="0"/>
              <w:keepLines w:val="0"/>
              <w:widowControl/>
              <w:suppressLineNumbers w:val="0"/>
              <w:jc w:val="left"/>
              <w:textAlignment w:val="top"/>
              <w:rPr>
                <w:rFonts w:hint="default"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8.31</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color w:val="FF0000"/>
                <w:sz w:val="21"/>
                <w:szCs w:val="21"/>
                <w:lang w:val="en-US" w:eastAsia="zh-CN"/>
              </w:rPr>
            </w:pPr>
            <w:r>
              <w:rPr>
                <w:rFonts w:hint="eastAsia" w:asciiTheme="minorEastAsia" w:hAnsiTheme="minorEastAsia" w:cstheme="minorEastAsia"/>
                <w:color w:val="FF0000"/>
                <w:sz w:val="21"/>
                <w:szCs w:val="21"/>
                <w:lang w:val="en-US" w:eastAsia="zh-CN"/>
              </w:rPr>
              <w:t xml:space="preserve">光伏政策股票没有动静，热点切换 </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FF0000"/>
                <w:kern w:val="0"/>
                <w:sz w:val="21"/>
                <w:szCs w:val="21"/>
                <w:u w:val="none"/>
                <w:lang w:val="en-US" w:eastAsia="zh-CN" w:bidi="ar"/>
              </w:rPr>
            </w:pPr>
            <w:r>
              <w:rPr>
                <w:rFonts w:hint="eastAsia" w:asciiTheme="minorEastAsia" w:hAnsiTheme="minorEastAsia" w:cstheme="minorEastAsia"/>
                <w:b w:val="0"/>
                <w:i w:val="0"/>
                <w:color w:val="FF0000"/>
                <w:kern w:val="0"/>
                <w:sz w:val="21"/>
                <w:szCs w:val="21"/>
                <w:u w:val="none"/>
                <w:lang w:val="en-US" w:eastAsia="zh-CN" w:bidi="ar"/>
              </w:rPr>
              <w:t>持仓0股</w:t>
            </w:r>
          </w:p>
        </w:tc>
      </w:tr>
    </w:tbl>
    <w:p>
      <w:pPr>
        <w:spacing w:line="240" w:lineRule="auto"/>
        <w:rPr>
          <w:lang w:val="en-US"/>
        </w:rPr>
      </w:pPr>
      <w:bookmarkStart w:id="0" w:name="9057-1536542303601"/>
      <w:bookmarkEnd w:id="0"/>
      <w:bookmarkStart w:id="1" w:name="7380-1536542303605"/>
      <w:bookmarkEnd w:id="1"/>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500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300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400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227-1536542303637"/>
      <w:bookmarkEnd w:id="2"/>
      <w:bookmarkStart w:id="3" w:name="3677-1536542303641"/>
      <w:bookmarkEnd w:id="3"/>
      <w:bookmarkStart w:id="4" w:name="2911-1536542303635"/>
      <w:bookmarkEnd w:id="4"/>
      <w:bookmarkStart w:id="5" w:name="1096-1536542303639"/>
      <w:bookmarkEnd w:id="5"/>
      <w:bookmarkStart w:id="6" w:name="2151-1536542303645"/>
      <w:bookmarkEnd w:id="6"/>
      <w:bookmarkStart w:id="7" w:name="8416-1536542303643"/>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收盘2641.34，-0.68%，成交额1473亿下降。 下午开盘拉起后，突然下杀，后市不稳定。</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drawing>
          <wp:inline distT="0" distB="0" distL="114300" distR="114300">
            <wp:extent cx="5268595" cy="2411095"/>
            <wp:effectExtent l="0" t="0" r="825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11095"/>
                    </a:xfrm>
                    <a:prstGeom prst="rect">
                      <a:avLst/>
                    </a:prstGeom>
                    <a:noFill/>
                    <a:ln w="9525">
                      <a:noFill/>
                    </a:ln>
                  </pic:spPr>
                </pic:pic>
              </a:graphicData>
            </a:graphic>
          </wp:inline>
        </w:drawing>
      </w:r>
    </w:p>
    <w:p>
      <w:pPr>
        <w:numPr>
          <w:ilvl w:val="0"/>
          <w:numId w:val="0"/>
        </w:numPr>
        <w:spacing w:line="240" w:lineRule="auto"/>
        <w:rPr>
          <w:rFonts w:hint="eastAsia"/>
          <w:lang w:val="en-US" w:eastAsia="zh-CN"/>
        </w:rPr>
      </w:pPr>
      <w:r>
        <w:rPr>
          <w:rFonts w:hint="eastAsia"/>
          <w:lang w:val="en-US" w:eastAsia="zh-CN"/>
        </w:rPr>
        <w:t>2. 上证50：2482.33，-0.69%</w:t>
      </w:r>
    </w:p>
    <w:p>
      <w:pPr>
        <w:numPr>
          <w:ilvl w:val="0"/>
          <w:numId w:val="2"/>
        </w:numPr>
        <w:spacing w:line="240" w:lineRule="auto"/>
        <w:rPr>
          <w:rFonts w:hint="eastAsia"/>
          <w:lang w:val="en-US" w:eastAsia="zh-CN"/>
        </w:rPr>
      </w:pPr>
      <w:r>
        <w:rPr>
          <w:rFonts w:hint="eastAsia"/>
          <w:lang w:val="en-US" w:eastAsia="zh-CN"/>
        </w:rPr>
        <w:t xml:space="preserve">港股：26147.69， +0.10% </w:t>
      </w:r>
    </w:p>
    <w:p>
      <w:pPr>
        <w:numPr>
          <w:ilvl w:val="0"/>
          <w:numId w:val="2"/>
        </w:numPr>
        <w:spacing w:line="240" w:lineRule="auto"/>
        <w:rPr>
          <w:rFonts w:hint="eastAsia"/>
          <w:lang w:val="en-US" w:eastAsia="zh-CN"/>
        </w:rPr>
      </w:pPr>
      <w:r>
        <w:rPr>
          <w:rFonts w:hint="eastAsia"/>
          <w:lang w:val="en-US" w:eastAsia="zh-CN"/>
        </w:rPr>
        <w:t>人民币： 贬值创新低6.9158，-69基点</w:t>
      </w:r>
    </w:p>
    <w:p>
      <w:pPr>
        <w:numPr>
          <w:ilvl w:val="0"/>
          <w:numId w:val="2"/>
        </w:numPr>
        <w:spacing w:line="240" w:lineRule="auto"/>
        <w:rPr>
          <w:rFonts w:hint="eastAsia"/>
          <w:lang w:val="en-US" w:eastAsia="zh-CN"/>
        </w:rPr>
      </w:pPr>
      <w:r>
        <w:rPr>
          <w:rFonts w:hint="eastAsia"/>
          <w:lang w:val="en-US" w:eastAsia="zh-CN"/>
        </w:rPr>
        <w:t>GC001：2.455，-1.80%</w:t>
      </w:r>
    </w:p>
    <w:p>
      <w:pPr>
        <w:numPr>
          <w:ilvl w:val="0"/>
          <w:numId w:val="2"/>
        </w:numPr>
        <w:spacing w:line="240" w:lineRule="auto"/>
        <w:rPr>
          <w:rFonts w:hint="eastAsia"/>
          <w:lang w:val="en-US" w:eastAsia="zh-CN"/>
        </w:rPr>
      </w:pPr>
      <w:r>
        <w:rPr>
          <w:rFonts w:hint="eastAsia"/>
          <w:lang w:val="en-US" w:eastAsia="zh-CN"/>
        </w:rPr>
        <w:t>融资融券余额：7704亿，</w:t>
      </w:r>
      <w:r>
        <w:rPr>
          <w:rFonts w:hint="eastAsia"/>
          <w:color w:val="FF0000"/>
          <w:lang w:val="en-US" w:eastAsia="zh-CN"/>
        </w:rPr>
        <w:t>+10.63</w:t>
      </w:r>
      <w:r>
        <w:rPr>
          <w:rFonts w:hint="eastAsia"/>
          <w:lang w:val="en-US" w:eastAsia="zh-CN"/>
        </w:rPr>
        <w:t>亿</w:t>
      </w:r>
    </w:p>
    <w:p>
      <w:pPr>
        <w:spacing w:line="240" w:lineRule="auto"/>
        <w:rPr>
          <w:rFonts w:hint="eastAsia"/>
          <w:lang w:val="en-US" w:eastAsia="zh-CN"/>
        </w:rPr>
      </w:pPr>
    </w:p>
    <w:p>
      <w:pPr>
        <w:pStyle w:val="2"/>
        <w:keepNext w:val="0"/>
        <w:keepLines w:val="0"/>
        <w:widowControl/>
        <w:suppressLineNumbers w:val="0"/>
        <w:spacing w:line="23" w:lineRule="atLeast"/>
      </w:pPr>
      <w:r>
        <w:rPr>
          <w:rFonts w:ascii="微软雅黑" w:hAnsi="微软雅黑" w:eastAsia="微软雅黑" w:cs="微软雅黑"/>
          <w:color w:val="393A4C"/>
          <w:sz w:val="15"/>
          <w:szCs w:val="15"/>
        </w:rPr>
        <w:t xml:space="preserve">【宏观要闻】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习近平寄语上海：勇创国际一流城市管理水平</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6日下午，习近平来到浦东新区城市运行综合管理中心，了解上海在推进城市精细化管理方面的做法。他强调，城市管理搞得好，社会才能稳定、经济才能发展。一流城市要有一流治理。提高城市管理水平，要在科学化、精细化、智能化上下功夫。习近平希望上海继续探索，走出一条中国特色的超大城市管理新路子，不断提高城市管理水平。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中国结算修订并发布融资融券登记结算业务实施细则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国结算修订并发布《中国证券登记结算有限责任公司融资融券登记结算业务实施细则》。一、在第一条中增加“保护投资者合法权益”。二、将第五十七条修改为：“投资者信用证券账户不得买入或转入除可充抵保证金证券范围以外的证券，也不得用于参与定向增发、股票交易型开放式基金和债券交易型开放式基金申购及赎回、债券回购交易等。”上述修订条款自本通知发布之日起施行。修订后的《中国证券登记结算有限责任公司融资融券登记结算业务实施细则》重新公布。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中国10月外汇储备30531亿美元，预期30600亿美元，前值30870亿美元</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券商股权质押业务门槛未降 没听说有“无平仓线”业务</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深交所将在11月8日决定</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"http://www.yuncaijing.com/quote/sz000979.html"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中弘股份(000979)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"https://www.yuncaijing.com/quote/sz000979_multi.html"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是否退市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深圳：突出抓好重大项目投资 着力帮助民营企业解决困难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央行：严厉查处侵吞、贪污、输送、挥霍国有金融资本的行为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工信部暂停受理27家企业新能源汽车新产品申报 万向电动等上榜</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发改委：加快推动石化产业重大项目开工建设</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国家版权局：短视频平台版权整改取得阶段性成效</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监管层重申金交所整顿：投资门槛不得低于资管新规</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上海出台“鼓励药械创新32条” 建设全球领先的生物医药创新研发高地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浙江率先签署民营企业债券融资支持工具三方合作协议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【增减持】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"http://www.yuncaijing.com/quote/sz002427.html"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ST尤夫(002427)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"https://www.yuncaijing.com/quote/sz002427_multi.html"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：获专项解困基金举牌 持股达到5%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"http://www.yuncaijing.com/quote/sz300262.html"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巴安水务(300262)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"https://www.yuncaijing.com/quote/sz300262_multi.html"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：4位员工响应增持倡议 合计买入6万股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"http://www.yuncaijing.com/quote/sh600284.html"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浦东建设(600284)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"https://www.yuncaijing.com/quote/sh600284_multi.html"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：控股股东拟增持不超374.7万股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"http://www.yuncaijing.com/quote/sz002221.html"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东华能源(002221)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"https://www.yuncaijing.com/quote/sz002221_multi.html"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：修改回购预案 回购股份不低于6亿元且不超总股本10%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"http://www.yuncaijing.com/quote/sz002369.html"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卓翼科技(002369)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"https://www.yuncaijing.com/quote/sz002369_multi.html"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：拟以1.5亿-3亿元回购股份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"http://www.yuncaijing.com/quote/sh603879.html"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永悦科技(603879)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"https://www.yuncaijing.com/quote/sh603879_multi.html"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：实控人提议回购股份 回购额3000万至1亿元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"http://www.yuncaijing.com/quote/sz002862.html"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实丰文化(002862)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"https://www.yuncaijing.com/quote/sz002862_multi.html"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：股东拟减持不超2%股份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"http://www.yuncaijing.com/quote/sh600986.html"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科达股份(600986)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"https://www.yuncaijing.com/quote/sh600986_multi.html"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：股东拟合计减持不超4.73%股份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"http://www.yuncaijing.com/quote/sz300630.html"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普利制药(300630)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"https://www.yuncaijing.com/quote/sz300630_multi.html"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：综合制药拟减持不超6%股份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【利好公告】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"http://www.yuncaijing.com/quote/sh600048.html"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保利地产(600048)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"https://www.yuncaijing.com/quote/sh600048_multi.html"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：前10月签约金额3348亿元 同比增长超四成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"http://www.yuncaijing.com/quote/sh600650.html"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锦江投资(600650)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"https://www.yuncaijing.com/quote/sh600650_multi.html"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：减持部分金融资产 获投资收益约4711万元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"http://www.yuncaijing.com/quote/sh603577.html"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汇金通(603577)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"https://www.yuncaijing.com/quote/sh603577_multi.html"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：中标1.12亿元国家电网采购项目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"http://www.yuncaijing.com/quote/sz300073.html"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当升科技(300073)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"https://www.yuncaijing.com/quote/sz300073_multi.html"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：今年向</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"http://www.yuncaijing.com/quote/sz002594.html"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比亚迪(002594)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"https://www.yuncaijing.com/quote/sz002594_multi.html"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供应链公司的销售额度预计提升至2亿元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"http://www.yuncaijing.com/quote/sh600039.html"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四川路桥(600039)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"https://www.yuncaijing.com/quote/sh600039_multi.html"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：前10月中标金额611亿元 同比增长逾45%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"http://www.yuncaijing.com/quote/sz002450.html"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康得新(002450)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"https://www.yuncaijing.com/quote/sz002450_multi.html"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：控股股东获张家港城投及</w:t>
      </w: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"http://www.yuncaijing.com/quote/sh601555.html"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东吴证券(601555)</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"https://www.yuncaijing.com/quote/sh601555_multi.html"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27亿元战略投资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val="0"/>
          <w:dstrike w:val="0"/>
          <w:color w:val="auto"/>
          <w:lang w:val="en-US" w:eastAsia="zh-CN"/>
        </w:rPr>
      </w:pPr>
      <w:r>
        <w:rPr>
          <w:rFonts w:hint="eastAsia"/>
          <w:strike w:val="0"/>
          <w:dstrike w:val="0"/>
          <w:color w:val="auto"/>
          <w:lang w:val="en-US" w:eastAsia="zh-CN"/>
        </w:rPr>
        <w:t>11-1日关注股票</w:t>
      </w:r>
    </w:p>
    <w:p>
      <w:pPr>
        <w:spacing w:line="240" w:lineRule="auto"/>
        <w:rPr>
          <w:rFonts w:hint="eastAsia"/>
          <w:strike/>
          <w:dstrike w:val="0"/>
          <w:color w:val="FF0000"/>
          <w:lang w:val="en-US" w:eastAsia="zh-CN"/>
        </w:rPr>
      </w:pPr>
      <w:r>
        <w:rPr>
          <w:rFonts w:hint="eastAsia"/>
          <w:strike/>
          <w:dstrike w:val="0"/>
          <w:color w:val="FF0000"/>
          <w:lang w:val="en-US" w:eastAsia="zh-CN"/>
        </w:rPr>
        <w:t>神马股份</w:t>
      </w:r>
      <w:r>
        <w:rPr>
          <w:rFonts w:hint="default"/>
          <w:strike/>
          <w:dstrike w:val="0"/>
          <w:color w:val="FF0000"/>
          <w:lang w:val="en-US" w:eastAsia="zh-CN"/>
        </w:rPr>
        <w:t>(+4.06%)</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11-2日关注股票：</w:t>
      </w:r>
    </w:p>
    <w:p>
      <w:pPr>
        <w:spacing w:line="240" w:lineRule="auto"/>
        <w:rPr>
          <w:rFonts w:hint="eastAsia"/>
          <w:strike/>
          <w:dstrike w:val="0"/>
          <w:color w:val="FF0000"/>
          <w:lang w:val="en-US" w:eastAsia="zh-CN"/>
        </w:rPr>
      </w:pPr>
      <w:r>
        <w:rPr>
          <w:rFonts w:hint="eastAsia"/>
          <w:strike/>
          <w:dstrike w:val="0"/>
          <w:color w:val="FF0000"/>
          <w:lang w:val="en-US" w:eastAsia="zh-CN"/>
        </w:rPr>
        <w:t>涪陵榨菜（</w:t>
      </w:r>
      <w:r>
        <w:rPr>
          <w:rFonts w:hint="default"/>
          <w:strike/>
          <w:dstrike w:val="0"/>
          <w:color w:val="FF0000"/>
          <w:lang w:val="en-US" w:eastAsia="zh-CN"/>
        </w:rPr>
        <w:t>+3.24%</w:t>
      </w:r>
      <w:r>
        <w:rPr>
          <w:rFonts w:hint="eastAsia"/>
          <w:strike/>
          <w:dstrike w:val="0"/>
          <w:color w:val="FF0000"/>
          <w:lang w:val="en-US" w:eastAsia="zh-CN"/>
        </w:rPr>
        <w:t>）</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11-3日关注股票：</w:t>
      </w:r>
    </w:p>
    <w:p>
      <w:pPr>
        <w:spacing w:line="240" w:lineRule="auto"/>
        <w:rPr>
          <w:rFonts w:hint="eastAsia"/>
          <w:strike/>
          <w:dstrike w:val="0"/>
          <w:color w:val="00B050"/>
          <w:lang w:val="en-US" w:eastAsia="zh-CN"/>
        </w:rPr>
      </w:pPr>
      <w:r>
        <w:rPr>
          <w:rFonts w:hint="eastAsia"/>
          <w:strike/>
          <w:dstrike w:val="0"/>
          <w:color w:val="00B050"/>
          <w:lang w:val="en-US" w:eastAsia="zh-CN"/>
        </w:rPr>
        <w:t>物产中大</w:t>
      </w:r>
      <w:r>
        <w:rPr>
          <w:rFonts w:hint="default"/>
          <w:strike/>
          <w:dstrike w:val="0"/>
          <w:color w:val="00B050"/>
          <w:lang w:val="en-US" w:eastAsia="zh-CN"/>
        </w:rPr>
        <w:t>(-1.66%)</w:t>
      </w:r>
      <w:r>
        <w:rPr>
          <w:rFonts w:hint="eastAsia"/>
          <w:strike/>
          <w:dstrike w:val="0"/>
          <w:color w:val="00B050"/>
          <w:lang w:val="en-US" w:eastAsia="zh-CN"/>
        </w:rPr>
        <w:t>、均胜电子</w:t>
      </w:r>
      <w:r>
        <w:rPr>
          <w:rFonts w:hint="default"/>
          <w:strike/>
          <w:dstrike w:val="0"/>
          <w:color w:val="00B050"/>
          <w:lang w:val="en-US" w:eastAsia="zh-CN"/>
        </w:rPr>
        <w:t>(-1.68%)</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11-5</w:t>
      </w:r>
      <w:r>
        <w:rPr>
          <w:rFonts w:hint="eastAsia"/>
          <w:strike w:val="0"/>
          <w:dstrike w:val="0"/>
          <w:color w:val="auto"/>
          <w:lang w:val="en-US" w:eastAsia="zh-CN"/>
        </w:rPr>
        <w:t>日关注股票：</w:t>
      </w:r>
    </w:p>
    <w:p>
      <w:pPr>
        <w:spacing w:line="240" w:lineRule="auto"/>
        <w:rPr>
          <w:rFonts w:hint="default"/>
          <w:strike/>
          <w:dstrike w:val="0"/>
          <w:color w:val="00B050"/>
          <w:lang w:val="en-US" w:eastAsia="zh-CN"/>
        </w:rPr>
      </w:pPr>
      <w:r>
        <w:rPr>
          <w:rFonts w:hint="eastAsia"/>
          <w:strike/>
          <w:dstrike w:val="0"/>
          <w:color w:val="FF0000"/>
          <w:lang w:val="en-US" w:eastAsia="zh-CN"/>
        </w:rPr>
        <w:t>张江高科</w:t>
      </w:r>
      <w:r>
        <w:rPr>
          <w:rFonts w:hint="default"/>
          <w:strike/>
          <w:dstrike w:val="0"/>
          <w:color w:val="FF0000"/>
          <w:lang w:val="en-US" w:eastAsia="zh-CN"/>
        </w:rPr>
        <w:t>(+10.01%)</w:t>
      </w:r>
      <w:r>
        <w:rPr>
          <w:rFonts w:hint="eastAsia"/>
          <w:strike/>
          <w:dstrike w:val="0"/>
          <w:color w:val="FF0000"/>
          <w:lang w:val="en-US" w:eastAsia="zh-CN"/>
        </w:rPr>
        <w:t>、创业黑马</w:t>
      </w:r>
      <w:r>
        <w:rPr>
          <w:rFonts w:hint="default"/>
          <w:strike/>
          <w:dstrike w:val="0"/>
          <w:color w:val="FF0000"/>
          <w:lang w:val="en-US" w:eastAsia="zh-CN"/>
        </w:rPr>
        <w:t>(+10.01%)</w:t>
      </w:r>
      <w:r>
        <w:rPr>
          <w:rFonts w:hint="eastAsia"/>
          <w:strike/>
          <w:dstrike w:val="0"/>
          <w:color w:val="FF0000"/>
          <w:lang w:val="en-US" w:eastAsia="zh-CN"/>
        </w:rPr>
        <w:t>、九鼎投资</w:t>
      </w:r>
      <w:r>
        <w:rPr>
          <w:rFonts w:hint="default"/>
          <w:strike/>
          <w:dstrike w:val="0"/>
          <w:color w:val="FF0000"/>
          <w:lang w:val="en-US" w:eastAsia="zh-CN"/>
        </w:rPr>
        <w:t>(+9.97%)</w:t>
      </w:r>
      <w:r>
        <w:rPr>
          <w:rFonts w:hint="eastAsia"/>
          <w:strike/>
          <w:dstrike w:val="0"/>
          <w:color w:val="FF0000"/>
          <w:lang w:val="en-US" w:eastAsia="zh-CN"/>
        </w:rPr>
        <w:t>、大众公用</w:t>
      </w:r>
      <w:r>
        <w:rPr>
          <w:rFonts w:hint="default"/>
          <w:strike/>
          <w:dstrike w:val="0"/>
          <w:color w:val="FF0000"/>
          <w:lang w:val="en-US" w:eastAsia="zh-CN"/>
        </w:rPr>
        <w:t>(+10.13%)</w:t>
      </w:r>
      <w:r>
        <w:rPr>
          <w:rFonts w:hint="eastAsia"/>
          <w:strike/>
          <w:dstrike w:val="0"/>
          <w:color w:val="FF0000"/>
          <w:lang w:val="en-US" w:eastAsia="zh-CN"/>
        </w:rPr>
        <w:t>、紫江企业</w:t>
      </w:r>
      <w:r>
        <w:rPr>
          <w:rFonts w:hint="default"/>
          <w:strike/>
          <w:dstrike w:val="0"/>
          <w:color w:val="FF0000"/>
          <w:lang w:val="en-US" w:eastAsia="zh-CN"/>
        </w:rPr>
        <w:t>(+9.94%)</w:t>
      </w:r>
      <w:r>
        <w:rPr>
          <w:rFonts w:hint="eastAsia"/>
          <w:strike/>
          <w:dstrike w:val="0"/>
          <w:color w:val="FF0000"/>
          <w:lang w:val="en-US" w:eastAsia="zh-CN"/>
        </w:rPr>
        <w:t>、市北高新</w:t>
      </w:r>
      <w:r>
        <w:rPr>
          <w:rFonts w:hint="default"/>
          <w:strike/>
          <w:dstrike w:val="0"/>
          <w:color w:val="FF0000"/>
          <w:lang w:val="en-US" w:eastAsia="zh-CN"/>
        </w:rPr>
        <w:t>(+10.08%)</w:t>
      </w:r>
      <w:r>
        <w:rPr>
          <w:rFonts w:hint="eastAsia"/>
          <w:strike/>
          <w:dstrike w:val="0"/>
          <w:color w:val="FF0000"/>
          <w:lang w:val="en-US" w:eastAsia="zh-CN"/>
        </w:rPr>
        <w:t>、阳光电源</w:t>
      </w:r>
      <w:r>
        <w:rPr>
          <w:rFonts w:hint="default"/>
          <w:strike/>
          <w:dstrike w:val="0"/>
          <w:color w:val="FF0000"/>
          <w:lang w:val="en-US" w:eastAsia="zh-CN"/>
        </w:rPr>
        <w:t>(+10.03%)</w:t>
      </w:r>
      <w:r>
        <w:rPr>
          <w:rFonts w:hint="eastAsia"/>
          <w:strike/>
          <w:dstrike w:val="0"/>
          <w:color w:val="FF0000"/>
          <w:lang w:val="en-US" w:eastAsia="zh-CN"/>
        </w:rPr>
        <w:t>、林洋能源</w:t>
      </w:r>
      <w:r>
        <w:rPr>
          <w:rFonts w:hint="default"/>
          <w:strike/>
          <w:dstrike w:val="0"/>
          <w:color w:val="FF0000"/>
          <w:lang w:val="en-US" w:eastAsia="zh-CN"/>
        </w:rPr>
        <w:t>(+0.81%)</w:t>
      </w:r>
      <w:r>
        <w:rPr>
          <w:rFonts w:hint="eastAsia"/>
          <w:strike/>
          <w:dstrike w:val="0"/>
          <w:color w:val="FF0000"/>
          <w:lang w:val="en-US" w:eastAsia="zh-CN"/>
        </w:rPr>
        <w:t>、</w:t>
      </w:r>
      <w:r>
        <w:rPr>
          <w:rFonts w:hint="eastAsia"/>
          <w:strike/>
          <w:dstrike w:val="0"/>
          <w:color w:val="00B050"/>
          <w:lang w:val="en-US" w:eastAsia="zh-CN"/>
        </w:rPr>
        <w:t>隆基股份</w:t>
      </w:r>
      <w:r>
        <w:rPr>
          <w:rFonts w:hint="default"/>
          <w:strike/>
          <w:dstrike w:val="0"/>
          <w:color w:val="00B050"/>
          <w:lang w:val="en-US" w:eastAsia="zh-CN"/>
        </w:rPr>
        <w:t>(-3.26%)</w:t>
      </w:r>
    </w:p>
    <w:p>
      <w:pPr>
        <w:spacing w:line="240" w:lineRule="auto"/>
        <w:rPr>
          <w:rFonts w:hint="default"/>
          <w:strike/>
          <w:dstrike w:val="0"/>
          <w:color w:val="00B050"/>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11-</w:t>
      </w:r>
      <w:r>
        <w:rPr>
          <w:rFonts w:hint="eastAsia"/>
          <w:strike w:val="0"/>
          <w:dstrike w:val="0"/>
          <w:color w:val="auto"/>
          <w:lang w:val="en-US" w:eastAsia="zh-CN"/>
        </w:rPr>
        <w:t>7</w:t>
      </w:r>
      <w:bookmarkStart w:id="14" w:name="_GoBack"/>
      <w:bookmarkEnd w:id="14"/>
      <w:r>
        <w:rPr>
          <w:rFonts w:hint="default"/>
          <w:strike w:val="0"/>
          <w:dstrike w:val="0"/>
          <w:color w:val="auto"/>
          <w:lang w:val="en-US" w:eastAsia="zh-CN"/>
        </w:rPr>
        <w:t xml:space="preserve"> </w:t>
      </w:r>
      <w:r>
        <w:rPr>
          <w:rFonts w:hint="eastAsia"/>
          <w:strike w:val="0"/>
          <w:dstrike w:val="0"/>
          <w:color w:val="auto"/>
          <w:lang w:val="en-US" w:eastAsia="zh-CN"/>
        </w:rPr>
        <w:t>日关注股票：</w:t>
      </w:r>
    </w:p>
    <w:p>
      <w:pPr>
        <w:spacing w:line="240" w:lineRule="auto"/>
        <w:rPr>
          <w:rFonts w:hint="eastAsia"/>
          <w:strike w:val="0"/>
          <w:dstrike w:val="0"/>
          <w:color w:val="auto"/>
          <w:lang w:val="en-US" w:eastAsia="zh-CN"/>
        </w:rPr>
      </w:pPr>
      <w:r>
        <w:rPr>
          <w:rFonts w:hint="eastAsia"/>
          <w:strike w:val="0"/>
          <w:dstrike w:val="0"/>
          <w:color w:val="auto"/>
          <w:lang w:val="en-US" w:eastAsia="zh-CN"/>
        </w:rPr>
        <w:t>宜通世纪、思美传媒、东山精密</w:t>
      </w:r>
    </w:p>
    <w:p>
      <w:pPr>
        <w:spacing w:line="240" w:lineRule="auto"/>
        <w:rPr>
          <w:rFonts w:hint="eastAsia"/>
          <w:strike w:val="0"/>
          <w:dstrike w:val="0"/>
          <w:color w:val="auto"/>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61413"/>
    <w:rsid w:val="004D4197"/>
    <w:rsid w:val="0052221C"/>
    <w:rsid w:val="006764BA"/>
    <w:rsid w:val="00697FC3"/>
    <w:rsid w:val="00901FB1"/>
    <w:rsid w:val="00C11855"/>
    <w:rsid w:val="00D3582F"/>
    <w:rsid w:val="00E66844"/>
    <w:rsid w:val="01056385"/>
    <w:rsid w:val="014F3B92"/>
    <w:rsid w:val="0152242D"/>
    <w:rsid w:val="01647B7E"/>
    <w:rsid w:val="016B2B40"/>
    <w:rsid w:val="017B05B5"/>
    <w:rsid w:val="01977FEF"/>
    <w:rsid w:val="0202356D"/>
    <w:rsid w:val="02450328"/>
    <w:rsid w:val="026A4625"/>
    <w:rsid w:val="026C250E"/>
    <w:rsid w:val="02840E6B"/>
    <w:rsid w:val="02873DC1"/>
    <w:rsid w:val="0293307A"/>
    <w:rsid w:val="029B43B0"/>
    <w:rsid w:val="029F1E5F"/>
    <w:rsid w:val="02A41296"/>
    <w:rsid w:val="02A46468"/>
    <w:rsid w:val="02D8702F"/>
    <w:rsid w:val="02E40250"/>
    <w:rsid w:val="02EA5F6C"/>
    <w:rsid w:val="03217E12"/>
    <w:rsid w:val="033B014F"/>
    <w:rsid w:val="03D77D11"/>
    <w:rsid w:val="03DA5A87"/>
    <w:rsid w:val="03DD087F"/>
    <w:rsid w:val="04220426"/>
    <w:rsid w:val="044D03F6"/>
    <w:rsid w:val="04525AAA"/>
    <w:rsid w:val="04744B22"/>
    <w:rsid w:val="04A21184"/>
    <w:rsid w:val="04A641E4"/>
    <w:rsid w:val="04AF28FE"/>
    <w:rsid w:val="04CE0549"/>
    <w:rsid w:val="04F5092B"/>
    <w:rsid w:val="05016A5F"/>
    <w:rsid w:val="051801EF"/>
    <w:rsid w:val="05224B2F"/>
    <w:rsid w:val="05367AD1"/>
    <w:rsid w:val="055029FA"/>
    <w:rsid w:val="0563041F"/>
    <w:rsid w:val="056D0B52"/>
    <w:rsid w:val="05727E27"/>
    <w:rsid w:val="057E173A"/>
    <w:rsid w:val="058E3BE7"/>
    <w:rsid w:val="05996F7D"/>
    <w:rsid w:val="059F2277"/>
    <w:rsid w:val="05D61E65"/>
    <w:rsid w:val="05DB0C89"/>
    <w:rsid w:val="05F42636"/>
    <w:rsid w:val="05F71A0E"/>
    <w:rsid w:val="06253556"/>
    <w:rsid w:val="062D1854"/>
    <w:rsid w:val="062F1F01"/>
    <w:rsid w:val="06603F9C"/>
    <w:rsid w:val="066107E1"/>
    <w:rsid w:val="066C601E"/>
    <w:rsid w:val="067A6AFF"/>
    <w:rsid w:val="06944398"/>
    <w:rsid w:val="06B03E2C"/>
    <w:rsid w:val="06C47C16"/>
    <w:rsid w:val="06D30ADE"/>
    <w:rsid w:val="06E62AE5"/>
    <w:rsid w:val="070A6F35"/>
    <w:rsid w:val="07397C16"/>
    <w:rsid w:val="075B55B8"/>
    <w:rsid w:val="078270AF"/>
    <w:rsid w:val="07945E37"/>
    <w:rsid w:val="07BF39C9"/>
    <w:rsid w:val="07DB23C7"/>
    <w:rsid w:val="07EB284F"/>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83AB9"/>
    <w:rsid w:val="093B7917"/>
    <w:rsid w:val="094F49CA"/>
    <w:rsid w:val="09740E46"/>
    <w:rsid w:val="097A36CE"/>
    <w:rsid w:val="098C590A"/>
    <w:rsid w:val="099853DA"/>
    <w:rsid w:val="09C162DD"/>
    <w:rsid w:val="09C3792A"/>
    <w:rsid w:val="09CC4828"/>
    <w:rsid w:val="09D47958"/>
    <w:rsid w:val="0A2C5CA0"/>
    <w:rsid w:val="0A400DBB"/>
    <w:rsid w:val="0A493EF5"/>
    <w:rsid w:val="0A5C746A"/>
    <w:rsid w:val="0A647BE1"/>
    <w:rsid w:val="0A716325"/>
    <w:rsid w:val="0A895E24"/>
    <w:rsid w:val="0A8F079E"/>
    <w:rsid w:val="0A9A7F0F"/>
    <w:rsid w:val="0ACC444A"/>
    <w:rsid w:val="0AD31BA2"/>
    <w:rsid w:val="0B034842"/>
    <w:rsid w:val="0B0E0B30"/>
    <w:rsid w:val="0B264614"/>
    <w:rsid w:val="0B3F4495"/>
    <w:rsid w:val="0B4F23A6"/>
    <w:rsid w:val="0B543CA0"/>
    <w:rsid w:val="0B5F4434"/>
    <w:rsid w:val="0B75475E"/>
    <w:rsid w:val="0BA85F8D"/>
    <w:rsid w:val="0BF86B96"/>
    <w:rsid w:val="0C1A48EA"/>
    <w:rsid w:val="0C212C19"/>
    <w:rsid w:val="0C2D340E"/>
    <w:rsid w:val="0C3F4D9B"/>
    <w:rsid w:val="0C6E045E"/>
    <w:rsid w:val="0C76654E"/>
    <w:rsid w:val="0C7F62D6"/>
    <w:rsid w:val="0C880409"/>
    <w:rsid w:val="0CAA6A0A"/>
    <w:rsid w:val="0CB44896"/>
    <w:rsid w:val="0CBB5F78"/>
    <w:rsid w:val="0CC12AEF"/>
    <w:rsid w:val="0CC46945"/>
    <w:rsid w:val="0CD013FA"/>
    <w:rsid w:val="0CE272BE"/>
    <w:rsid w:val="0D0B0DE6"/>
    <w:rsid w:val="0D2627E2"/>
    <w:rsid w:val="0D275AA8"/>
    <w:rsid w:val="0D441CB0"/>
    <w:rsid w:val="0D4C6DF5"/>
    <w:rsid w:val="0D5669F9"/>
    <w:rsid w:val="0D5A65C9"/>
    <w:rsid w:val="0D5E2687"/>
    <w:rsid w:val="0D6D7C9B"/>
    <w:rsid w:val="0D7578CB"/>
    <w:rsid w:val="0D773D75"/>
    <w:rsid w:val="0D7E4FD5"/>
    <w:rsid w:val="0D9B1CEC"/>
    <w:rsid w:val="0DBA54E4"/>
    <w:rsid w:val="0DE62585"/>
    <w:rsid w:val="0DFC5D75"/>
    <w:rsid w:val="0E0A098D"/>
    <w:rsid w:val="0E43440D"/>
    <w:rsid w:val="0E4773A6"/>
    <w:rsid w:val="0E6924DC"/>
    <w:rsid w:val="0E921C32"/>
    <w:rsid w:val="0EA12E00"/>
    <w:rsid w:val="0EA52CBE"/>
    <w:rsid w:val="0EC44D5F"/>
    <w:rsid w:val="0EC71C3E"/>
    <w:rsid w:val="0EDE708A"/>
    <w:rsid w:val="0F305A06"/>
    <w:rsid w:val="0F5A3C27"/>
    <w:rsid w:val="0F65121D"/>
    <w:rsid w:val="0F905F80"/>
    <w:rsid w:val="0F9718D9"/>
    <w:rsid w:val="0FE75D85"/>
    <w:rsid w:val="0FEC709E"/>
    <w:rsid w:val="100B14A3"/>
    <w:rsid w:val="10214A7C"/>
    <w:rsid w:val="10295D8E"/>
    <w:rsid w:val="10603BF4"/>
    <w:rsid w:val="106415C5"/>
    <w:rsid w:val="107232DD"/>
    <w:rsid w:val="10766EF7"/>
    <w:rsid w:val="10771EFF"/>
    <w:rsid w:val="107A0C96"/>
    <w:rsid w:val="107A3DC8"/>
    <w:rsid w:val="10853902"/>
    <w:rsid w:val="108E1355"/>
    <w:rsid w:val="10956EEC"/>
    <w:rsid w:val="10F71086"/>
    <w:rsid w:val="10FF109F"/>
    <w:rsid w:val="110D2812"/>
    <w:rsid w:val="110F72C1"/>
    <w:rsid w:val="1132557E"/>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33266D"/>
    <w:rsid w:val="13430B4B"/>
    <w:rsid w:val="13626263"/>
    <w:rsid w:val="136F1A34"/>
    <w:rsid w:val="137E241C"/>
    <w:rsid w:val="138B4200"/>
    <w:rsid w:val="13CA5C4D"/>
    <w:rsid w:val="13D5185C"/>
    <w:rsid w:val="13D552EC"/>
    <w:rsid w:val="13EE15FA"/>
    <w:rsid w:val="14244DD5"/>
    <w:rsid w:val="14480A5A"/>
    <w:rsid w:val="14712FB7"/>
    <w:rsid w:val="14816B5F"/>
    <w:rsid w:val="14AA0805"/>
    <w:rsid w:val="14B72178"/>
    <w:rsid w:val="14C0137C"/>
    <w:rsid w:val="14E20D44"/>
    <w:rsid w:val="14EA5225"/>
    <w:rsid w:val="15120F09"/>
    <w:rsid w:val="15270E26"/>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A56FB2"/>
    <w:rsid w:val="16BF0588"/>
    <w:rsid w:val="16BF1790"/>
    <w:rsid w:val="16C64BFD"/>
    <w:rsid w:val="16D84322"/>
    <w:rsid w:val="16EF1747"/>
    <w:rsid w:val="17007DC5"/>
    <w:rsid w:val="17026F67"/>
    <w:rsid w:val="170664EB"/>
    <w:rsid w:val="17186B97"/>
    <w:rsid w:val="171F7A92"/>
    <w:rsid w:val="173B32F0"/>
    <w:rsid w:val="174E190C"/>
    <w:rsid w:val="17710231"/>
    <w:rsid w:val="17816124"/>
    <w:rsid w:val="17821E79"/>
    <w:rsid w:val="179842AB"/>
    <w:rsid w:val="17C32C1C"/>
    <w:rsid w:val="17C42329"/>
    <w:rsid w:val="18130587"/>
    <w:rsid w:val="1824019C"/>
    <w:rsid w:val="18587284"/>
    <w:rsid w:val="186000EE"/>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242DB8"/>
    <w:rsid w:val="1A6B40CE"/>
    <w:rsid w:val="1A6B657D"/>
    <w:rsid w:val="1A815BD3"/>
    <w:rsid w:val="1A8B02F0"/>
    <w:rsid w:val="1A950125"/>
    <w:rsid w:val="1AA33CC8"/>
    <w:rsid w:val="1ABA7984"/>
    <w:rsid w:val="1ACB3375"/>
    <w:rsid w:val="1AD9601A"/>
    <w:rsid w:val="1B4367F4"/>
    <w:rsid w:val="1B5C2C5D"/>
    <w:rsid w:val="1B747074"/>
    <w:rsid w:val="1B9149EE"/>
    <w:rsid w:val="1B944CB1"/>
    <w:rsid w:val="1B9E6861"/>
    <w:rsid w:val="1BAA068A"/>
    <w:rsid w:val="1BCB12E1"/>
    <w:rsid w:val="1BCC552D"/>
    <w:rsid w:val="1BD2095A"/>
    <w:rsid w:val="1BDB4AD2"/>
    <w:rsid w:val="1BDD3CBF"/>
    <w:rsid w:val="1BF2003A"/>
    <w:rsid w:val="1C036B4B"/>
    <w:rsid w:val="1C044CFD"/>
    <w:rsid w:val="1C0C4EF8"/>
    <w:rsid w:val="1C104715"/>
    <w:rsid w:val="1C47333D"/>
    <w:rsid w:val="1C504041"/>
    <w:rsid w:val="1C670988"/>
    <w:rsid w:val="1C6F6DE4"/>
    <w:rsid w:val="1C7F5574"/>
    <w:rsid w:val="1C825F0A"/>
    <w:rsid w:val="1CA519D5"/>
    <w:rsid w:val="1CB0205B"/>
    <w:rsid w:val="1CCF59CE"/>
    <w:rsid w:val="1CFE1F9E"/>
    <w:rsid w:val="1D0D6955"/>
    <w:rsid w:val="1D1046F8"/>
    <w:rsid w:val="1D2B026D"/>
    <w:rsid w:val="1D3359AA"/>
    <w:rsid w:val="1D3578F8"/>
    <w:rsid w:val="1D5F1195"/>
    <w:rsid w:val="1D6915AF"/>
    <w:rsid w:val="1D7C27F7"/>
    <w:rsid w:val="1D88197B"/>
    <w:rsid w:val="1D8F1E02"/>
    <w:rsid w:val="1D9B3CAA"/>
    <w:rsid w:val="1D9C1A16"/>
    <w:rsid w:val="1D9F5997"/>
    <w:rsid w:val="1DB70379"/>
    <w:rsid w:val="1DB902E7"/>
    <w:rsid w:val="1DBF12C0"/>
    <w:rsid w:val="1DD60858"/>
    <w:rsid w:val="1DE368CE"/>
    <w:rsid w:val="1DFE763D"/>
    <w:rsid w:val="1E066BFD"/>
    <w:rsid w:val="1E3D16BE"/>
    <w:rsid w:val="1E716A79"/>
    <w:rsid w:val="1E7D12C4"/>
    <w:rsid w:val="1EAC0280"/>
    <w:rsid w:val="1EC44101"/>
    <w:rsid w:val="1EF13AE1"/>
    <w:rsid w:val="1F0E46A0"/>
    <w:rsid w:val="1F0F507B"/>
    <w:rsid w:val="1F280B33"/>
    <w:rsid w:val="1F436954"/>
    <w:rsid w:val="1F4D7CB2"/>
    <w:rsid w:val="1F5B3F83"/>
    <w:rsid w:val="1F5E07AC"/>
    <w:rsid w:val="1F6B3A55"/>
    <w:rsid w:val="1F921442"/>
    <w:rsid w:val="1FB005B5"/>
    <w:rsid w:val="1FCC172B"/>
    <w:rsid w:val="1FD239CE"/>
    <w:rsid w:val="1FFB7524"/>
    <w:rsid w:val="2017413E"/>
    <w:rsid w:val="202F2459"/>
    <w:rsid w:val="203568E0"/>
    <w:rsid w:val="204C06AD"/>
    <w:rsid w:val="2078113D"/>
    <w:rsid w:val="2094409D"/>
    <w:rsid w:val="20BF12E3"/>
    <w:rsid w:val="210B33AA"/>
    <w:rsid w:val="211018D5"/>
    <w:rsid w:val="211853CD"/>
    <w:rsid w:val="21193B54"/>
    <w:rsid w:val="212267F3"/>
    <w:rsid w:val="214C5F38"/>
    <w:rsid w:val="21580063"/>
    <w:rsid w:val="215C5CA2"/>
    <w:rsid w:val="21710A68"/>
    <w:rsid w:val="2184486A"/>
    <w:rsid w:val="2188663D"/>
    <w:rsid w:val="21980957"/>
    <w:rsid w:val="219D3E29"/>
    <w:rsid w:val="21B17B55"/>
    <w:rsid w:val="21BA4D5A"/>
    <w:rsid w:val="21C61DDE"/>
    <w:rsid w:val="21C7795A"/>
    <w:rsid w:val="21F9403C"/>
    <w:rsid w:val="220130C8"/>
    <w:rsid w:val="221F3F25"/>
    <w:rsid w:val="22333AA1"/>
    <w:rsid w:val="22BD2E76"/>
    <w:rsid w:val="22C9023E"/>
    <w:rsid w:val="22D05A47"/>
    <w:rsid w:val="22D26EAF"/>
    <w:rsid w:val="22E73534"/>
    <w:rsid w:val="22EB6D0C"/>
    <w:rsid w:val="23020B57"/>
    <w:rsid w:val="2348188E"/>
    <w:rsid w:val="235003C1"/>
    <w:rsid w:val="2369588F"/>
    <w:rsid w:val="23887625"/>
    <w:rsid w:val="23930482"/>
    <w:rsid w:val="23A22F3C"/>
    <w:rsid w:val="23A6343E"/>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90CC6"/>
    <w:rsid w:val="257229A7"/>
    <w:rsid w:val="257709FB"/>
    <w:rsid w:val="259C0B3C"/>
    <w:rsid w:val="25A0482C"/>
    <w:rsid w:val="25B0357A"/>
    <w:rsid w:val="25B14002"/>
    <w:rsid w:val="25BC6888"/>
    <w:rsid w:val="25C1260B"/>
    <w:rsid w:val="25E41222"/>
    <w:rsid w:val="25FA399D"/>
    <w:rsid w:val="260F4A69"/>
    <w:rsid w:val="2654390B"/>
    <w:rsid w:val="265B3762"/>
    <w:rsid w:val="26745E1B"/>
    <w:rsid w:val="267C0312"/>
    <w:rsid w:val="2681036C"/>
    <w:rsid w:val="269B26E9"/>
    <w:rsid w:val="26A57A65"/>
    <w:rsid w:val="26D85EDD"/>
    <w:rsid w:val="26FF2DF0"/>
    <w:rsid w:val="271E441C"/>
    <w:rsid w:val="2721255F"/>
    <w:rsid w:val="273350FA"/>
    <w:rsid w:val="274A56FA"/>
    <w:rsid w:val="275C3451"/>
    <w:rsid w:val="27706349"/>
    <w:rsid w:val="277978A5"/>
    <w:rsid w:val="27C73D38"/>
    <w:rsid w:val="27D6481D"/>
    <w:rsid w:val="27E60AEC"/>
    <w:rsid w:val="27E92A96"/>
    <w:rsid w:val="28022CC6"/>
    <w:rsid w:val="281A5848"/>
    <w:rsid w:val="28411F49"/>
    <w:rsid w:val="284E2E6C"/>
    <w:rsid w:val="285B3B30"/>
    <w:rsid w:val="28A9268D"/>
    <w:rsid w:val="28DA7E14"/>
    <w:rsid w:val="28DC7F94"/>
    <w:rsid w:val="28E20191"/>
    <w:rsid w:val="29032593"/>
    <w:rsid w:val="291B5B6D"/>
    <w:rsid w:val="29283595"/>
    <w:rsid w:val="29384755"/>
    <w:rsid w:val="29474E9E"/>
    <w:rsid w:val="297E256D"/>
    <w:rsid w:val="29901482"/>
    <w:rsid w:val="29F35878"/>
    <w:rsid w:val="2A0744E4"/>
    <w:rsid w:val="2A154AC5"/>
    <w:rsid w:val="2A220264"/>
    <w:rsid w:val="2A285457"/>
    <w:rsid w:val="2A3B4EF0"/>
    <w:rsid w:val="2A575882"/>
    <w:rsid w:val="2A665B39"/>
    <w:rsid w:val="2A7B42A5"/>
    <w:rsid w:val="2A802D8A"/>
    <w:rsid w:val="2AA004C2"/>
    <w:rsid w:val="2AAF3433"/>
    <w:rsid w:val="2AD01279"/>
    <w:rsid w:val="2B021229"/>
    <w:rsid w:val="2B074DB5"/>
    <w:rsid w:val="2B1030BD"/>
    <w:rsid w:val="2B151C54"/>
    <w:rsid w:val="2B2209DE"/>
    <w:rsid w:val="2B2560CD"/>
    <w:rsid w:val="2B3137EA"/>
    <w:rsid w:val="2B3570BB"/>
    <w:rsid w:val="2B406E52"/>
    <w:rsid w:val="2B613F8A"/>
    <w:rsid w:val="2B715FF9"/>
    <w:rsid w:val="2B7C2469"/>
    <w:rsid w:val="2B8667B4"/>
    <w:rsid w:val="2B8B0140"/>
    <w:rsid w:val="2B9102BE"/>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600536"/>
    <w:rsid w:val="2D9E4763"/>
    <w:rsid w:val="2DA45761"/>
    <w:rsid w:val="2DA81C99"/>
    <w:rsid w:val="2DB44750"/>
    <w:rsid w:val="2DCA1C15"/>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AF3F01"/>
    <w:rsid w:val="2FB8673A"/>
    <w:rsid w:val="2FC1718F"/>
    <w:rsid w:val="2FD53C66"/>
    <w:rsid w:val="2FD57AE6"/>
    <w:rsid w:val="2FE32137"/>
    <w:rsid w:val="300D1A47"/>
    <w:rsid w:val="302A76D8"/>
    <w:rsid w:val="30325457"/>
    <w:rsid w:val="307642F8"/>
    <w:rsid w:val="307C2FD5"/>
    <w:rsid w:val="308472ED"/>
    <w:rsid w:val="308927E7"/>
    <w:rsid w:val="30A83E2F"/>
    <w:rsid w:val="30BE10FD"/>
    <w:rsid w:val="30D22C4D"/>
    <w:rsid w:val="30D824CE"/>
    <w:rsid w:val="30E8604C"/>
    <w:rsid w:val="311B4918"/>
    <w:rsid w:val="3128318C"/>
    <w:rsid w:val="313919B9"/>
    <w:rsid w:val="313C6E33"/>
    <w:rsid w:val="31832045"/>
    <w:rsid w:val="318A56D9"/>
    <w:rsid w:val="31980BDD"/>
    <w:rsid w:val="319B0DA4"/>
    <w:rsid w:val="31BC324A"/>
    <w:rsid w:val="31DD1A19"/>
    <w:rsid w:val="31E32CEF"/>
    <w:rsid w:val="31F27463"/>
    <w:rsid w:val="322319DA"/>
    <w:rsid w:val="322E6F2F"/>
    <w:rsid w:val="323319A5"/>
    <w:rsid w:val="32473ADF"/>
    <w:rsid w:val="3276149F"/>
    <w:rsid w:val="32A068E9"/>
    <w:rsid w:val="32A23292"/>
    <w:rsid w:val="32CB7E65"/>
    <w:rsid w:val="32DC06BB"/>
    <w:rsid w:val="32F16CC0"/>
    <w:rsid w:val="330B75BD"/>
    <w:rsid w:val="33524A45"/>
    <w:rsid w:val="33696B21"/>
    <w:rsid w:val="33AF76FE"/>
    <w:rsid w:val="33C16442"/>
    <w:rsid w:val="340F5B81"/>
    <w:rsid w:val="34132FF2"/>
    <w:rsid w:val="3471300F"/>
    <w:rsid w:val="34874227"/>
    <w:rsid w:val="34890003"/>
    <w:rsid w:val="34931091"/>
    <w:rsid w:val="34B775B2"/>
    <w:rsid w:val="34E038B6"/>
    <w:rsid w:val="34E30F0F"/>
    <w:rsid w:val="34F01269"/>
    <w:rsid w:val="351241C6"/>
    <w:rsid w:val="351F02B8"/>
    <w:rsid w:val="35480EDF"/>
    <w:rsid w:val="35686F69"/>
    <w:rsid w:val="35687EBB"/>
    <w:rsid w:val="35784769"/>
    <w:rsid w:val="357F03D9"/>
    <w:rsid w:val="35860DD5"/>
    <w:rsid w:val="358D7A7B"/>
    <w:rsid w:val="35923A51"/>
    <w:rsid w:val="359A3107"/>
    <w:rsid w:val="3611115D"/>
    <w:rsid w:val="361D0887"/>
    <w:rsid w:val="365506E1"/>
    <w:rsid w:val="36824A32"/>
    <w:rsid w:val="36974B8F"/>
    <w:rsid w:val="369B37BE"/>
    <w:rsid w:val="36A52223"/>
    <w:rsid w:val="36AD1C73"/>
    <w:rsid w:val="36AF43CB"/>
    <w:rsid w:val="36B409CC"/>
    <w:rsid w:val="36CC20D7"/>
    <w:rsid w:val="36D2199E"/>
    <w:rsid w:val="36D70FE7"/>
    <w:rsid w:val="36DC2A3B"/>
    <w:rsid w:val="36DF2AB3"/>
    <w:rsid w:val="36E07DEB"/>
    <w:rsid w:val="36EA511D"/>
    <w:rsid w:val="36F44D99"/>
    <w:rsid w:val="36F70883"/>
    <w:rsid w:val="36F84BB1"/>
    <w:rsid w:val="36FF3F93"/>
    <w:rsid w:val="371C5979"/>
    <w:rsid w:val="37370121"/>
    <w:rsid w:val="373B4262"/>
    <w:rsid w:val="37866BA0"/>
    <w:rsid w:val="37D65746"/>
    <w:rsid w:val="37ED3EEE"/>
    <w:rsid w:val="38107C75"/>
    <w:rsid w:val="382E3032"/>
    <w:rsid w:val="38574525"/>
    <w:rsid w:val="38650B7B"/>
    <w:rsid w:val="386C42FF"/>
    <w:rsid w:val="387306D3"/>
    <w:rsid w:val="38753B9D"/>
    <w:rsid w:val="38757EF7"/>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CD59E2"/>
    <w:rsid w:val="39D049E4"/>
    <w:rsid w:val="39DD1FC0"/>
    <w:rsid w:val="39E20FE2"/>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107CAF"/>
    <w:rsid w:val="3B4A3954"/>
    <w:rsid w:val="3B5318A0"/>
    <w:rsid w:val="3B6B5381"/>
    <w:rsid w:val="3B7742CD"/>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856B15"/>
    <w:rsid w:val="3C9F1451"/>
    <w:rsid w:val="3CA5557B"/>
    <w:rsid w:val="3CAC1A05"/>
    <w:rsid w:val="3CBF2113"/>
    <w:rsid w:val="3CC5059F"/>
    <w:rsid w:val="3CCC0811"/>
    <w:rsid w:val="3CD92DC9"/>
    <w:rsid w:val="3CE109FF"/>
    <w:rsid w:val="3CF474DA"/>
    <w:rsid w:val="3CF6320B"/>
    <w:rsid w:val="3D322722"/>
    <w:rsid w:val="3D3E0E07"/>
    <w:rsid w:val="3D4D2885"/>
    <w:rsid w:val="3D501F86"/>
    <w:rsid w:val="3D5B6FD8"/>
    <w:rsid w:val="3D6C7970"/>
    <w:rsid w:val="3D8524B9"/>
    <w:rsid w:val="3DC67841"/>
    <w:rsid w:val="3DCC6E48"/>
    <w:rsid w:val="3E1302F2"/>
    <w:rsid w:val="3E341AE6"/>
    <w:rsid w:val="3E51379D"/>
    <w:rsid w:val="3E721BE4"/>
    <w:rsid w:val="3E795D46"/>
    <w:rsid w:val="3EBD4C84"/>
    <w:rsid w:val="3EBD5746"/>
    <w:rsid w:val="3EC40A9D"/>
    <w:rsid w:val="3ECD0A86"/>
    <w:rsid w:val="3F126C25"/>
    <w:rsid w:val="3F2541BD"/>
    <w:rsid w:val="3F270B16"/>
    <w:rsid w:val="3F2E1884"/>
    <w:rsid w:val="3F406847"/>
    <w:rsid w:val="3F486D14"/>
    <w:rsid w:val="3F8B38F8"/>
    <w:rsid w:val="3F911160"/>
    <w:rsid w:val="3FB60A8F"/>
    <w:rsid w:val="3FD16542"/>
    <w:rsid w:val="3FD50823"/>
    <w:rsid w:val="3FE57A37"/>
    <w:rsid w:val="3FE6620E"/>
    <w:rsid w:val="40190984"/>
    <w:rsid w:val="402D5AAC"/>
    <w:rsid w:val="403C756C"/>
    <w:rsid w:val="4084312C"/>
    <w:rsid w:val="40923A38"/>
    <w:rsid w:val="409F62B0"/>
    <w:rsid w:val="40AC35A1"/>
    <w:rsid w:val="40B87888"/>
    <w:rsid w:val="40BF28FF"/>
    <w:rsid w:val="40F579A0"/>
    <w:rsid w:val="41161BA3"/>
    <w:rsid w:val="41251ED8"/>
    <w:rsid w:val="414D1A11"/>
    <w:rsid w:val="41541E79"/>
    <w:rsid w:val="415E5EAB"/>
    <w:rsid w:val="417437BF"/>
    <w:rsid w:val="419B28D7"/>
    <w:rsid w:val="41C6087A"/>
    <w:rsid w:val="41E106C4"/>
    <w:rsid w:val="41F41ECC"/>
    <w:rsid w:val="41F72304"/>
    <w:rsid w:val="422725DC"/>
    <w:rsid w:val="422C4743"/>
    <w:rsid w:val="42464C1F"/>
    <w:rsid w:val="424D630C"/>
    <w:rsid w:val="42647007"/>
    <w:rsid w:val="42927BEF"/>
    <w:rsid w:val="42A261A9"/>
    <w:rsid w:val="42F01A2C"/>
    <w:rsid w:val="430272B9"/>
    <w:rsid w:val="433567C5"/>
    <w:rsid w:val="43437508"/>
    <w:rsid w:val="4369441A"/>
    <w:rsid w:val="43715ACD"/>
    <w:rsid w:val="439B45B2"/>
    <w:rsid w:val="43A728DB"/>
    <w:rsid w:val="43B64B82"/>
    <w:rsid w:val="43CC220E"/>
    <w:rsid w:val="43EC4DB0"/>
    <w:rsid w:val="43F35274"/>
    <w:rsid w:val="43FD6BD7"/>
    <w:rsid w:val="44133473"/>
    <w:rsid w:val="443A78EA"/>
    <w:rsid w:val="444A0646"/>
    <w:rsid w:val="445143F6"/>
    <w:rsid w:val="44515A1D"/>
    <w:rsid w:val="448778CA"/>
    <w:rsid w:val="44AF6F90"/>
    <w:rsid w:val="44D4142E"/>
    <w:rsid w:val="44D54043"/>
    <w:rsid w:val="452A40ED"/>
    <w:rsid w:val="452F142E"/>
    <w:rsid w:val="454A7BD2"/>
    <w:rsid w:val="455C521C"/>
    <w:rsid w:val="45657922"/>
    <w:rsid w:val="45771FDE"/>
    <w:rsid w:val="45940205"/>
    <w:rsid w:val="459A5AE0"/>
    <w:rsid w:val="45A71986"/>
    <w:rsid w:val="45B2417A"/>
    <w:rsid w:val="45D05C04"/>
    <w:rsid w:val="4676486A"/>
    <w:rsid w:val="46792153"/>
    <w:rsid w:val="467A3876"/>
    <w:rsid w:val="46882F36"/>
    <w:rsid w:val="46D203B7"/>
    <w:rsid w:val="47080F16"/>
    <w:rsid w:val="47256A06"/>
    <w:rsid w:val="473174AB"/>
    <w:rsid w:val="475F2ECF"/>
    <w:rsid w:val="476E5ABA"/>
    <w:rsid w:val="477C7EA2"/>
    <w:rsid w:val="47932506"/>
    <w:rsid w:val="479902B6"/>
    <w:rsid w:val="47DA073E"/>
    <w:rsid w:val="47E41BE3"/>
    <w:rsid w:val="47F628FA"/>
    <w:rsid w:val="48014BE7"/>
    <w:rsid w:val="48073349"/>
    <w:rsid w:val="48651EF8"/>
    <w:rsid w:val="486561CC"/>
    <w:rsid w:val="487333F6"/>
    <w:rsid w:val="48774DFE"/>
    <w:rsid w:val="489A1C79"/>
    <w:rsid w:val="48B03E9F"/>
    <w:rsid w:val="48C76242"/>
    <w:rsid w:val="48E00AC5"/>
    <w:rsid w:val="48F0132C"/>
    <w:rsid w:val="48F55B45"/>
    <w:rsid w:val="4918362D"/>
    <w:rsid w:val="49183BBE"/>
    <w:rsid w:val="491A4ED9"/>
    <w:rsid w:val="49252B13"/>
    <w:rsid w:val="494708E3"/>
    <w:rsid w:val="497C0AAC"/>
    <w:rsid w:val="498216FD"/>
    <w:rsid w:val="499B3E64"/>
    <w:rsid w:val="499E601B"/>
    <w:rsid w:val="49B84D2C"/>
    <w:rsid w:val="49C15343"/>
    <w:rsid w:val="49D07AEA"/>
    <w:rsid w:val="49FE1162"/>
    <w:rsid w:val="4A0715DF"/>
    <w:rsid w:val="4A192CFD"/>
    <w:rsid w:val="4A262F2E"/>
    <w:rsid w:val="4A306175"/>
    <w:rsid w:val="4A3C43C9"/>
    <w:rsid w:val="4A3F15B8"/>
    <w:rsid w:val="4A6B6D2C"/>
    <w:rsid w:val="4A8169BE"/>
    <w:rsid w:val="4A8A3E4B"/>
    <w:rsid w:val="4A9506F7"/>
    <w:rsid w:val="4A986952"/>
    <w:rsid w:val="4AC07187"/>
    <w:rsid w:val="4ADD7E5A"/>
    <w:rsid w:val="4B176EEC"/>
    <w:rsid w:val="4B2C56D0"/>
    <w:rsid w:val="4B2E2D9C"/>
    <w:rsid w:val="4B383963"/>
    <w:rsid w:val="4B5D46DE"/>
    <w:rsid w:val="4B760445"/>
    <w:rsid w:val="4B807F14"/>
    <w:rsid w:val="4B935B69"/>
    <w:rsid w:val="4BB2756C"/>
    <w:rsid w:val="4BCD3B4D"/>
    <w:rsid w:val="4BCD7125"/>
    <w:rsid w:val="4BD643F7"/>
    <w:rsid w:val="4BD85189"/>
    <w:rsid w:val="4BDE1EA4"/>
    <w:rsid w:val="4BDF467B"/>
    <w:rsid w:val="4C220551"/>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974816"/>
    <w:rsid w:val="4DAF3144"/>
    <w:rsid w:val="4DBE19C2"/>
    <w:rsid w:val="4DC44364"/>
    <w:rsid w:val="4E001CC7"/>
    <w:rsid w:val="4E033A95"/>
    <w:rsid w:val="4E054997"/>
    <w:rsid w:val="4E545DE4"/>
    <w:rsid w:val="4E7E348D"/>
    <w:rsid w:val="4EB75C6C"/>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F4E81"/>
    <w:rsid w:val="50C47A79"/>
    <w:rsid w:val="50E91E05"/>
    <w:rsid w:val="50F80D92"/>
    <w:rsid w:val="51064251"/>
    <w:rsid w:val="511D6223"/>
    <w:rsid w:val="51296F56"/>
    <w:rsid w:val="512D05D4"/>
    <w:rsid w:val="51391C5B"/>
    <w:rsid w:val="51467D32"/>
    <w:rsid w:val="515D45F9"/>
    <w:rsid w:val="518A531D"/>
    <w:rsid w:val="519F60B2"/>
    <w:rsid w:val="51AE15D4"/>
    <w:rsid w:val="51B95E72"/>
    <w:rsid w:val="51DF03CE"/>
    <w:rsid w:val="51F7052E"/>
    <w:rsid w:val="52271E16"/>
    <w:rsid w:val="52347744"/>
    <w:rsid w:val="52393C1D"/>
    <w:rsid w:val="52521A3D"/>
    <w:rsid w:val="52682107"/>
    <w:rsid w:val="52716292"/>
    <w:rsid w:val="527B5F26"/>
    <w:rsid w:val="528B62BC"/>
    <w:rsid w:val="529F4222"/>
    <w:rsid w:val="52A5296A"/>
    <w:rsid w:val="52A55CB3"/>
    <w:rsid w:val="52A91F2B"/>
    <w:rsid w:val="52B23FA9"/>
    <w:rsid w:val="52E45DE5"/>
    <w:rsid w:val="52EF0D67"/>
    <w:rsid w:val="52F02C42"/>
    <w:rsid w:val="52FE26CC"/>
    <w:rsid w:val="53195672"/>
    <w:rsid w:val="532845D8"/>
    <w:rsid w:val="535457FD"/>
    <w:rsid w:val="536461D5"/>
    <w:rsid w:val="537940E2"/>
    <w:rsid w:val="538C0DB6"/>
    <w:rsid w:val="53A718BB"/>
    <w:rsid w:val="53A87981"/>
    <w:rsid w:val="53C631AC"/>
    <w:rsid w:val="53D109CC"/>
    <w:rsid w:val="53D24CDD"/>
    <w:rsid w:val="54026EF3"/>
    <w:rsid w:val="54120CE3"/>
    <w:rsid w:val="54224AEE"/>
    <w:rsid w:val="542B0DCA"/>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DA29F0"/>
    <w:rsid w:val="56E04480"/>
    <w:rsid w:val="5726114F"/>
    <w:rsid w:val="572E1DC4"/>
    <w:rsid w:val="572E263C"/>
    <w:rsid w:val="573A21E0"/>
    <w:rsid w:val="57550297"/>
    <w:rsid w:val="57556125"/>
    <w:rsid w:val="57751DA1"/>
    <w:rsid w:val="57A976CF"/>
    <w:rsid w:val="57D04474"/>
    <w:rsid w:val="57D44AE6"/>
    <w:rsid w:val="57D90E3A"/>
    <w:rsid w:val="58051E72"/>
    <w:rsid w:val="582A524A"/>
    <w:rsid w:val="5838167A"/>
    <w:rsid w:val="58535237"/>
    <w:rsid w:val="586203E8"/>
    <w:rsid w:val="586D2587"/>
    <w:rsid w:val="587D70BF"/>
    <w:rsid w:val="58845475"/>
    <w:rsid w:val="5889606F"/>
    <w:rsid w:val="589E3082"/>
    <w:rsid w:val="589E51D8"/>
    <w:rsid w:val="58B20FE9"/>
    <w:rsid w:val="58B26326"/>
    <w:rsid w:val="58C13D6E"/>
    <w:rsid w:val="58CF3699"/>
    <w:rsid w:val="592E6E44"/>
    <w:rsid w:val="5931771A"/>
    <w:rsid w:val="59427279"/>
    <w:rsid w:val="59443F0F"/>
    <w:rsid w:val="594606B0"/>
    <w:rsid w:val="595A4F46"/>
    <w:rsid w:val="595B5C1B"/>
    <w:rsid w:val="595E5DBD"/>
    <w:rsid w:val="597804E9"/>
    <w:rsid w:val="59A15F8A"/>
    <w:rsid w:val="59AA7631"/>
    <w:rsid w:val="59B355A8"/>
    <w:rsid w:val="59CC778D"/>
    <w:rsid w:val="59DC5C31"/>
    <w:rsid w:val="5A0A05EF"/>
    <w:rsid w:val="5A1C2B94"/>
    <w:rsid w:val="5A41796E"/>
    <w:rsid w:val="5A447516"/>
    <w:rsid w:val="5A5E660A"/>
    <w:rsid w:val="5A6B2536"/>
    <w:rsid w:val="5A6C38ED"/>
    <w:rsid w:val="5A7D7DC9"/>
    <w:rsid w:val="5A870F43"/>
    <w:rsid w:val="5A902353"/>
    <w:rsid w:val="5AB55D62"/>
    <w:rsid w:val="5AC83137"/>
    <w:rsid w:val="5ACB6B07"/>
    <w:rsid w:val="5AED4CE2"/>
    <w:rsid w:val="5AFE4B41"/>
    <w:rsid w:val="5AFE6C9F"/>
    <w:rsid w:val="5AFF2C16"/>
    <w:rsid w:val="5B0A38CB"/>
    <w:rsid w:val="5B5C4A48"/>
    <w:rsid w:val="5B61273E"/>
    <w:rsid w:val="5B6E7DE8"/>
    <w:rsid w:val="5B740E56"/>
    <w:rsid w:val="5B901EF3"/>
    <w:rsid w:val="5BA454AF"/>
    <w:rsid w:val="5BAE32E0"/>
    <w:rsid w:val="5BD0210D"/>
    <w:rsid w:val="5BDF238A"/>
    <w:rsid w:val="5C256739"/>
    <w:rsid w:val="5C2C016F"/>
    <w:rsid w:val="5C384E29"/>
    <w:rsid w:val="5C3B42D6"/>
    <w:rsid w:val="5C4B7D70"/>
    <w:rsid w:val="5C78176A"/>
    <w:rsid w:val="5C89301D"/>
    <w:rsid w:val="5C91003A"/>
    <w:rsid w:val="5C941E9A"/>
    <w:rsid w:val="5CA37943"/>
    <w:rsid w:val="5CA65C73"/>
    <w:rsid w:val="5CAD47EF"/>
    <w:rsid w:val="5CD45A79"/>
    <w:rsid w:val="5CFD2BAF"/>
    <w:rsid w:val="5D175E92"/>
    <w:rsid w:val="5D372D3D"/>
    <w:rsid w:val="5D512F5D"/>
    <w:rsid w:val="5D6937A6"/>
    <w:rsid w:val="5DA97C2A"/>
    <w:rsid w:val="5DDB5902"/>
    <w:rsid w:val="5DF904C3"/>
    <w:rsid w:val="5DFC0579"/>
    <w:rsid w:val="5DFD1447"/>
    <w:rsid w:val="5E0619EE"/>
    <w:rsid w:val="5E18530F"/>
    <w:rsid w:val="5E4F212A"/>
    <w:rsid w:val="5E5A6482"/>
    <w:rsid w:val="5E5D519C"/>
    <w:rsid w:val="5E8356EF"/>
    <w:rsid w:val="5E83792B"/>
    <w:rsid w:val="5EB22C18"/>
    <w:rsid w:val="5ECD13E0"/>
    <w:rsid w:val="5ECF1387"/>
    <w:rsid w:val="5EDA5E4B"/>
    <w:rsid w:val="5EE24148"/>
    <w:rsid w:val="5EEF2C72"/>
    <w:rsid w:val="5EFB6652"/>
    <w:rsid w:val="5F036FC3"/>
    <w:rsid w:val="5F113FE6"/>
    <w:rsid w:val="5F1F04B3"/>
    <w:rsid w:val="5F54205E"/>
    <w:rsid w:val="5F5778EA"/>
    <w:rsid w:val="5F735764"/>
    <w:rsid w:val="5F7F0FCC"/>
    <w:rsid w:val="5F864151"/>
    <w:rsid w:val="5FA16171"/>
    <w:rsid w:val="5FBE57DC"/>
    <w:rsid w:val="5FDC54B2"/>
    <w:rsid w:val="5FE36389"/>
    <w:rsid w:val="5FE73EAF"/>
    <w:rsid w:val="60290442"/>
    <w:rsid w:val="603858FC"/>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1D5175F"/>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2D66EB"/>
    <w:rsid w:val="633817A6"/>
    <w:rsid w:val="63520053"/>
    <w:rsid w:val="63524BC7"/>
    <w:rsid w:val="63540E17"/>
    <w:rsid w:val="636433B8"/>
    <w:rsid w:val="6394008A"/>
    <w:rsid w:val="639D08D0"/>
    <w:rsid w:val="63A60C4C"/>
    <w:rsid w:val="63B1701A"/>
    <w:rsid w:val="63D27CE5"/>
    <w:rsid w:val="63DA744D"/>
    <w:rsid w:val="63DF662B"/>
    <w:rsid w:val="63E766DA"/>
    <w:rsid w:val="63E978AB"/>
    <w:rsid w:val="63F130FF"/>
    <w:rsid w:val="64022E8C"/>
    <w:rsid w:val="640E4306"/>
    <w:rsid w:val="64357186"/>
    <w:rsid w:val="643764F1"/>
    <w:rsid w:val="64401FB1"/>
    <w:rsid w:val="644244C6"/>
    <w:rsid w:val="645455F2"/>
    <w:rsid w:val="647C41D5"/>
    <w:rsid w:val="649D4F05"/>
    <w:rsid w:val="64CA54C0"/>
    <w:rsid w:val="64CA62E5"/>
    <w:rsid w:val="64E57549"/>
    <w:rsid w:val="64F41122"/>
    <w:rsid w:val="64FB76F0"/>
    <w:rsid w:val="651057F3"/>
    <w:rsid w:val="651A6DCE"/>
    <w:rsid w:val="65347105"/>
    <w:rsid w:val="65466BDA"/>
    <w:rsid w:val="655E2FF8"/>
    <w:rsid w:val="65726623"/>
    <w:rsid w:val="65753AF2"/>
    <w:rsid w:val="657A5CEE"/>
    <w:rsid w:val="659D27A2"/>
    <w:rsid w:val="65BA7C51"/>
    <w:rsid w:val="65E21C88"/>
    <w:rsid w:val="661E0E6E"/>
    <w:rsid w:val="6643305A"/>
    <w:rsid w:val="664B0AEB"/>
    <w:rsid w:val="664E6051"/>
    <w:rsid w:val="66721D70"/>
    <w:rsid w:val="66817794"/>
    <w:rsid w:val="66954A14"/>
    <w:rsid w:val="66996902"/>
    <w:rsid w:val="669C2C6E"/>
    <w:rsid w:val="669D51F2"/>
    <w:rsid w:val="66A84C68"/>
    <w:rsid w:val="670D0ADC"/>
    <w:rsid w:val="672A14EE"/>
    <w:rsid w:val="672A527A"/>
    <w:rsid w:val="674468F2"/>
    <w:rsid w:val="67525CE9"/>
    <w:rsid w:val="67600DEC"/>
    <w:rsid w:val="67626C08"/>
    <w:rsid w:val="67694B6F"/>
    <w:rsid w:val="67BF2499"/>
    <w:rsid w:val="67CE5A52"/>
    <w:rsid w:val="67D46CBE"/>
    <w:rsid w:val="67D5553E"/>
    <w:rsid w:val="67FB6AF8"/>
    <w:rsid w:val="681D33E8"/>
    <w:rsid w:val="68273E23"/>
    <w:rsid w:val="683C36CD"/>
    <w:rsid w:val="686C1BB7"/>
    <w:rsid w:val="68717FC0"/>
    <w:rsid w:val="688F28C6"/>
    <w:rsid w:val="689204D6"/>
    <w:rsid w:val="6892571D"/>
    <w:rsid w:val="68931A71"/>
    <w:rsid w:val="68B8502B"/>
    <w:rsid w:val="68C25076"/>
    <w:rsid w:val="68F9345B"/>
    <w:rsid w:val="690C73C1"/>
    <w:rsid w:val="690E470A"/>
    <w:rsid w:val="69145543"/>
    <w:rsid w:val="69455631"/>
    <w:rsid w:val="69505908"/>
    <w:rsid w:val="69511D7C"/>
    <w:rsid w:val="69667239"/>
    <w:rsid w:val="698F63A7"/>
    <w:rsid w:val="69AF334E"/>
    <w:rsid w:val="69B20BA4"/>
    <w:rsid w:val="69B338D7"/>
    <w:rsid w:val="69D03A62"/>
    <w:rsid w:val="69E61A81"/>
    <w:rsid w:val="6A0B4A62"/>
    <w:rsid w:val="6A1E4169"/>
    <w:rsid w:val="6A272C44"/>
    <w:rsid w:val="6A3527AF"/>
    <w:rsid w:val="6A4A53D9"/>
    <w:rsid w:val="6A4C1F16"/>
    <w:rsid w:val="6A584D82"/>
    <w:rsid w:val="6AB328DD"/>
    <w:rsid w:val="6AC53309"/>
    <w:rsid w:val="6ADF6EF1"/>
    <w:rsid w:val="6AE063B8"/>
    <w:rsid w:val="6B1D7C10"/>
    <w:rsid w:val="6B326C6E"/>
    <w:rsid w:val="6B59680C"/>
    <w:rsid w:val="6B5B4C25"/>
    <w:rsid w:val="6B82310F"/>
    <w:rsid w:val="6B9955C4"/>
    <w:rsid w:val="6BA50FBC"/>
    <w:rsid w:val="6BA94B6C"/>
    <w:rsid w:val="6BBE23AC"/>
    <w:rsid w:val="6BC9393A"/>
    <w:rsid w:val="6BC965DC"/>
    <w:rsid w:val="6BD05FE0"/>
    <w:rsid w:val="6C15278F"/>
    <w:rsid w:val="6C192C77"/>
    <w:rsid w:val="6C247FF2"/>
    <w:rsid w:val="6C5A37E8"/>
    <w:rsid w:val="6C680B1C"/>
    <w:rsid w:val="6C6830AB"/>
    <w:rsid w:val="6CA35071"/>
    <w:rsid w:val="6CA958D9"/>
    <w:rsid w:val="6CAA2244"/>
    <w:rsid w:val="6D176C50"/>
    <w:rsid w:val="6D635ECF"/>
    <w:rsid w:val="6D6B1A32"/>
    <w:rsid w:val="6D830976"/>
    <w:rsid w:val="6D8D1556"/>
    <w:rsid w:val="6D9C47D4"/>
    <w:rsid w:val="6D9D362B"/>
    <w:rsid w:val="6DA878E5"/>
    <w:rsid w:val="6DB3004E"/>
    <w:rsid w:val="6DC64084"/>
    <w:rsid w:val="6DD04789"/>
    <w:rsid w:val="6DD652A5"/>
    <w:rsid w:val="6DDA18E4"/>
    <w:rsid w:val="6DE31FA4"/>
    <w:rsid w:val="6DEF27A5"/>
    <w:rsid w:val="6DF1004A"/>
    <w:rsid w:val="6DF76419"/>
    <w:rsid w:val="6E2E21AD"/>
    <w:rsid w:val="6E5B527C"/>
    <w:rsid w:val="6E760AC8"/>
    <w:rsid w:val="6E865950"/>
    <w:rsid w:val="6E8B12C4"/>
    <w:rsid w:val="6E921DF4"/>
    <w:rsid w:val="6EA40439"/>
    <w:rsid w:val="6EB0714F"/>
    <w:rsid w:val="6F016BFE"/>
    <w:rsid w:val="6F257E2B"/>
    <w:rsid w:val="6F4902C7"/>
    <w:rsid w:val="6F74384E"/>
    <w:rsid w:val="6F7A1086"/>
    <w:rsid w:val="6F7D30C6"/>
    <w:rsid w:val="6F855C15"/>
    <w:rsid w:val="6F8C70D0"/>
    <w:rsid w:val="6FCD5F96"/>
    <w:rsid w:val="6FCD6A80"/>
    <w:rsid w:val="6FDF228C"/>
    <w:rsid w:val="6FEC6BA3"/>
    <w:rsid w:val="6FEE7509"/>
    <w:rsid w:val="701048BF"/>
    <w:rsid w:val="70255ADB"/>
    <w:rsid w:val="702A6418"/>
    <w:rsid w:val="70404FC8"/>
    <w:rsid w:val="70425707"/>
    <w:rsid w:val="70511DE4"/>
    <w:rsid w:val="70644806"/>
    <w:rsid w:val="706A34F7"/>
    <w:rsid w:val="70A44053"/>
    <w:rsid w:val="70B23DA1"/>
    <w:rsid w:val="70D42F6E"/>
    <w:rsid w:val="710B2E1E"/>
    <w:rsid w:val="71163A30"/>
    <w:rsid w:val="71326984"/>
    <w:rsid w:val="713B6F9B"/>
    <w:rsid w:val="7198751A"/>
    <w:rsid w:val="71A51555"/>
    <w:rsid w:val="71C56B06"/>
    <w:rsid w:val="71E276CC"/>
    <w:rsid w:val="7209211A"/>
    <w:rsid w:val="72424140"/>
    <w:rsid w:val="729E0354"/>
    <w:rsid w:val="72AA2B05"/>
    <w:rsid w:val="72C546A9"/>
    <w:rsid w:val="72EC7EF7"/>
    <w:rsid w:val="72F05E81"/>
    <w:rsid w:val="72FE1849"/>
    <w:rsid w:val="73150265"/>
    <w:rsid w:val="731B7C39"/>
    <w:rsid w:val="732E12B1"/>
    <w:rsid w:val="733D0A3C"/>
    <w:rsid w:val="734961CD"/>
    <w:rsid w:val="734F3E47"/>
    <w:rsid w:val="73902F8B"/>
    <w:rsid w:val="73C678FC"/>
    <w:rsid w:val="73C810E9"/>
    <w:rsid w:val="73CF37E0"/>
    <w:rsid w:val="73E867D3"/>
    <w:rsid w:val="73F02CE7"/>
    <w:rsid w:val="73F21569"/>
    <w:rsid w:val="7400632C"/>
    <w:rsid w:val="74281E02"/>
    <w:rsid w:val="7453209B"/>
    <w:rsid w:val="745C37D5"/>
    <w:rsid w:val="746D6EA6"/>
    <w:rsid w:val="74741EC6"/>
    <w:rsid w:val="74794AD2"/>
    <w:rsid w:val="74BE0F07"/>
    <w:rsid w:val="74C9150D"/>
    <w:rsid w:val="74D11297"/>
    <w:rsid w:val="74F77888"/>
    <w:rsid w:val="7503560E"/>
    <w:rsid w:val="750F1F5A"/>
    <w:rsid w:val="75236E65"/>
    <w:rsid w:val="752939A5"/>
    <w:rsid w:val="75373D85"/>
    <w:rsid w:val="755B23F0"/>
    <w:rsid w:val="756441E0"/>
    <w:rsid w:val="7569689C"/>
    <w:rsid w:val="759D43E0"/>
    <w:rsid w:val="75A738BE"/>
    <w:rsid w:val="75D13ED7"/>
    <w:rsid w:val="75E354AB"/>
    <w:rsid w:val="75FD0190"/>
    <w:rsid w:val="76001D27"/>
    <w:rsid w:val="76085DC1"/>
    <w:rsid w:val="76270C98"/>
    <w:rsid w:val="762E07D6"/>
    <w:rsid w:val="764D1C84"/>
    <w:rsid w:val="764D73DC"/>
    <w:rsid w:val="7659795A"/>
    <w:rsid w:val="76635F77"/>
    <w:rsid w:val="76676717"/>
    <w:rsid w:val="76912DA9"/>
    <w:rsid w:val="76BE2084"/>
    <w:rsid w:val="76C67A20"/>
    <w:rsid w:val="76F50806"/>
    <w:rsid w:val="76FA32E0"/>
    <w:rsid w:val="771072F6"/>
    <w:rsid w:val="77126D6C"/>
    <w:rsid w:val="777A7C3A"/>
    <w:rsid w:val="77A01607"/>
    <w:rsid w:val="77B40DE8"/>
    <w:rsid w:val="77B6655A"/>
    <w:rsid w:val="77D2431F"/>
    <w:rsid w:val="77FF4097"/>
    <w:rsid w:val="781E2A58"/>
    <w:rsid w:val="78295A57"/>
    <w:rsid w:val="782E504C"/>
    <w:rsid w:val="786C031B"/>
    <w:rsid w:val="787108B6"/>
    <w:rsid w:val="787B4D40"/>
    <w:rsid w:val="788D2861"/>
    <w:rsid w:val="78AE511E"/>
    <w:rsid w:val="78B80928"/>
    <w:rsid w:val="78C339EC"/>
    <w:rsid w:val="78C74108"/>
    <w:rsid w:val="78CD3E56"/>
    <w:rsid w:val="78D939E3"/>
    <w:rsid w:val="78EB6EB1"/>
    <w:rsid w:val="790421B5"/>
    <w:rsid w:val="791B599B"/>
    <w:rsid w:val="79374CE7"/>
    <w:rsid w:val="794319BF"/>
    <w:rsid w:val="7955353C"/>
    <w:rsid w:val="799035A9"/>
    <w:rsid w:val="79A53B2D"/>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008B3"/>
    <w:rsid w:val="7CA91F8C"/>
    <w:rsid w:val="7CAE0131"/>
    <w:rsid w:val="7CB876F9"/>
    <w:rsid w:val="7CC836D2"/>
    <w:rsid w:val="7D2D607C"/>
    <w:rsid w:val="7D4164FE"/>
    <w:rsid w:val="7D4E42B7"/>
    <w:rsid w:val="7D576356"/>
    <w:rsid w:val="7D617BDB"/>
    <w:rsid w:val="7D632F91"/>
    <w:rsid w:val="7D8173E7"/>
    <w:rsid w:val="7D8E5DA9"/>
    <w:rsid w:val="7D980DF8"/>
    <w:rsid w:val="7D9C6FEC"/>
    <w:rsid w:val="7DCC6265"/>
    <w:rsid w:val="7DE75339"/>
    <w:rsid w:val="7DEC6415"/>
    <w:rsid w:val="7E3F35A6"/>
    <w:rsid w:val="7E3F6376"/>
    <w:rsid w:val="7E57142B"/>
    <w:rsid w:val="7E602E99"/>
    <w:rsid w:val="7E71238B"/>
    <w:rsid w:val="7E867A69"/>
    <w:rsid w:val="7E8E2BAE"/>
    <w:rsid w:val="7E900D73"/>
    <w:rsid w:val="7ED1289E"/>
    <w:rsid w:val="7EF40520"/>
    <w:rsid w:val="7EF77DD6"/>
    <w:rsid w:val="7F171113"/>
    <w:rsid w:val="7F380987"/>
    <w:rsid w:val="7F3C7D4F"/>
    <w:rsid w:val="7F3F1296"/>
    <w:rsid w:val="7F4F614C"/>
    <w:rsid w:val="7F581501"/>
    <w:rsid w:val="7F805815"/>
    <w:rsid w:val="7F833067"/>
    <w:rsid w:val="7F8E2564"/>
    <w:rsid w:val="7F9A10F4"/>
    <w:rsid w:val="7FAE3319"/>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2018-11-07T13:55:00Z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