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2018-11-16</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4113"/>
        <w:gridCol w:w="110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411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108"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9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青松股份</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12.32</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13.06</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并购重组停牌</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69"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乔治白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减仓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default" w:asciiTheme="minorEastAsia" w:hAnsiTheme="minorEastAsia" w:cstheme="minorEastAsia"/>
                <w:b w:val="0"/>
                <w:i w:val="0"/>
                <w:color w:val="FF0000"/>
                <w:kern w:val="0"/>
                <w:sz w:val="21"/>
                <w:szCs w:val="21"/>
                <w:u w:val="none"/>
                <w:lang w:val="en-US" w:eastAsia="zh-CN" w:bidi="ar"/>
              </w:rPr>
              <w:t>6.50</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default" w:asciiTheme="minorEastAsia" w:hAnsiTheme="minorEastAsia" w:cstheme="minorEastAsia"/>
                <w:b w:val="0"/>
                <w:i w:val="0"/>
                <w:color w:val="FF0000"/>
                <w:kern w:val="0"/>
                <w:sz w:val="21"/>
                <w:szCs w:val="21"/>
                <w:u w:val="none"/>
                <w:lang w:val="en-US" w:eastAsia="zh-CN" w:bidi="ar"/>
              </w:rPr>
              <w:t>7.13</w:t>
            </w:r>
          </w:p>
        </w:tc>
        <w:tc>
          <w:tcPr>
            <w:tcW w:w="4113"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+5%卖出2000股，+10%卖出500%，估计超出boll上轨缩量涨停，周五不知道下周如何，获利减仓保留利润。也许操作错了，但是为了保住利润准换其他妖股。</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持仓500股，涨停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10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国海证券</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default" w:asciiTheme="minorEastAsia" w:hAnsiTheme="minorEastAsia" w:cstheme="minorEastAsia"/>
                <w:b w:val="0"/>
                <w:i w:val="0"/>
                <w:color w:val="FF0000"/>
                <w:kern w:val="0"/>
                <w:sz w:val="21"/>
                <w:szCs w:val="21"/>
                <w:u w:val="none"/>
                <w:lang w:val="en-US" w:eastAsia="zh-CN" w:bidi="ar"/>
              </w:rPr>
              <w:t>4.65</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default" w:asciiTheme="minorEastAsia" w:hAnsiTheme="minorEastAsia" w:cstheme="minorEastAsia"/>
                <w:b w:val="0"/>
                <w:i w:val="0"/>
                <w:color w:val="FF0000"/>
                <w:kern w:val="0"/>
                <w:sz w:val="21"/>
                <w:szCs w:val="21"/>
                <w:u w:val="none"/>
                <w:lang w:val="en-US" w:eastAsia="zh-CN" w:bidi="ar"/>
              </w:rPr>
              <w:t>5.31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下午K线形态呈现高位倒纺锤预示短期见顶形态。由于买入成本较高，为了避免亏损，清仓5000股，微利</w:t>
            </w:r>
            <w:r>
              <w:rPr>
                <w:rFonts w:hint="default" w:asciiTheme="minorEastAsia" w:hAnsiTheme="minorEastAsia" w:cstheme="minorEastAsia"/>
                <w:color w:val="FF0000"/>
                <w:sz w:val="21"/>
                <w:szCs w:val="21"/>
                <w:lang w:val="en-US" w:eastAsia="zh-CN"/>
              </w:rPr>
              <w:t>.</w:t>
            </w:r>
            <w:r>
              <w:rPr>
                <w:rFonts w:hint="eastAsia" w:asciiTheme="minorEastAsia" w:hAnsiTheme="minorEastAsia" w:cstheme="minorEastAsia"/>
                <w:color w:val="FF0000"/>
                <w:sz w:val="21"/>
                <w:szCs w:val="21"/>
                <w:lang w:val="en-US" w:eastAsia="zh-CN"/>
              </w:rPr>
              <w:t>等后面跌下来再买做T，减低拿货成本。</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阳光电源</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8.21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9.53</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前期超跌股，等待回踩不破缺口再起，破缺口止损</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持仓2500股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赫美集团</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9.88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11.22</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收敛形态，突破下降趋势线，今天出消息：引入重要股东，持股待涨</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持仓1200股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西陇科学</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7.01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8.21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超跌股，创投概念，持股待涨，涨停</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持仓1000股，涨停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粤泰股份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2.68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3.31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由于是地产板块不看好后市，包括题材。清仓止损</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清仓止损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长江投资</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8.30</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9.14</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上海自贸区版概念，由于领导人讲话版块3个最小市值容易涨停的股票，涨停</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持仓1500股</w:t>
            </w:r>
            <w:r>
              <w:rPr>
                <w:rFonts w:hint="eastAsia" w:asciiTheme="minorEastAsia" w:hAnsiTheme="minorEastAsia" w:cstheme="minorEastAsia"/>
                <w:color w:val="FF0000"/>
                <w:sz w:val="21"/>
                <w:szCs w:val="21"/>
                <w:lang w:val="en-US" w:eastAsia="zh-CN"/>
              </w:rPr>
              <w:t>，涨停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上海物贸</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10.14</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11.11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上海自贸区版概念，由于领导人讲话版块3个最小市值容易涨停的股票</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持仓2500股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华贸物流</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5.83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6.10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上海自贸区版概念，由于领导人讲话版块3个最小市值容易涨停的股票</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持仓3800股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张江高科</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17.88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19.99</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创投版块，闭着眼睛追</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持仓500股</w:t>
            </w:r>
            <w:r>
              <w:rPr>
                <w:rFonts w:hint="eastAsia" w:asciiTheme="minorEastAsia" w:hAnsiTheme="minorEastAsia" w:cstheme="minorEastAsia"/>
                <w:color w:val="FF0000"/>
                <w:sz w:val="21"/>
                <w:szCs w:val="21"/>
                <w:lang w:val="en-US" w:eastAsia="zh-CN"/>
              </w:rPr>
              <w:t>，涨停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10.11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芯片超跌股票，为下周做准备</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天华超净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9.41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10.42</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独角兽概念老牌妖股，为下周做准备</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持仓1600股</w:t>
            </w:r>
          </w:p>
        </w:tc>
      </w:tr>
    </w:tbl>
    <w:p>
      <w:pPr>
        <w:spacing w:line="240" w:lineRule="auto"/>
        <w:rPr>
          <w:lang w:val="en-US"/>
        </w:rPr>
      </w:pPr>
      <w:bookmarkStart w:id="0" w:name="7380-1536542303605"/>
      <w:bookmarkEnd w:id="0"/>
      <w:bookmarkStart w:id="1" w:name="9057-1536542303601"/>
      <w:bookmarkEnd w:id="1"/>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3</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r>
              <w:rPr>
                <w:rFonts w:hint="default"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default"/>
                <w:lang w:val="en-US" w:eastAsia="zh-CN"/>
              </w:rPr>
              <w:t>-300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default" w:ascii="微软雅黑" w:hAnsi="微软雅黑" w:eastAsia="微软雅黑" w:cs="微软雅黑"/>
                <w:b w:val="0"/>
                <w:i w:val="0"/>
                <w:color w:val="000000"/>
                <w:kern w:val="0"/>
                <w:sz w:val="21"/>
                <w:szCs w:val="21"/>
                <w:u w:val="none"/>
                <w:lang w:val="en-US" w:eastAsia="zh-CN" w:bidi="ar"/>
              </w:rPr>
              <w:t>-900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10</w:t>
            </w:r>
          </w:p>
        </w:tc>
        <w:tc>
          <w:tcPr>
            <w:tcW w:w="1111" w:type="dxa"/>
            <w:vAlign w:val="center"/>
          </w:tcPr>
          <w:p>
            <w:pPr>
              <w:keepNext w:val="0"/>
              <w:keepLines w:val="0"/>
              <w:widowControl/>
              <w:suppressLineNumbers w:val="0"/>
              <w:jc w:val="left"/>
              <w:rPr>
                <w:lang w:val="en-US"/>
              </w:rPr>
            </w:pPr>
            <w:r>
              <w:rPr>
                <w:rFonts w:hint="eastAsia"/>
                <w:lang w:val="en-US" w:eastAsia="zh-CN"/>
              </w:rPr>
              <w:t>7</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3</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7/3</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-300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6000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13</w:t>
            </w:r>
          </w:p>
        </w:tc>
        <w:tc>
          <w:tcPr>
            <w:tcW w:w="1111" w:type="dxa"/>
            <w:vAlign w:val="center"/>
          </w:tcPr>
          <w:p>
            <w:pPr>
              <w:keepNext w:val="0"/>
              <w:keepLines w:val="0"/>
              <w:widowControl/>
              <w:suppressLineNumbers w:val="0"/>
              <w:jc w:val="left"/>
              <w:rPr>
                <w:lang w:val="en-US"/>
              </w:rPr>
            </w:pPr>
            <w:r>
              <w:rPr>
                <w:rFonts w:hint="eastAsia"/>
                <w:lang w:val="en-US" w:eastAsia="zh-CN"/>
              </w:rPr>
              <w:t>7</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6</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7/6</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1000</w:t>
            </w:r>
          </w:p>
        </w:tc>
        <w:tc>
          <w:tcPr>
            <w:tcW w:w="1111" w:type="dxa"/>
            <w:vAlign w:val="center"/>
          </w:tcPr>
          <w:p>
            <w:pPr>
              <w:keepNext w:val="0"/>
              <w:keepLines w:val="0"/>
              <w:widowControl/>
              <w:suppressLineNumbers w:val="0"/>
              <w:jc w:val="left"/>
              <w:rPr>
                <w:lang w:val="en-US"/>
              </w:rPr>
            </w:pPr>
            <w:r>
              <w:rPr>
                <w:rFonts w:hint="eastAsia"/>
                <w:lang w:val="en-US" w:eastAsia="zh-CN"/>
              </w:rPr>
              <w:t>-200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5000</w:t>
            </w:r>
          </w:p>
        </w:tc>
      </w:tr>
    </w:tbl>
    <w:p>
      <w:pPr>
        <w:spacing w:line="240" w:lineRule="auto"/>
        <w:rPr>
          <w:rFonts w:ascii="微软雅黑" w:hAnsi="微软雅黑" w:eastAsia="微软雅黑" w:cs="微软雅黑"/>
          <w:b/>
          <w:sz w:val="22"/>
        </w:rPr>
      </w:pPr>
      <w:bookmarkStart w:id="2" w:name="2151-1536542303645"/>
      <w:bookmarkEnd w:id="2"/>
      <w:bookmarkStart w:id="3" w:name="8416-1536542303643"/>
      <w:bookmarkEnd w:id="3"/>
      <w:bookmarkStart w:id="4" w:name="1227-1536542303637"/>
      <w:bookmarkEnd w:id="4"/>
      <w:bookmarkStart w:id="5" w:name="3677-1536542303641"/>
      <w:bookmarkEnd w:id="5"/>
      <w:bookmarkStart w:id="6" w:name="1096-1536542303639"/>
      <w:bookmarkEnd w:id="6"/>
      <w:bookmarkStart w:id="7" w:name="2911-1536542303635"/>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收盘2679.11，+0.41%，成交额2050亿上升。创投、壳资源继续扩散发酵，独角兽开启新热点。上海自贸区借助上海创投版块开始叠加，在叠加上海国资改革，整个上海版块叠加开启。</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K线形态形成上升管道线，但是尾盘2个K线呈现下跌十字星，周一开盘有回踩需求，需要注意切换做T。</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融资融券开始连续多日提高20亿，开始关注：创投、壳资源、上海自贸区，独角兽等多个概念叠加+融资融券标的股票。</w:t>
      </w:r>
    </w:p>
    <w:p>
      <w:pPr>
        <w:numPr>
          <w:ilvl w:val="0"/>
          <w:numId w:val="0"/>
        </w:numPr>
        <w:spacing w:line="240" w:lineRule="auto"/>
        <w:ind w:left="105" w:leftChars="0"/>
      </w:pPr>
      <w:r>
        <w:drawing>
          <wp:inline distT="0" distB="0" distL="114300" distR="114300">
            <wp:extent cx="5270500" cy="2272030"/>
            <wp:effectExtent l="0" t="0" r="635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272030"/>
                    </a:xfrm>
                    <a:prstGeom prst="rect">
                      <a:avLst/>
                    </a:prstGeom>
                    <a:noFill/>
                    <a:ln w="9525">
                      <a:noFill/>
                    </a:ln>
                  </pic:spPr>
                </pic:pic>
              </a:graphicData>
            </a:graphic>
          </wp:inline>
        </w:drawing>
      </w:r>
    </w:p>
    <w:p>
      <w:pPr>
        <w:numPr>
          <w:ilvl w:val="0"/>
          <w:numId w:val="0"/>
        </w:numPr>
        <w:spacing w:line="240" w:lineRule="auto"/>
        <w:ind w:left="105" w:leftChars="0"/>
        <w:rPr>
          <w:rFonts w:hint="eastAsia" w:asciiTheme="minorEastAsia" w:hAnsiTheme="minorEastAsia" w:cstheme="minorEastAsia"/>
          <w:sz w:val="21"/>
          <w:szCs w:val="21"/>
          <w:lang w:val="en-US" w:eastAsia="zh-CN"/>
        </w:rPr>
      </w:pPr>
    </w:p>
    <w:p>
      <w:pPr>
        <w:numPr>
          <w:ilvl w:val="0"/>
          <w:numId w:val="0"/>
        </w:numPr>
        <w:spacing w:line="240" w:lineRule="auto"/>
        <w:ind w:left="105" w:leftChars="0"/>
        <w:rPr>
          <w:rFonts w:hint="eastAsia" w:asciiTheme="minorEastAsia" w:hAnsiTheme="minorEastAsia" w:cstheme="minorEastAsia"/>
          <w:sz w:val="21"/>
          <w:szCs w:val="21"/>
          <w:lang w:val="en-US" w:eastAsia="zh-CN"/>
        </w:rPr>
      </w:pPr>
    </w:p>
    <w:p>
      <w:pPr>
        <w:numPr>
          <w:ilvl w:val="0"/>
          <w:numId w:val="0"/>
        </w:numPr>
        <w:spacing w:line="240" w:lineRule="auto"/>
        <w:rPr>
          <w:rFonts w:hint="eastAsia"/>
          <w:lang w:val="en-US" w:eastAsia="zh-CN"/>
        </w:rPr>
      </w:pPr>
      <w:r>
        <w:rPr>
          <w:rFonts w:hint="eastAsia"/>
          <w:lang w:val="en-US" w:eastAsia="zh-CN"/>
        </w:rPr>
        <w:t>2. 上证50：2461.44，+0.09%</w:t>
      </w:r>
    </w:p>
    <w:p>
      <w:pPr>
        <w:numPr>
          <w:ilvl w:val="0"/>
          <w:numId w:val="2"/>
        </w:numPr>
        <w:spacing w:line="240" w:lineRule="auto"/>
        <w:rPr>
          <w:rFonts w:hint="eastAsia"/>
          <w:lang w:val="en-US" w:eastAsia="zh-CN"/>
        </w:rPr>
      </w:pPr>
      <w:r>
        <w:rPr>
          <w:rFonts w:hint="eastAsia"/>
          <w:lang w:val="en-US" w:eastAsia="zh-CN"/>
        </w:rPr>
        <w:t xml:space="preserve">港股：26183.53，+0.31% </w:t>
      </w:r>
    </w:p>
    <w:p>
      <w:pPr>
        <w:numPr>
          <w:ilvl w:val="0"/>
          <w:numId w:val="2"/>
        </w:numPr>
        <w:spacing w:line="240" w:lineRule="auto"/>
        <w:rPr>
          <w:rFonts w:hint="eastAsia"/>
          <w:lang w:val="en-US" w:eastAsia="zh-CN"/>
        </w:rPr>
      </w:pPr>
      <w:r>
        <w:rPr>
          <w:rFonts w:hint="eastAsia"/>
          <w:lang w:val="en-US" w:eastAsia="zh-CN"/>
        </w:rPr>
        <w:t>人民币： 6.9214，-75基点</w:t>
      </w:r>
    </w:p>
    <w:p>
      <w:pPr>
        <w:numPr>
          <w:ilvl w:val="0"/>
          <w:numId w:val="2"/>
        </w:numPr>
        <w:spacing w:line="240" w:lineRule="auto"/>
        <w:rPr>
          <w:rFonts w:hint="eastAsia"/>
          <w:lang w:val="en-US" w:eastAsia="zh-CN"/>
        </w:rPr>
      </w:pPr>
      <w:r>
        <w:rPr>
          <w:rFonts w:hint="eastAsia"/>
          <w:lang w:val="en-US" w:eastAsia="zh-CN"/>
        </w:rPr>
        <w:t>GC001：2.780，+5.50%</w:t>
      </w:r>
    </w:p>
    <w:p>
      <w:pPr>
        <w:numPr>
          <w:ilvl w:val="0"/>
          <w:numId w:val="2"/>
        </w:numPr>
        <w:spacing w:line="240" w:lineRule="auto"/>
        <w:rPr>
          <w:rFonts w:hint="eastAsia"/>
          <w:lang w:val="en-US" w:eastAsia="zh-CN"/>
        </w:rPr>
      </w:pPr>
      <w:r>
        <w:rPr>
          <w:rFonts w:hint="eastAsia"/>
          <w:lang w:val="en-US" w:eastAsia="zh-CN"/>
        </w:rPr>
        <w:t>融资融券余额：7776亿，</w:t>
      </w:r>
      <w:r>
        <w:rPr>
          <w:rFonts w:hint="eastAsia"/>
          <w:color w:val="FF0000"/>
          <w:lang w:val="en-US" w:eastAsia="zh-CN"/>
        </w:rPr>
        <w:t>+20.06</w:t>
      </w:r>
      <w:r>
        <w:rPr>
          <w:rFonts w:hint="eastAsia"/>
          <w:lang w:val="en-US" w:eastAsia="zh-CN"/>
        </w:rPr>
        <w:t>亿</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【宏观要闻】</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证监会发布“商誉减值”的会计监管风险提示</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证监会16日发布第8号会计监管提示称，按照《企业会计准则第20号——企业合并》的规定，在非同一控制下的企业合并中，购买方对合并成本大于合并中取得的被购买方可辨认净资产公允价值份额的差额，应当确认为商誉。在实务操作中，公司在商誉初始确认环节，往往存在合并成本计量错误(如未考虑或恰当考虑应计入合并成本中的或有对价)、未充分识别被购买方拥有但未在单独报表中确认的可辨认资产和负债(如合同权益、客户关系、未决诉讼、担保)等问题。相应地，会计师事务所在执业时，容易出现专业胜任能力不足、利用专家工作的审计程序执行不到位、未恰当识别公司前述不当会计处理等问题；资产评估机构在执业时，通常存在评估基准日选择不恰当、评估对象及评估范围确定不合理、评估目的及评估价值类型不匹配等问题。</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color w:val="FF0000"/>
          <w:lang w:val="en-US" w:eastAsia="zh-CN"/>
        </w:rPr>
      </w:pPr>
      <w:r>
        <w:rPr>
          <w:rFonts w:hint="eastAsia"/>
          <w:color w:val="FF0000"/>
          <w:lang w:val="en-US" w:eastAsia="zh-CN"/>
        </w:rPr>
        <w:t>证监会修订发布发行股票并购重组相关内容规定 不再强制要求披露交易标的预估值</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证监会新闻发言人表示，证监会修订发布发行股票并购重组相关内容规定，其中包括不再强制要求披露交易标的预估值，方便并购双方展开交易对话。</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color w:val="FF0000"/>
          <w:lang w:val="en-US" w:eastAsia="zh-CN"/>
        </w:rPr>
      </w:pPr>
      <w:r>
        <w:rPr>
          <w:rFonts w:hint="eastAsia"/>
          <w:color w:val="FF0000"/>
          <w:lang w:val="en-US" w:eastAsia="zh-CN"/>
        </w:rPr>
        <w:t>央行：落实好精准调控和信贷政策要求 大力支持民营和小微企业发展</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央行于11月15日召开金融机构货币信贷形势分析座谈会。会议指出，针对部分企业仍面临的融资难、融资贵问题，金融部门要主动担当，及时采取有效措施，合理规划信贷投放的节奏和力度，为经济平稳运行创造良好的金融环境。易纲在总结中强调，要坚持“两个毫不动摇”，切实贯彻落实好精准调控和信贷政策要求，大力支持民营和小微企业发展。今年以来，在党中央、国务院正确领导下，人民银行采取了一系列政策措施，通过信贷、债券、股权“三支箭”，有力支持实体经济。金融机构要深入领会政策意图，用好、用足这些正向激励措施，进一步加大对民营和小微企业的金融支持，并保持其商业可持续性。</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【资讯快报】</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证券基金行业首席经济学家发出自律倡议</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沪伦通上线在即 标的大概率下月初公布</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新华时评：办幼儿园不是为了发财的</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油价大降创近4年之最 汽油每吨将下调510元、柴油每吨将下调490元</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公众号注册数量调整：个人上限1个 企业上限2个</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发改委：2019年小麦最低收购价格为每50公斤112元</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交易所会商科创板制度设计 保荐机构或自掏腰包认购新股</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银隆新能源：将通过法律手段挽回损失 司法机关已于10月受理相关案件</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财政部：加快对政府投资基金、PPP等各项政府投融资活动实施绩效管理</w:t>
      </w:r>
    </w:p>
    <w:p>
      <w:pPr>
        <w:widowControl w:val="0"/>
        <w:numPr>
          <w:ilvl w:val="0"/>
          <w:numId w:val="0"/>
        </w:numPr>
        <w:tabs>
          <w:tab w:val="left" w:pos="312"/>
        </w:tabs>
        <w:spacing w:line="240" w:lineRule="auto"/>
        <w:jc w:val="both"/>
        <w:rPr>
          <w:rFonts w:hint="eastAsia"/>
          <w:color w:val="00B050"/>
          <w:lang w:val="en-US" w:eastAsia="zh-CN"/>
        </w:rPr>
      </w:pPr>
      <w:r>
        <w:rPr>
          <w:rFonts w:hint="eastAsia"/>
          <w:color w:val="00B050"/>
          <w:lang w:val="en-US" w:eastAsia="zh-CN"/>
        </w:rPr>
        <w:t>证监会对2宗市场操纵案件作出行政处罚</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【增减持】</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顺络电子(002138)：拟以1亿元-2亿元回购股份</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信隆健康(002105)：拟1100万元至2200万元回购股份</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康力电梯(002367)：拟以0.6亿元-1.2亿元回购股份</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海亮股份(002203)：拟以5亿元-10亿元回购股份</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三垒股份(002621)：控股股东拟增持不超303万股</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慈文传媒(002343)：控股股东一致人违规减持 致歉后拟继续减持</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传化智联(002010)：长安财富资管拟减持不超5.35%</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方大特钢(600507)：实控人方威拟减持不超2%股份</w:t>
      </w:r>
    </w:p>
    <w:p>
      <w:pPr>
        <w:widowControl w:val="0"/>
        <w:numPr>
          <w:ilvl w:val="0"/>
          <w:numId w:val="0"/>
        </w:numPr>
        <w:tabs>
          <w:tab w:val="left" w:pos="312"/>
        </w:tabs>
        <w:spacing w:line="240" w:lineRule="auto"/>
        <w:jc w:val="both"/>
        <w:rPr>
          <w:rFonts w:hint="eastAsia"/>
          <w:color w:val="00B050"/>
          <w:lang w:val="en-US" w:eastAsia="zh-CN"/>
        </w:rPr>
      </w:pPr>
      <w:r>
        <w:rPr>
          <w:rFonts w:hint="eastAsia"/>
          <w:color w:val="00B050"/>
          <w:lang w:val="en-US" w:eastAsia="zh-CN"/>
        </w:rPr>
        <w:t>恒立实业(000622)：持股7.3%股东长城资管拟6个月内减持不超2.31%公司股份</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九典制药(300705)：旺典投资计划减持不超3%股份</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【利好公告】</w:t>
      </w:r>
    </w:p>
    <w:p>
      <w:pPr>
        <w:widowControl w:val="0"/>
        <w:numPr>
          <w:ilvl w:val="0"/>
          <w:numId w:val="0"/>
        </w:numPr>
        <w:tabs>
          <w:tab w:val="left" w:pos="312"/>
        </w:tabs>
        <w:spacing w:line="240" w:lineRule="auto"/>
        <w:jc w:val="both"/>
        <w:rPr>
          <w:rFonts w:hint="eastAsia"/>
          <w:color w:val="FF0000"/>
          <w:lang w:val="en-US" w:eastAsia="zh-CN"/>
        </w:rPr>
      </w:pPr>
      <w:r>
        <w:rPr>
          <w:rFonts w:hint="eastAsia"/>
          <w:color w:val="FF0000"/>
          <w:lang w:val="en-US" w:eastAsia="zh-CN"/>
        </w:rPr>
        <w:t>海南海药(000566)：央企20亿增资控股股东 实控人变更</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洪城水业(600461)：南昌水价上调 预计明年增收1.4亿</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飞乐音响(600651)：仪电集团向公司提供1.5亿元财务资助</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永福股份(300712)：预中标2495万元项目</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江河集团(601886)：中标2.38亿元幕墙工程项目</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风范股份(601700)：预中标约3亿元南方电网采购项目</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三星医疗(601567)：预中标2.75亿元国网采购项目</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【利空公告】</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宝塔实业(000595)：公安机关通报公司实际控制人孙珩超涉嫌刑事犯罪</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天翔环境(300362)：累计逾期债务合计约10.8亿元</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【中性公告】</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中国电建(601669)：前10月新签合同额3964亿元 同比增3%</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建设银行(601939)：拟出资不超150亿元投资设立建信理财有限责任公司</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隆平高科(000998)：大股东中信兴业、中信建设拟向中信农业转让15.43%股份</w:t>
      </w:r>
    </w:p>
    <w:p>
      <w:pPr>
        <w:widowControl w:val="0"/>
        <w:numPr>
          <w:ilvl w:val="0"/>
          <w:numId w:val="0"/>
        </w:numPr>
        <w:tabs>
          <w:tab w:val="left" w:pos="312"/>
        </w:tabs>
        <w:spacing w:line="240" w:lineRule="auto"/>
        <w:jc w:val="both"/>
        <w:rPr>
          <w:rFonts w:hint="eastAsia"/>
          <w:lang w:val="en-US" w:eastAsia="zh-CN"/>
        </w:rPr>
      </w:pP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auto"/>
          <w:lang w:val="en-US" w:eastAsia="zh-CN"/>
        </w:rPr>
      </w:pPr>
      <w:r>
        <w:rPr>
          <w:rFonts w:hint="eastAsia"/>
          <w:strike w:val="0"/>
          <w:dstrike w:val="0"/>
          <w:color w:val="auto"/>
          <w:lang w:val="en-US" w:eastAsia="zh-CN"/>
        </w:rPr>
        <w:t>11-14日关注股票：</w:t>
      </w:r>
    </w:p>
    <w:p>
      <w:pPr>
        <w:spacing w:line="240" w:lineRule="auto"/>
        <w:rPr>
          <w:rFonts w:hint="eastAsia"/>
          <w:strike w:val="0"/>
          <w:dstrike w:val="0"/>
          <w:color w:val="00B050"/>
          <w:lang w:val="en-US" w:eastAsia="zh-CN"/>
        </w:rPr>
      </w:pPr>
      <w:r>
        <w:rPr>
          <w:rFonts w:hint="eastAsia"/>
          <w:strike w:val="0"/>
          <w:dstrike w:val="0"/>
          <w:color w:val="FF0000"/>
          <w:lang w:val="en-US" w:eastAsia="zh-CN"/>
        </w:rPr>
        <w:t>乔治白（+10.00%）</w:t>
      </w:r>
      <w:r>
        <w:rPr>
          <w:rFonts w:hint="eastAsia"/>
          <w:strike w:val="0"/>
          <w:dstrike w:val="0"/>
          <w:color w:val="00B050"/>
          <w:lang w:val="en-US" w:eastAsia="zh-CN"/>
        </w:rPr>
        <w:t>，国海证券加仓做T，阳光电源开盘集合竞价买入建仓。</w:t>
      </w:r>
    </w:p>
    <w:p>
      <w:pPr>
        <w:spacing w:line="240" w:lineRule="auto"/>
        <w:rPr>
          <w:rFonts w:hint="eastAsia"/>
          <w:strike w:val="0"/>
          <w:dstrike w:val="0"/>
          <w:color w:val="00B050"/>
          <w:lang w:val="en-US" w:eastAsia="zh-CN"/>
        </w:rPr>
      </w:pPr>
      <w:r>
        <w:rPr>
          <w:rFonts w:hint="eastAsia"/>
          <w:strike w:val="0"/>
          <w:dstrike w:val="0"/>
          <w:color w:val="00B050"/>
          <w:lang w:val="en-US" w:eastAsia="zh-CN"/>
        </w:rPr>
        <w:t>早盘低位减仓，下午大盘下跌被套-1.5%</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11-15日关注股票：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光洋股票（+10.0</w:t>
      </w:r>
      <w:r>
        <w:rPr>
          <w:rFonts w:hint="default"/>
          <w:strike w:val="0"/>
          <w:dstrike w:val="0"/>
          <w:color w:val="FF0000"/>
          <w:lang w:val="en-US" w:eastAsia="zh-CN"/>
        </w:rPr>
        <w:t>6</w:t>
      </w:r>
      <w:r>
        <w:rPr>
          <w:rFonts w:hint="eastAsia"/>
          <w:strike w:val="0"/>
          <w:dstrike w:val="0"/>
          <w:color w:val="FF0000"/>
          <w:lang w:val="en-US" w:eastAsia="zh-CN"/>
        </w:rPr>
        <w:t>%）</w:t>
      </w:r>
      <w:r>
        <w:rPr>
          <w:rFonts w:hint="eastAsia"/>
          <w:strike w:val="0"/>
          <w:dstrike w:val="0"/>
          <w:color w:val="auto"/>
          <w:lang w:val="en-US" w:eastAsia="zh-CN"/>
        </w:rPr>
        <w:t>、</w:t>
      </w:r>
      <w:r>
        <w:rPr>
          <w:rFonts w:hint="eastAsia"/>
          <w:strike w:val="0"/>
          <w:dstrike w:val="0"/>
          <w:color w:val="FF0000"/>
          <w:lang w:val="en-US" w:eastAsia="zh-CN"/>
        </w:rPr>
        <w:t>国际实业</w:t>
      </w:r>
      <w:r>
        <w:rPr>
          <w:rFonts w:hint="default"/>
          <w:strike w:val="0"/>
          <w:dstrike w:val="0"/>
          <w:color w:val="FF0000"/>
          <w:lang w:val="en-US" w:eastAsia="zh-CN"/>
        </w:rPr>
        <w:t>(+7.50%)</w:t>
      </w:r>
      <w:r>
        <w:rPr>
          <w:rFonts w:hint="eastAsia"/>
          <w:strike w:val="0"/>
          <w:dstrike w:val="0"/>
          <w:color w:val="auto"/>
          <w:lang w:val="en-US" w:eastAsia="zh-CN"/>
        </w:rPr>
        <w:t>、</w:t>
      </w:r>
      <w:r>
        <w:rPr>
          <w:rFonts w:hint="eastAsia"/>
          <w:strike w:val="0"/>
          <w:dstrike w:val="0"/>
          <w:color w:val="FF0000"/>
          <w:lang w:val="en-US" w:eastAsia="zh-CN"/>
        </w:rPr>
        <w:t>德美化工</w:t>
      </w:r>
      <w:r>
        <w:rPr>
          <w:rFonts w:hint="default"/>
          <w:strike w:val="0"/>
          <w:dstrike w:val="0"/>
          <w:color w:val="FF0000"/>
          <w:lang w:val="en-US" w:eastAsia="zh-CN"/>
        </w:rPr>
        <w:t>(+2.06%)</w:t>
      </w:r>
      <w:r>
        <w:rPr>
          <w:rFonts w:hint="eastAsia"/>
          <w:strike w:val="0"/>
          <w:dstrike w:val="0"/>
          <w:color w:val="auto"/>
          <w:lang w:val="en-US" w:eastAsia="zh-CN"/>
        </w:rPr>
        <w:t>、</w:t>
      </w:r>
      <w:r>
        <w:rPr>
          <w:rFonts w:hint="eastAsia"/>
          <w:strike w:val="0"/>
          <w:dstrike w:val="0"/>
          <w:color w:val="FF0000"/>
          <w:lang w:val="en-US" w:eastAsia="zh-CN"/>
        </w:rPr>
        <w:t>赫美集团</w:t>
      </w:r>
      <w:r>
        <w:rPr>
          <w:rFonts w:hint="default"/>
          <w:strike w:val="0"/>
          <w:dstrike w:val="0"/>
          <w:color w:val="FF0000"/>
          <w:lang w:val="en-US" w:eastAsia="zh-CN"/>
        </w:rPr>
        <w:t>(+2.82%)</w:t>
      </w:r>
      <w:r>
        <w:rPr>
          <w:rFonts w:hint="eastAsia"/>
          <w:strike w:val="0"/>
          <w:dstrike w:val="0"/>
          <w:color w:val="auto"/>
          <w:lang w:val="en-US" w:eastAsia="zh-CN"/>
        </w:rPr>
        <w:t>、</w:t>
      </w:r>
      <w:r>
        <w:rPr>
          <w:rFonts w:hint="eastAsia"/>
          <w:strike w:val="0"/>
          <w:dstrike w:val="0"/>
          <w:color w:val="00B050"/>
          <w:lang w:val="en-US" w:eastAsia="zh-CN"/>
        </w:rPr>
        <w:t>康达新材</w:t>
      </w:r>
      <w:r>
        <w:rPr>
          <w:rFonts w:hint="default"/>
          <w:strike w:val="0"/>
          <w:dstrike w:val="0"/>
          <w:color w:val="00B050"/>
          <w:lang w:val="en-US" w:eastAsia="zh-CN"/>
        </w:rPr>
        <w:t>(-1.56)</w:t>
      </w:r>
      <w:r>
        <w:rPr>
          <w:rFonts w:hint="eastAsia"/>
          <w:strike w:val="0"/>
          <w:dstrike w:val="0"/>
          <w:color w:val="FF0000"/>
          <w:lang w:val="en-US" w:eastAsia="zh-CN"/>
        </w:rPr>
        <w:t>、博天环境</w:t>
      </w:r>
      <w:r>
        <w:rPr>
          <w:rFonts w:hint="default"/>
          <w:strike w:val="0"/>
          <w:dstrike w:val="0"/>
          <w:color w:val="FF0000"/>
          <w:lang w:val="en-US" w:eastAsia="zh-CN"/>
        </w:rPr>
        <w:t>(+1.52%)</w:t>
      </w:r>
      <w:r>
        <w:rPr>
          <w:rFonts w:hint="eastAsia"/>
          <w:strike w:val="0"/>
          <w:dstrike w:val="0"/>
          <w:color w:val="auto"/>
          <w:lang w:val="en-US" w:eastAsia="zh-CN"/>
        </w:rPr>
        <w:t>、</w:t>
      </w:r>
      <w:r>
        <w:rPr>
          <w:rFonts w:hint="eastAsia"/>
          <w:strike w:val="0"/>
          <w:dstrike w:val="0"/>
          <w:color w:val="FF0000"/>
          <w:lang w:val="en-US" w:eastAsia="zh-CN"/>
        </w:rPr>
        <w:t>西陇科学</w:t>
      </w:r>
      <w:r>
        <w:rPr>
          <w:rFonts w:hint="default"/>
          <w:strike w:val="0"/>
          <w:dstrike w:val="0"/>
          <w:color w:val="FF0000"/>
          <w:lang w:val="en-US" w:eastAsia="zh-CN"/>
        </w:rPr>
        <w:t>(+9.99%)</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11-1</w:t>
      </w:r>
      <w:r>
        <w:rPr>
          <w:rFonts w:hint="eastAsia"/>
          <w:strike w:val="0"/>
          <w:dstrike w:val="0"/>
          <w:color w:val="auto"/>
          <w:lang w:val="en-US" w:eastAsia="zh-CN"/>
        </w:rPr>
        <w:t>6 关注股票：</w:t>
      </w:r>
    </w:p>
    <w:p>
      <w:pPr>
        <w:spacing w:line="240" w:lineRule="auto"/>
        <w:rPr>
          <w:rFonts w:hint="eastAsia"/>
          <w:strike w:val="0"/>
          <w:dstrike w:val="0"/>
          <w:color w:val="00B050"/>
          <w:lang w:val="en-US" w:eastAsia="zh-CN"/>
        </w:rPr>
      </w:pPr>
      <w:r>
        <w:rPr>
          <w:rFonts w:hint="eastAsia"/>
          <w:strike w:val="0"/>
          <w:dstrike w:val="0"/>
          <w:color w:val="FF0000"/>
          <w:lang w:val="en-US" w:eastAsia="zh-CN"/>
        </w:rPr>
        <w:t>双林股份</w:t>
      </w:r>
      <w:r>
        <w:rPr>
          <w:rFonts w:hint="default"/>
          <w:strike w:val="0"/>
          <w:dstrike w:val="0"/>
          <w:color w:val="FF0000"/>
          <w:lang w:val="en-US" w:eastAsia="zh-CN"/>
        </w:rPr>
        <w:t>(+3.87%)</w:t>
      </w:r>
      <w:r>
        <w:rPr>
          <w:rFonts w:hint="eastAsia"/>
          <w:strike w:val="0"/>
          <w:dstrike w:val="0"/>
          <w:color w:val="FF0000"/>
          <w:lang w:val="en-US" w:eastAsia="zh-CN"/>
        </w:rPr>
        <w:t>（独角兽）、佳都科技</w:t>
      </w:r>
      <w:r>
        <w:rPr>
          <w:rFonts w:hint="default"/>
          <w:strike w:val="0"/>
          <w:dstrike w:val="0"/>
          <w:color w:val="FF0000"/>
          <w:lang w:val="en-US" w:eastAsia="zh-CN"/>
        </w:rPr>
        <w:t>(+4.62%)</w:t>
      </w:r>
      <w:r>
        <w:rPr>
          <w:rFonts w:hint="eastAsia"/>
          <w:strike w:val="0"/>
          <w:dstrike w:val="0"/>
          <w:color w:val="FF0000"/>
          <w:lang w:val="en-US" w:eastAsia="zh-CN"/>
        </w:rPr>
        <w:t>（独角兽+人工智能）、天华超净</w:t>
      </w:r>
      <w:r>
        <w:rPr>
          <w:rFonts w:hint="default"/>
          <w:strike w:val="0"/>
          <w:dstrike w:val="0"/>
          <w:color w:val="FF0000"/>
          <w:lang w:val="en-US" w:eastAsia="zh-CN"/>
        </w:rPr>
        <w:t>(+2.88%)</w:t>
      </w:r>
      <w:r>
        <w:rPr>
          <w:rFonts w:hint="eastAsia"/>
          <w:strike w:val="0"/>
          <w:dstrike w:val="0"/>
          <w:color w:val="FF0000"/>
          <w:lang w:val="en-US" w:eastAsia="zh-CN"/>
        </w:rPr>
        <w:t>（独角兽）、</w:t>
      </w:r>
      <w:r>
        <w:rPr>
          <w:rFonts w:hint="eastAsia"/>
          <w:strike w:val="0"/>
          <w:dstrike w:val="0"/>
          <w:color w:val="00B050"/>
          <w:lang w:val="en-US" w:eastAsia="zh-CN"/>
        </w:rPr>
        <w:t>麦达数字</w:t>
      </w:r>
      <w:r>
        <w:rPr>
          <w:rFonts w:hint="default"/>
          <w:strike w:val="0"/>
          <w:dstrike w:val="0"/>
          <w:color w:val="00B050"/>
          <w:lang w:val="en-US" w:eastAsia="zh-CN"/>
        </w:rPr>
        <w:t>(-0.81%)</w:t>
      </w:r>
      <w:r>
        <w:rPr>
          <w:rFonts w:hint="eastAsia"/>
          <w:strike w:val="0"/>
          <w:dstrike w:val="0"/>
          <w:color w:val="00B050"/>
          <w:lang w:val="en-US" w:eastAsia="zh-CN"/>
        </w:rPr>
        <w:t>（独角兽）</w:t>
      </w:r>
    </w:p>
    <w:p>
      <w:pPr>
        <w:spacing w:line="240" w:lineRule="auto"/>
        <w:rPr>
          <w:rFonts w:hint="eastAsia"/>
          <w:strike w:val="0"/>
          <w:dstrike w:val="0"/>
          <w:color w:val="FF0000"/>
          <w:lang w:val="en-US" w:eastAsia="zh-CN"/>
        </w:rPr>
      </w:pPr>
      <w:r>
        <w:rPr>
          <w:rFonts w:hint="eastAsia"/>
          <w:strike w:val="0"/>
          <w:dstrike w:val="0"/>
          <w:color w:val="FF0000"/>
          <w:lang w:val="en-US" w:eastAsia="zh-CN"/>
        </w:rPr>
        <w:t>鲁信创投</w:t>
      </w:r>
      <w:r>
        <w:rPr>
          <w:rFonts w:hint="default"/>
          <w:strike w:val="0"/>
          <w:dstrike w:val="0"/>
          <w:color w:val="FF0000"/>
          <w:lang w:val="en-US" w:eastAsia="zh-CN"/>
        </w:rPr>
        <w:t>(+9.99%)</w:t>
      </w:r>
      <w:r>
        <w:rPr>
          <w:rFonts w:hint="eastAsia"/>
          <w:strike w:val="0"/>
          <w:dstrike w:val="0"/>
          <w:color w:val="FF0000"/>
          <w:lang w:val="en-US" w:eastAsia="zh-CN"/>
        </w:rPr>
        <w:t>（创投）、九鼎投资</w:t>
      </w:r>
      <w:r>
        <w:rPr>
          <w:rFonts w:hint="default"/>
          <w:strike w:val="0"/>
          <w:dstrike w:val="0"/>
          <w:color w:val="FF0000"/>
          <w:lang w:val="en-US" w:eastAsia="zh-CN"/>
        </w:rPr>
        <w:t>(+10.01%)</w:t>
      </w:r>
      <w:r>
        <w:rPr>
          <w:rFonts w:hint="eastAsia"/>
          <w:strike w:val="0"/>
          <w:dstrike w:val="0"/>
          <w:color w:val="FF0000"/>
          <w:lang w:val="en-US" w:eastAsia="zh-CN"/>
        </w:rPr>
        <w:t>（创投）、</w:t>
      </w:r>
      <w:r>
        <w:rPr>
          <w:rFonts w:hint="eastAsia"/>
          <w:strike w:val="0"/>
          <w:dstrike w:val="0"/>
          <w:color w:val="FF0000"/>
          <w:lang w:val="en-US" w:eastAsia="zh-CN"/>
        </w:rPr>
        <w:t>西安旅游</w:t>
      </w:r>
      <w:r>
        <w:rPr>
          <w:rFonts w:hint="default"/>
          <w:strike w:val="0"/>
          <w:dstrike w:val="0"/>
          <w:color w:val="FF0000"/>
          <w:lang w:val="en-US" w:eastAsia="zh-CN"/>
        </w:rPr>
        <w:t>(+9.95%)</w:t>
      </w:r>
      <w:r>
        <w:rPr>
          <w:rFonts w:hint="eastAsia"/>
          <w:strike w:val="0"/>
          <w:dstrike w:val="0"/>
          <w:color w:val="FF0000"/>
          <w:lang w:val="en-US" w:eastAsia="zh-CN"/>
        </w:rPr>
        <w:t>（创投）、</w:t>
      </w:r>
      <w:r>
        <w:rPr>
          <w:rFonts w:hint="eastAsia"/>
          <w:strike w:val="0"/>
          <w:dstrike w:val="0"/>
          <w:color w:val="FF0000"/>
          <w:lang w:val="en-US" w:eastAsia="zh-CN"/>
        </w:rPr>
        <w:t>张江高科</w:t>
      </w:r>
      <w:r>
        <w:rPr>
          <w:rFonts w:hint="default"/>
          <w:strike w:val="0"/>
          <w:dstrike w:val="0"/>
          <w:color w:val="FF0000"/>
          <w:lang w:val="en-US" w:eastAsia="zh-CN"/>
        </w:rPr>
        <w:t>(+9.99%)</w:t>
      </w:r>
      <w:r>
        <w:rPr>
          <w:rFonts w:hint="eastAsia"/>
          <w:strike w:val="0"/>
          <w:dstrike w:val="0"/>
          <w:color w:val="FF0000"/>
          <w:lang w:val="en-US" w:eastAsia="zh-CN"/>
        </w:rPr>
        <w:t>（创投）、佳隆股份</w:t>
      </w:r>
      <w:r>
        <w:rPr>
          <w:rFonts w:hint="default"/>
          <w:strike w:val="0"/>
          <w:dstrike w:val="0"/>
          <w:color w:val="FF0000"/>
          <w:lang w:val="en-US" w:eastAsia="zh-CN"/>
        </w:rPr>
        <w:t>(+8.31%)</w:t>
      </w:r>
      <w:r>
        <w:rPr>
          <w:rFonts w:hint="eastAsia"/>
          <w:strike w:val="0"/>
          <w:dstrike w:val="0"/>
          <w:color w:val="FF0000"/>
          <w:lang w:val="en-US" w:eastAsia="zh-CN"/>
        </w:rPr>
        <w:t>（创投）、</w:t>
      </w:r>
    </w:p>
    <w:p>
      <w:pPr>
        <w:spacing w:line="240" w:lineRule="auto"/>
        <w:rPr>
          <w:rFonts w:hint="eastAsia"/>
          <w:strike w:val="0"/>
          <w:dstrike w:val="0"/>
          <w:color w:val="auto"/>
          <w:lang w:val="en-US" w:eastAsia="zh-CN"/>
        </w:rPr>
      </w:pPr>
      <w:r>
        <w:rPr>
          <w:rFonts w:hint="eastAsia"/>
          <w:strike w:val="0"/>
          <w:dstrike w:val="0"/>
          <w:color w:val="00B050"/>
          <w:lang w:val="en-US" w:eastAsia="zh-CN"/>
        </w:rPr>
        <w:t>万家乐</w:t>
      </w:r>
      <w:r>
        <w:rPr>
          <w:rFonts w:hint="default"/>
          <w:strike w:val="0"/>
          <w:dstrike w:val="0"/>
          <w:color w:val="00B050"/>
          <w:lang w:val="en-US" w:eastAsia="zh-CN"/>
        </w:rPr>
        <w:t>(-10.00%)</w:t>
      </w:r>
      <w:r>
        <w:rPr>
          <w:rFonts w:hint="eastAsia"/>
          <w:strike w:val="0"/>
          <w:dstrike w:val="0"/>
          <w:color w:val="00B050"/>
          <w:lang w:val="en-US" w:eastAsia="zh-CN"/>
        </w:rPr>
        <w:t>（壳资源）</w:t>
      </w:r>
      <w:r>
        <w:rPr>
          <w:rFonts w:hint="eastAsia"/>
          <w:strike w:val="0"/>
          <w:dstrike w:val="0"/>
          <w:color w:val="auto"/>
          <w:lang w:val="en-US" w:eastAsia="zh-CN"/>
        </w:rPr>
        <w:t>、</w:t>
      </w:r>
    </w:p>
    <w:p>
      <w:pPr>
        <w:spacing w:line="240" w:lineRule="auto"/>
        <w:rPr>
          <w:rFonts w:hint="eastAsia"/>
          <w:strike w:val="0"/>
          <w:dstrike w:val="0"/>
          <w:color w:val="auto"/>
          <w:lang w:val="en-US" w:eastAsia="zh-CN"/>
        </w:rPr>
      </w:pPr>
      <w:r>
        <w:rPr>
          <w:rFonts w:hint="eastAsia"/>
          <w:strike w:val="0"/>
          <w:dstrike w:val="0"/>
          <w:color w:val="00B050"/>
          <w:lang w:val="en-US" w:eastAsia="zh-CN"/>
        </w:rPr>
        <w:t>金财互联</w:t>
      </w:r>
      <w:r>
        <w:rPr>
          <w:rFonts w:hint="default"/>
          <w:strike w:val="0"/>
          <w:dstrike w:val="0"/>
          <w:color w:val="00B050"/>
          <w:lang w:val="en-US" w:eastAsia="zh-CN"/>
        </w:rPr>
        <w:t>(-0.43)</w:t>
      </w:r>
      <w:r>
        <w:rPr>
          <w:rFonts w:hint="eastAsia"/>
          <w:strike w:val="0"/>
          <w:dstrike w:val="0"/>
          <w:color w:val="00B050"/>
          <w:lang w:val="en-US" w:eastAsia="zh-CN"/>
        </w:rPr>
        <w:t>（区块链+筹码）</w:t>
      </w:r>
      <w:r>
        <w:rPr>
          <w:rFonts w:hint="eastAsia"/>
          <w:strike w:val="0"/>
          <w:dstrike w:val="0"/>
          <w:color w:val="auto"/>
          <w:lang w:val="en-US" w:eastAsia="zh-CN"/>
        </w:rPr>
        <w:t>、</w:t>
      </w:r>
      <w:r>
        <w:rPr>
          <w:rFonts w:hint="eastAsia"/>
          <w:strike w:val="0"/>
          <w:dstrike w:val="0"/>
          <w:color w:val="FF0000"/>
          <w:lang w:val="en-US" w:eastAsia="zh-CN"/>
        </w:rPr>
        <w:t>宣亚国际</w:t>
      </w:r>
      <w:r>
        <w:rPr>
          <w:rFonts w:hint="default"/>
          <w:strike w:val="0"/>
          <w:dstrike w:val="0"/>
          <w:color w:val="FF0000"/>
          <w:lang w:val="en-US" w:eastAsia="zh-CN"/>
        </w:rPr>
        <w:t>(+2.71%)</w:t>
      </w:r>
      <w:r>
        <w:rPr>
          <w:rFonts w:hint="eastAsia"/>
          <w:strike w:val="0"/>
          <w:dstrike w:val="0"/>
          <w:color w:val="auto"/>
          <w:lang w:val="en-US" w:eastAsia="zh-CN"/>
        </w:rPr>
        <w:t>（超跌+前期妖股）、</w:t>
      </w:r>
    </w:p>
    <w:p>
      <w:pPr>
        <w:spacing w:line="240" w:lineRule="auto"/>
        <w:rPr>
          <w:rFonts w:hint="default"/>
          <w:strike w:val="0"/>
          <w:dstrike w:val="0"/>
          <w:color w:val="FF0000"/>
          <w:lang w:val="en-US" w:eastAsia="zh-CN"/>
        </w:rPr>
      </w:pPr>
      <w:r>
        <w:rPr>
          <w:rFonts w:hint="eastAsia"/>
          <w:strike w:val="0"/>
          <w:dstrike w:val="0"/>
          <w:color w:val="FF0000"/>
          <w:lang w:val="en-US" w:eastAsia="zh-CN"/>
        </w:rPr>
        <w:t>上海自贸区</w:t>
      </w:r>
      <w:r>
        <w:rPr>
          <w:rFonts w:hint="default"/>
          <w:strike w:val="0"/>
          <w:dstrike w:val="0"/>
          <w:color w:val="FF0000"/>
          <w:lang w:val="en-US" w:eastAsia="zh-CN"/>
        </w:rPr>
        <w:t>:</w:t>
      </w:r>
      <w:r>
        <w:rPr>
          <w:rFonts w:hint="eastAsia"/>
          <w:strike w:val="0"/>
          <w:dstrike w:val="0"/>
          <w:color w:val="FF0000"/>
          <w:lang w:val="en-US" w:eastAsia="zh-CN"/>
        </w:rPr>
        <w:t>华贸物流</w:t>
      </w:r>
      <w:r>
        <w:rPr>
          <w:rFonts w:hint="default"/>
          <w:strike w:val="0"/>
          <w:dstrike w:val="0"/>
          <w:color w:val="FF0000"/>
          <w:lang w:val="en-US" w:eastAsia="zh-CN"/>
        </w:rPr>
        <w:t xml:space="preserve">(+4.55%) </w:t>
      </w:r>
      <w:r>
        <w:rPr>
          <w:rFonts w:hint="eastAsia"/>
          <w:strike w:val="0"/>
          <w:dstrike w:val="0"/>
          <w:color w:val="FF0000"/>
          <w:lang w:val="en-US" w:eastAsia="zh-CN"/>
        </w:rPr>
        <w:t>、长江投资</w:t>
      </w:r>
      <w:r>
        <w:rPr>
          <w:rFonts w:hint="default"/>
          <w:strike w:val="0"/>
          <w:dstrike w:val="0"/>
          <w:color w:val="FF0000"/>
          <w:lang w:val="en-US" w:eastAsia="zh-CN"/>
        </w:rPr>
        <w:t xml:space="preserve">(+10.01%) </w:t>
      </w:r>
      <w:r>
        <w:rPr>
          <w:rFonts w:hint="eastAsia"/>
          <w:strike w:val="0"/>
          <w:dstrike w:val="0"/>
          <w:color w:val="FF0000"/>
          <w:lang w:val="en-US" w:eastAsia="zh-CN"/>
        </w:rPr>
        <w:t>，上海物贸</w:t>
      </w:r>
      <w:r>
        <w:rPr>
          <w:rFonts w:hint="default"/>
          <w:strike w:val="0"/>
          <w:dstrike w:val="0"/>
          <w:color w:val="FF0000"/>
          <w:lang w:val="en-US" w:eastAsia="zh-CN"/>
        </w:rPr>
        <w:t xml:space="preserve"> (+4.55%)</w:t>
      </w:r>
    </w:p>
    <w:p>
      <w:pPr>
        <w:spacing w:line="240" w:lineRule="auto"/>
        <w:rPr>
          <w:rFonts w:hint="default"/>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11-19</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海南海药、兴民智通、</w:t>
      </w:r>
      <w:bookmarkStart w:id="14" w:name="_GoBack"/>
      <w:bookmarkEnd w:id="14"/>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61413"/>
    <w:rsid w:val="004D4197"/>
    <w:rsid w:val="0052221C"/>
    <w:rsid w:val="005863AF"/>
    <w:rsid w:val="006764BA"/>
    <w:rsid w:val="00697FC3"/>
    <w:rsid w:val="00901FB1"/>
    <w:rsid w:val="00A5753D"/>
    <w:rsid w:val="00C11855"/>
    <w:rsid w:val="00D3582F"/>
    <w:rsid w:val="00D575A0"/>
    <w:rsid w:val="00E66844"/>
    <w:rsid w:val="01056385"/>
    <w:rsid w:val="014F3B92"/>
    <w:rsid w:val="0152242D"/>
    <w:rsid w:val="01647B7E"/>
    <w:rsid w:val="016B2B40"/>
    <w:rsid w:val="017B05B5"/>
    <w:rsid w:val="01977FEF"/>
    <w:rsid w:val="01A5702C"/>
    <w:rsid w:val="0202356D"/>
    <w:rsid w:val="02450328"/>
    <w:rsid w:val="02586DBF"/>
    <w:rsid w:val="026A4625"/>
    <w:rsid w:val="026C250E"/>
    <w:rsid w:val="02840E6B"/>
    <w:rsid w:val="02873DC1"/>
    <w:rsid w:val="0290454C"/>
    <w:rsid w:val="0293307A"/>
    <w:rsid w:val="029B43B0"/>
    <w:rsid w:val="029F1E5F"/>
    <w:rsid w:val="02A41296"/>
    <w:rsid w:val="02A46468"/>
    <w:rsid w:val="02AB65D7"/>
    <w:rsid w:val="02D8702F"/>
    <w:rsid w:val="02E40250"/>
    <w:rsid w:val="02EA5F6C"/>
    <w:rsid w:val="03217E12"/>
    <w:rsid w:val="033B014F"/>
    <w:rsid w:val="03D77D11"/>
    <w:rsid w:val="03DA5A87"/>
    <w:rsid w:val="03DD087F"/>
    <w:rsid w:val="04032EE8"/>
    <w:rsid w:val="041C7DEF"/>
    <w:rsid w:val="04220426"/>
    <w:rsid w:val="044D03F6"/>
    <w:rsid w:val="04525AAA"/>
    <w:rsid w:val="0459341E"/>
    <w:rsid w:val="045F4CAA"/>
    <w:rsid w:val="04744B22"/>
    <w:rsid w:val="04962F92"/>
    <w:rsid w:val="04A21184"/>
    <w:rsid w:val="04A641E4"/>
    <w:rsid w:val="04AF28FE"/>
    <w:rsid w:val="04CE0549"/>
    <w:rsid w:val="04EE70BE"/>
    <w:rsid w:val="04F5092B"/>
    <w:rsid w:val="05016A5F"/>
    <w:rsid w:val="051801EF"/>
    <w:rsid w:val="05224B2F"/>
    <w:rsid w:val="05367AD1"/>
    <w:rsid w:val="055029FA"/>
    <w:rsid w:val="0563041F"/>
    <w:rsid w:val="056D0B52"/>
    <w:rsid w:val="05727E27"/>
    <w:rsid w:val="057E173A"/>
    <w:rsid w:val="058A71FF"/>
    <w:rsid w:val="058E3BE7"/>
    <w:rsid w:val="05996F7D"/>
    <w:rsid w:val="059F2277"/>
    <w:rsid w:val="05D61E65"/>
    <w:rsid w:val="05DB0C89"/>
    <w:rsid w:val="05F42636"/>
    <w:rsid w:val="05F71A0E"/>
    <w:rsid w:val="06253556"/>
    <w:rsid w:val="062C094E"/>
    <w:rsid w:val="062D1854"/>
    <w:rsid w:val="062F1F01"/>
    <w:rsid w:val="064F020B"/>
    <w:rsid w:val="06603F9C"/>
    <w:rsid w:val="066107E1"/>
    <w:rsid w:val="066C601E"/>
    <w:rsid w:val="067A6AFF"/>
    <w:rsid w:val="06915502"/>
    <w:rsid w:val="06944398"/>
    <w:rsid w:val="06B03E2C"/>
    <w:rsid w:val="06C0355F"/>
    <w:rsid w:val="06C47C16"/>
    <w:rsid w:val="06C51307"/>
    <w:rsid w:val="06D30ADE"/>
    <w:rsid w:val="06E62AE5"/>
    <w:rsid w:val="070A6F35"/>
    <w:rsid w:val="072646EC"/>
    <w:rsid w:val="07397C16"/>
    <w:rsid w:val="075B55B8"/>
    <w:rsid w:val="07794EF2"/>
    <w:rsid w:val="077C150C"/>
    <w:rsid w:val="078270AF"/>
    <w:rsid w:val="07945E37"/>
    <w:rsid w:val="07BF39C9"/>
    <w:rsid w:val="07DB23C7"/>
    <w:rsid w:val="07E848A7"/>
    <w:rsid w:val="07EB284F"/>
    <w:rsid w:val="08211EDF"/>
    <w:rsid w:val="082D6981"/>
    <w:rsid w:val="083D2004"/>
    <w:rsid w:val="084322AE"/>
    <w:rsid w:val="08447F53"/>
    <w:rsid w:val="084721DB"/>
    <w:rsid w:val="084C0D07"/>
    <w:rsid w:val="084F6707"/>
    <w:rsid w:val="085E77E3"/>
    <w:rsid w:val="08876327"/>
    <w:rsid w:val="08C5143D"/>
    <w:rsid w:val="08E30882"/>
    <w:rsid w:val="0912413A"/>
    <w:rsid w:val="091322CC"/>
    <w:rsid w:val="092B4110"/>
    <w:rsid w:val="092D0512"/>
    <w:rsid w:val="092F2F78"/>
    <w:rsid w:val="093670EF"/>
    <w:rsid w:val="09383AB9"/>
    <w:rsid w:val="093B7917"/>
    <w:rsid w:val="094F49CA"/>
    <w:rsid w:val="09740E46"/>
    <w:rsid w:val="097A36CE"/>
    <w:rsid w:val="098C590A"/>
    <w:rsid w:val="099853DA"/>
    <w:rsid w:val="09C162DD"/>
    <w:rsid w:val="09C3792A"/>
    <w:rsid w:val="09CC4828"/>
    <w:rsid w:val="09D47958"/>
    <w:rsid w:val="09E01E43"/>
    <w:rsid w:val="0A2A34C0"/>
    <w:rsid w:val="0A2C5CA0"/>
    <w:rsid w:val="0A400DBB"/>
    <w:rsid w:val="0A480728"/>
    <w:rsid w:val="0A493EF5"/>
    <w:rsid w:val="0A5C746A"/>
    <w:rsid w:val="0A647BE1"/>
    <w:rsid w:val="0A716325"/>
    <w:rsid w:val="0A895E24"/>
    <w:rsid w:val="0A8F079E"/>
    <w:rsid w:val="0A9A7F0F"/>
    <w:rsid w:val="0ABB4D30"/>
    <w:rsid w:val="0ACC444A"/>
    <w:rsid w:val="0AD31BA2"/>
    <w:rsid w:val="0AE838C3"/>
    <w:rsid w:val="0B034842"/>
    <w:rsid w:val="0B0E0B30"/>
    <w:rsid w:val="0B264614"/>
    <w:rsid w:val="0B3D7A93"/>
    <w:rsid w:val="0B3F4495"/>
    <w:rsid w:val="0B4F23A6"/>
    <w:rsid w:val="0B543CA0"/>
    <w:rsid w:val="0B5F4434"/>
    <w:rsid w:val="0B6B0302"/>
    <w:rsid w:val="0B75475E"/>
    <w:rsid w:val="0BA85F8D"/>
    <w:rsid w:val="0BF86B96"/>
    <w:rsid w:val="0BF95EDC"/>
    <w:rsid w:val="0C1A08F9"/>
    <w:rsid w:val="0C1A48EA"/>
    <w:rsid w:val="0C1E7508"/>
    <w:rsid w:val="0C212C19"/>
    <w:rsid w:val="0C2D340E"/>
    <w:rsid w:val="0C3D797C"/>
    <w:rsid w:val="0C3F4D9B"/>
    <w:rsid w:val="0C540529"/>
    <w:rsid w:val="0C6E045E"/>
    <w:rsid w:val="0C704B07"/>
    <w:rsid w:val="0C76654E"/>
    <w:rsid w:val="0C7F62D6"/>
    <w:rsid w:val="0C880409"/>
    <w:rsid w:val="0CAA6A0A"/>
    <w:rsid w:val="0CB44896"/>
    <w:rsid w:val="0CBB5F78"/>
    <w:rsid w:val="0CC12AEF"/>
    <w:rsid w:val="0CC46945"/>
    <w:rsid w:val="0CD013FA"/>
    <w:rsid w:val="0CE272BE"/>
    <w:rsid w:val="0D0B0DE6"/>
    <w:rsid w:val="0D2627E2"/>
    <w:rsid w:val="0D275AA8"/>
    <w:rsid w:val="0D441CB0"/>
    <w:rsid w:val="0D4C6DF5"/>
    <w:rsid w:val="0D5669F9"/>
    <w:rsid w:val="0D5A65C9"/>
    <w:rsid w:val="0D5E2687"/>
    <w:rsid w:val="0D6D7C9B"/>
    <w:rsid w:val="0D74757A"/>
    <w:rsid w:val="0D7578CB"/>
    <w:rsid w:val="0D773D75"/>
    <w:rsid w:val="0D7E4FD5"/>
    <w:rsid w:val="0D9B1CEC"/>
    <w:rsid w:val="0DBA54E4"/>
    <w:rsid w:val="0DE62585"/>
    <w:rsid w:val="0DFC5D75"/>
    <w:rsid w:val="0E0A098D"/>
    <w:rsid w:val="0E3F4767"/>
    <w:rsid w:val="0E43440D"/>
    <w:rsid w:val="0E4773A6"/>
    <w:rsid w:val="0E4B37F7"/>
    <w:rsid w:val="0E6924DC"/>
    <w:rsid w:val="0E8E7C5A"/>
    <w:rsid w:val="0E921C32"/>
    <w:rsid w:val="0E9F4838"/>
    <w:rsid w:val="0EA12E00"/>
    <w:rsid w:val="0EA52CBE"/>
    <w:rsid w:val="0EC44D5F"/>
    <w:rsid w:val="0EC71C3E"/>
    <w:rsid w:val="0ECE38A1"/>
    <w:rsid w:val="0ED86771"/>
    <w:rsid w:val="0EDE708A"/>
    <w:rsid w:val="0EF557A5"/>
    <w:rsid w:val="0EF95003"/>
    <w:rsid w:val="0F305A06"/>
    <w:rsid w:val="0F385D65"/>
    <w:rsid w:val="0F5A3C27"/>
    <w:rsid w:val="0F65121D"/>
    <w:rsid w:val="0F7B3097"/>
    <w:rsid w:val="0F905F80"/>
    <w:rsid w:val="0F9718D9"/>
    <w:rsid w:val="0FB54120"/>
    <w:rsid w:val="0FE75D85"/>
    <w:rsid w:val="0FEC709E"/>
    <w:rsid w:val="100B14A3"/>
    <w:rsid w:val="10214A7C"/>
    <w:rsid w:val="10260DF6"/>
    <w:rsid w:val="10266462"/>
    <w:rsid w:val="10295D8E"/>
    <w:rsid w:val="102A5E23"/>
    <w:rsid w:val="10603BF4"/>
    <w:rsid w:val="106415C5"/>
    <w:rsid w:val="107232DD"/>
    <w:rsid w:val="10766EF7"/>
    <w:rsid w:val="10771EFF"/>
    <w:rsid w:val="107A0C96"/>
    <w:rsid w:val="107A3DC8"/>
    <w:rsid w:val="10853902"/>
    <w:rsid w:val="108E1355"/>
    <w:rsid w:val="10956EEC"/>
    <w:rsid w:val="10AD53AA"/>
    <w:rsid w:val="10C528E9"/>
    <w:rsid w:val="10F71086"/>
    <w:rsid w:val="10FF109F"/>
    <w:rsid w:val="110D2812"/>
    <w:rsid w:val="110F72C1"/>
    <w:rsid w:val="11253F0D"/>
    <w:rsid w:val="112B250E"/>
    <w:rsid w:val="1132557E"/>
    <w:rsid w:val="11435115"/>
    <w:rsid w:val="114C1096"/>
    <w:rsid w:val="115724B6"/>
    <w:rsid w:val="117F785F"/>
    <w:rsid w:val="11804C89"/>
    <w:rsid w:val="119F149D"/>
    <w:rsid w:val="11A17BC3"/>
    <w:rsid w:val="11D65E05"/>
    <w:rsid w:val="11D86036"/>
    <w:rsid w:val="122020CC"/>
    <w:rsid w:val="1231010E"/>
    <w:rsid w:val="12450F97"/>
    <w:rsid w:val="124C637F"/>
    <w:rsid w:val="125C533A"/>
    <w:rsid w:val="12703CF2"/>
    <w:rsid w:val="129313C9"/>
    <w:rsid w:val="129F0628"/>
    <w:rsid w:val="12A42AB2"/>
    <w:rsid w:val="12A764BE"/>
    <w:rsid w:val="12AD4B2B"/>
    <w:rsid w:val="12F2076C"/>
    <w:rsid w:val="13155065"/>
    <w:rsid w:val="13264D6F"/>
    <w:rsid w:val="1333266D"/>
    <w:rsid w:val="13430B4B"/>
    <w:rsid w:val="134A614D"/>
    <w:rsid w:val="135A46F1"/>
    <w:rsid w:val="13626263"/>
    <w:rsid w:val="136F1A34"/>
    <w:rsid w:val="137E241C"/>
    <w:rsid w:val="138B4200"/>
    <w:rsid w:val="13CA5C4D"/>
    <w:rsid w:val="13D5185C"/>
    <w:rsid w:val="13D552EC"/>
    <w:rsid w:val="13EE15FA"/>
    <w:rsid w:val="14244DD5"/>
    <w:rsid w:val="14480A5A"/>
    <w:rsid w:val="144E3D48"/>
    <w:rsid w:val="14712FB7"/>
    <w:rsid w:val="14736B0B"/>
    <w:rsid w:val="14816B5F"/>
    <w:rsid w:val="14AA0805"/>
    <w:rsid w:val="14B72178"/>
    <w:rsid w:val="14C0137C"/>
    <w:rsid w:val="14E20D44"/>
    <w:rsid w:val="14EA5225"/>
    <w:rsid w:val="15120F09"/>
    <w:rsid w:val="15270E26"/>
    <w:rsid w:val="152869AA"/>
    <w:rsid w:val="15325154"/>
    <w:rsid w:val="157113EA"/>
    <w:rsid w:val="157C53E9"/>
    <w:rsid w:val="157F1CD1"/>
    <w:rsid w:val="15993577"/>
    <w:rsid w:val="159F78B9"/>
    <w:rsid w:val="15A0313A"/>
    <w:rsid w:val="15F10798"/>
    <w:rsid w:val="15F51D1C"/>
    <w:rsid w:val="160659D5"/>
    <w:rsid w:val="160B115C"/>
    <w:rsid w:val="161E6781"/>
    <w:rsid w:val="162C36C8"/>
    <w:rsid w:val="163E0050"/>
    <w:rsid w:val="1640732D"/>
    <w:rsid w:val="16430633"/>
    <w:rsid w:val="167B04FF"/>
    <w:rsid w:val="16961582"/>
    <w:rsid w:val="16A56FB2"/>
    <w:rsid w:val="16BB7F34"/>
    <w:rsid w:val="16BF0588"/>
    <w:rsid w:val="16BF1790"/>
    <w:rsid w:val="16C64BFD"/>
    <w:rsid w:val="16D84322"/>
    <w:rsid w:val="16EF1747"/>
    <w:rsid w:val="17007DC5"/>
    <w:rsid w:val="17026F67"/>
    <w:rsid w:val="170664EB"/>
    <w:rsid w:val="170F50AE"/>
    <w:rsid w:val="17186B97"/>
    <w:rsid w:val="171F7A92"/>
    <w:rsid w:val="17243AD4"/>
    <w:rsid w:val="173B32F0"/>
    <w:rsid w:val="174E190C"/>
    <w:rsid w:val="17710231"/>
    <w:rsid w:val="17816124"/>
    <w:rsid w:val="17821E79"/>
    <w:rsid w:val="179842AB"/>
    <w:rsid w:val="17C32C1C"/>
    <w:rsid w:val="17C42329"/>
    <w:rsid w:val="17E24ACE"/>
    <w:rsid w:val="18130587"/>
    <w:rsid w:val="1824019C"/>
    <w:rsid w:val="18414B99"/>
    <w:rsid w:val="18587284"/>
    <w:rsid w:val="186000EE"/>
    <w:rsid w:val="1879447F"/>
    <w:rsid w:val="1889738D"/>
    <w:rsid w:val="18A422C2"/>
    <w:rsid w:val="18AB7038"/>
    <w:rsid w:val="18B51EC3"/>
    <w:rsid w:val="18C06A71"/>
    <w:rsid w:val="18E27BAA"/>
    <w:rsid w:val="18FE0B3F"/>
    <w:rsid w:val="191E07B4"/>
    <w:rsid w:val="192073CC"/>
    <w:rsid w:val="192478B7"/>
    <w:rsid w:val="192D31EB"/>
    <w:rsid w:val="19467740"/>
    <w:rsid w:val="19552F51"/>
    <w:rsid w:val="198F7F93"/>
    <w:rsid w:val="19B47DD1"/>
    <w:rsid w:val="19BC58B8"/>
    <w:rsid w:val="19DC4D71"/>
    <w:rsid w:val="19F72C8B"/>
    <w:rsid w:val="1A242DB8"/>
    <w:rsid w:val="1A6B40CE"/>
    <w:rsid w:val="1A6B657D"/>
    <w:rsid w:val="1A815BD3"/>
    <w:rsid w:val="1A8B02F0"/>
    <w:rsid w:val="1A950125"/>
    <w:rsid w:val="1AA33CC8"/>
    <w:rsid w:val="1ABA7984"/>
    <w:rsid w:val="1AC9098F"/>
    <w:rsid w:val="1ACB3375"/>
    <w:rsid w:val="1AD9601A"/>
    <w:rsid w:val="1B2163AD"/>
    <w:rsid w:val="1B4367F4"/>
    <w:rsid w:val="1B5C2C5D"/>
    <w:rsid w:val="1B747074"/>
    <w:rsid w:val="1B9149EE"/>
    <w:rsid w:val="1B915017"/>
    <w:rsid w:val="1B944CB1"/>
    <w:rsid w:val="1B9E6861"/>
    <w:rsid w:val="1BAA068A"/>
    <w:rsid w:val="1BCB12E1"/>
    <w:rsid w:val="1BCC552D"/>
    <w:rsid w:val="1BD2095A"/>
    <w:rsid w:val="1BDB4AD2"/>
    <w:rsid w:val="1BDD3CBF"/>
    <w:rsid w:val="1BF2003A"/>
    <w:rsid w:val="1C036B4B"/>
    <w:rsid w:val="1C044CFD"/>
    <w:rsid w:val="1C0C4EF8"/>
    <w:rsid w:val="1C104715"/>
    <w:rsid w:val="1C1A2A90"/>
    <w:rsid w:val="1C3C7047"/>
    <w:rsid w:val="1C3D0CF9"/>
    <w:rsid w:val="1C47333D"/>
    <w:rsid w:val="1C504041"/>
    <w:rsid w:val="1C5568FE"/>
    <w:rsid w:val="1C670988"/>
    <w:rsid w:val="1C6F6DE4"/>
    <w:rsid w:val="1C7F5574"/>
    <w:rsid w:val="1C825F0A"/>
    <w:rsid w:val="1CA519D5"/>
    <w:rsid w:val="1CB0205B"/>
    <w:rsid w:val="1CCF59CE"/>
    <w:rsid w:val="1CFE1F9E"/>
    <w:rsid w:val="1D017D34"/>
    <w:rsid w:val="1D0D6955"/>
    <w:rsid w:val="1D1046F8"/>
    <w:rsid w:val="1D2B026D"/>
    <w:rsid w:val="1D3359AA"/>
    <w:rsid w:val="1D3578F8"/>
    <w:rsid w:val="1D5F1195"/>
    <w:rsid w:val="1D6915AF"/>
    <w:rsid w:val="1D7C27F7"/>
    <w:rsid w:val="1D88197B"/>
    <w:rsid w:val="1D8F1E02"/>
    <w:rsid w:val="1D9B3CAA"/>
    <w:rsid w:val="1D9C1A16"/>
    <w:rsid w:val="1D9F5997"/>
    <w:rsid w:val="1DB70379"/>
    <w:rsid w:val="1DB902E7"/>
    <w:rsid w:val="1DBF12C0"/>
    <w:rsid w:val="1DC61F9C"/>
    <w:rsid w:val="1DD60858"/>
    <w:rsid w:val="1DE368CE"/>
    <w:rsid w:val="1DFE763D"/>
    <w:rsid w:val="1E040E8C"/>
    <w:rsid w:val="1E066BFD"/>
    <w:rsid w:val="1E3D16BE"/>
    <w:rsid w:val="1E716A79"/>
    <w:rsid w:val="1E7A6E02"/>
    <w:rsid w:val="1E7D12C4"/>
    <w:rsid w:val="1EAC0280"/>
    <w:rsid w:val="1EB5423E"/>
    <w:rsid w:val="1EC44101"/>
    <w:rsid w:val="1EC801D8"/>
    <w:rsid w:val="1EF13AE1"/>
    <w:rsid w:val="1F0E46A0"/>
    <w:rsid w:val="1F0F507B"/>
    <w:rsid w:val="1F280B33"/>
    <w:rsid w:val="1F3F5BDB"/>
    <w:rsid w:val="1F436954"/>
    <w:rsid w:val="1F4D7CB2"/>
    <w:rsid w:val="1F5B3F83"/>
    <w:rsid w:val="1F5E07AC"/>
    <w:rsid w:val="1F6B3A55"/>
    <w:rsid w:val="1F921442"/>
    <w:rsid w:val="1FB005B5"/>
    <w:rsid w:val="1FCC172B"/>
    <w:rsid w:val="1FD239CE"/>
    <w:rsid w:val="1FFB7524"/>
    <w:rsid w:val="2017413E"/>
    <w:rsid w:val="202404B5"/>
    <w:rsid w:val="202F2459"/>
    <w:rsid w:val="203568E0"/>
    <w:rsid w:val="204C06AD"/>
    <w:rsid w:val="2078113D"/>
    <w:rsid w:val="2094409D"/>
    <w:rsid w:val="20BF12E3"/>
    <w:rsid w:val="210B33AA"/>
    <w:rsid w:val="211018D5"/>
    <w:rsid w:val="211853CD"/>
    <w:rsid w:val="21193B54"/>
    <w:rsid w:val="212267F3"/>
    <w:rsid w:val="214C5F38"/>
    <w:rsid w:val="21580063"/>
    <w:rsid w:val="215C1B0F"/>
    <w:rsid w:val="215C5CA2"/>
    <w:rsid w:val="21664365"/>
    <w:rsid w:val="21710A68"/>
    <w:rsid w:val="21811D2B"/>
    <w:rsid w:val="2184486A"/>
    <w:rsid w:val="21881BA4"/>
    <w:rsid w:val="2188663D"/>
    <w:rsid w:val="21980957"/>
    <w:rsid w:val="219D3E29"/>
    <w:rsid w:val="21B17B55"/>
    <w:rsid w:val="21BA4D5A"/>
    <w:rsid w:val="21C61DDE"/>
    <w:rsid w:val="21C7795A"/>
    <w:rsid w:val="21DF73EA"/>
    <w:rsid w:val="21F9403C"/>
    <w:rsid w:val="220130C8"/>
    <w:rsid w:val="22190C7F"/>
    <w:rsid w:val="221F3F25"/>
    <w:rsid w:val="22333AA1"/>
    <w:rsid w:val="22BD2E76"/>
    <w:rsid w:val="22C9023E"/>
    <w:rsid w:val="22D05A47"/>
    <w:rsid w:val="22D26EAF"/>
    <w:rsid w:val="22E73534"/>
    <w:rsid w:val="22EB6D0C"/>
    <w:rsid w:val="23020B57"/>
    <w:rsid w:val="2348188E"/>
    <w:rsid w:val="235003C1"/>
    <w:rsid w:val="2369588F"/>
    <w:rsid w:val="23887625"/>
    <w:rsid w:val="23930482"/>
    <w:rsid w:val="23A22F3C"/>
    <w:rsid w:val="23A6343E"/>
    <w:rsid w:val="23AA2873"/>
    <w:rsid w:val="23C920C1"/>
    <w:rsid w:val="23D55828"/>
    <w:rsid w:val="24134497"/>
    <w:rsid w:val="241C417A"/>
    <w:rsid w:val="24680AE8"/>
    <w:rsid w:val="2491482B"/>
    <w:rsid w:val="249433B6"/>
    <w:rsid w:val="24944D34"/>
    <w:rsid w:val="24967AC6"/>
    <w:rsid w:val="24B03565"/>
    <w:rsid w:val="24BD1222"/>
    <w:rsid w:val="24D421CB"/>
    <w:rsid w:val="24D4787D"/>
    <w:rsid w:val="24DE5BF2"/>
    <w:rsid w:val="24DF3F31"/>
    <w:rsid w:val="24EE5C15"/>
    <w:rsid w:val="24F66AC0"/>
    <w:rsid w:val="250235F1"/>
    <w:rsid w:val="25511F6B"/>
    <w:rsid w:val="25590CC6"/>
    <w:rsid w:val="257229A7"/>
    <w:rsid w:val="257709FB"/>
    <w:rsid w:val="259C0B3C"/>
    <w:rsid w:val="25A0482C"/>
    <w:rsid w:val="25B0357A"/>
    <w:rsid w:val="25B14002"/>
    <w:rsid w:val="25BC6888"/>
    <w:rsid w:val="25C1260B"/>
    <w:rsid w:val="25D03AB9"/>
    <w:rsid w:val="25E41222"/>
    <w:rsid w:val="25EC56F7"/>
    <w:rsid w:val="25FA399D"/>
    <w:rsid w:val="260F4A69"/>
    <w:rsid w:val="26496B30"/>
    <w:rsid w:val="2654390B"/>
    <w:rsid w:val="265B3762"/>
    <w:rsid w:val="26745E1B"/>
    <w:rsid w:val="267C0312"/>
    <w:rsid w:val="2681036C"/>
    <w:rsid w:val="26911DF2"/>
    <w:rsid w:val="269B26E9"/>
    <w:rsid w:val="26A57A65"/>
    <w:rsid w:val="26D85EDD"/>
    <w:rsid w:val="26FD30A8"/>
    <w:rsid w:val="26FF2DF0"/>
    <w:rsid w:val="271E441C"/>
    <w:rsid w:val="2721255F"/>
    <w:rsid w:val="27217301"/>
    <w:rsid w:val="273350FA"/>
    <w:rsid w:val="274A56FA"/>
    <w:rsid w:val="275C3451"/>
    <w:rsid w:val="27706349"/>
    <w:rsid w:val="277978A5"/>
    <w:rsid w:val="27C73D38"/>
    <w:rsid w:val="27D6481D"/>
    <w:rsid w:val="27E60AEC"/>
    <w:rsid w:val="27E92A96"/>
    <w:rsid w:val="28022CC6"/>
    <w:rsid w:val="280D09D2"/>
    <w:rsid w:val="281A5848"/>
    <w:rsid w:val="283E6FAB"/>
    <w:rsid w:val="28411F49"/>
    <w:rsid w:val="284E2E6C"/>
    <w:rsid w:val="285B3B30"/>
    <w:rsid w:val="28943264"/>
    <w:rsid w:val="28A9268D"/>
    <w:rsid w:val="28DA7E14"/>
    <w:rsid w:val="28DC7F94"/>
    <w:rsid w:val="28E20191"/>
    <w:rsid w:val="29032593"/>
    <w:rsid w:val="291B5B6D"/>
    <w:rsid w:val="29283595"/>
    <w:rsid w:val="29384755"/>
    <w:rsid w:val="29474E9E"/>
    <w:rsid w:val="297E256D"/>
    <w:rsid w:val="29901482"/>
    <w:rsid w:val="29F35878"/>
    <w:rsid w:val="29FB0C3F"/>
    <w:rsid w:val="2A0744E4"/>
    <w:rsid w:val="2A154AC5"/>
    <w:rsid w:val="2A220264"/>
    <w:rsid w:val="2A256612"/>
    <w:rsid w:val="2A285457"/>
    <w:rsid w:val="2A3B4EF0"/>
    <w:rsid w:val="2A575882"/>
    <w:rsid w:val="2A665B39"/>
    <w:rsid w:val="2A7B42A5"/>
    <w:rsid w:val="2A802D8A"/>
    <w:rsid w:val="2AA004C2"/>
    <w:rsid w:val="2AAF3433"/>
    <w:rsid w:val="2AD01279"/>
    <w:rsid w:val="2B021229"/>
    <w:rsid w:val="2B074DB5"/>
    <w:rsid w:val="2B1030BD"/>
    <w:rsid w:val="2B151C54"/>
    <w:rsid w:val="2B2209DE"/>
    <w:rsid w:val="2B2560CD"/>
    <w:rsid w:val="2B3137EA"/>
    <w:rsid w:val="2B3570BB"/>
    <w:rsid w:val="2B406E52"/>
    <w:rsid w:val="2B613F8A"/>
    <w:rsid w:val="2B715FF9"/>
    <w:rsid w:val="2B7C2469"/>
    <w:rsid w:val="2B861854"/>
    <w:rsid w:val="2B8667B4"/>
    <w:rsid w:val="2B8B0140"/>
    <w:rsid w:val="2B9102BE"/>
    <w:rsid w:val="2B9C3E2A"/>
    <w:rsid w:val="2BB83060"/>
    <w:rsid w:val="2BDA1082"/>
    <w:rsid w:val="2BE454D5"/>
    <w:rsid w:val="2BE546C3"/>
    <w:rsid w:val="2BE7784D"/>
    <w:rsid w:val="2C01653C"/>
    <w:rsid w:val="2C174697"/>
    <w:rsid w:val="2C1A5864"/>
    <w:rsid w:val="2C36468A"/>
    <w:rsid w:val="2C380A4C"/>
    <w:rsid w:val="2C517FCF"/>
    <w:rsid w:val="2C5A3919"/>
    <w:rsid w:val="2C7E3F52"/>
    <w:rsid w:val="2C9F70B0"/>
    <w:rsid w:val="2CD9470B"/>
    <w:rsid w:val="2CF63F14"/>
    <w:rsid w:val="2D0C0D09"/>
    <w:rsid w:val="2D1429EF"/>
    <w:rsid w:val="2D2C5903"/>
    <w:rsid w:val="2D3904C5"/>
    <w:rsid w:val="2D430572"/>
    <w:rsid w:val="2D4E2DDE"/>
    <w:rsid w:val="2D5E3ABF"/>
    <w:rsid w:val="2D600536"/>
    <w:rsid w:val="2D792537"/>
    <w:rsid w:val="2D970B58"/>
    <w:rsid w:val="2D9E4763"/>
    <w:rsid w:val="2DA45761"/>
    <w:rsid w:val="2DA81C99"/>
    <w:rsid w:val="2DB44750"/>
    <w:rsid w:val="2DCA1C15"/>
    <w:rsid w:val="2DE16921"/>
    <w:rsid w:val="2E251C9D"/>
    <w:rsid w:val="2E5C17D6"/>
    <w:rsid w:val="2E5D7A1B"/>
    <w:rsid w:val="2E6922D6"/>
    <w:rsid w:val="2E7D14DA"/>
    <w:rsid w:val="2E8B4E7A"/>
    <w:rsid w:val="2EA15342"/>
    <w:rsid w:val="2EA67169"/>
    <w:rsid w:val="2EA87494"/>
    <w:rsid w:val="2EB21604"/>
    <w:rsid w:val="2EB84CFE"/>
    <w:rsid w:val="2ED912C5"/>
    <w:rsid w:val="2EDC5069"/>
    <w:rsid w:val="2EF237A7"/>
    <w:rsid w:val="2EFA7779"/>
    <w:rsid w:val="2F005958"/>
    <w:rsid w:val="2F115E9C"/>
    <w:rsid w:val="2F331442"/>
    <w:rsid w:val="2F354053"/>
    <w:rsid w:val="2F3755CF"/>
    <w:rsid w:val="2F3921C7"/>
    <w:rsid w:val="2F3A36A2"/>
    <w:rsid w:val="2F6C637F"/>
    <w:rsid w:val="2F6E3251"/>
    <w:rsid w:val="2F9D3E93"/>
    <w:rsid w:val="2FAC0AEB"/>
    <w:rsid w:val="2FAF3F01"/>
    <w:rsid w:val="2FB8673A"/>
    <w:rsid w:val="2FC1718F"/>
    <w:rsid w:val="2FD53C66"/>
    <w:rsid w:val="2FD57AE6"/>
    <w:rsid w:val="2FE32137"/>
    <w:rsid w:val="300D1A47"/>
    <w:rsid w:val="302A76D8"/>
    <w:rsid w:val="30325457"/>
    <w:rsid w:val="307642F8"/>
    <w:rsid w:val="307C2FD5"/>
    <w:rsid w:val="308472ED"/>
    <w:rsid w:val="308927E7"/>
    <w:rsid w:val="30A83E2F"/>
    <w:rsid w:val="30BE10FD"/>
    <w:rsid w:val="30D22C4D"/>
    <w:rsid w:val="30D824CE"/>
    <w:rsid w:val="30E8604C"/>
    <w:rsid w:val="311B4918"/>
    <w:rsid w:val="3128318C"/>
    <w:rsid w:val="313919B9"/>
    <w:rsid w:val="313C6E33"/>
    <w:rsid w:val="31832045"/>
    <w:rsid w:val="318A56D9"/>
    <w:rsid w:val="31980BDD"/>
    <w:rsid w:val="319B0DA4"/>
    <w:rsid w:val="31AE671B"/>
    <w:rsid w:val="31BC324A"/>
    <w:rsid w:val="31DD1A19"/>
    <w:rsid w:val="31E32CEF"/>
    <w:rsid w:val="31F27463"/>
    <w:rsid w:val="322319DA"/>
    <w:rsid w:val="32283386"/>
    <w:rsid w:val="322E6F2F"/>
    <w:rsid w:val="323319A5"/>
    <w:rsid w:val="323A5C06"/>
    <w:rsid w:val="323A7424"/>
    <w:rsid w:val="32473ADF"/>
    <w:rsid w:val="3251232A"/>
    <w:rsid w:val="325571EA"/>
    <w:rsid w:val="3276149F"/>
    <w:rsid w:val="32A068E9"/>
    <w:rsid w:val="32A23292"/>
    <w:rsid w:val="32B27087"/>
    <w:rsid w:val="32CB7E65"/>
    <w:rsid w:val="32DC06BB"/>
    <w:rsid w:val="32F16CC0"/>
    <w:rsid w:val="330B75BD"/>
    <w:rsid w:val="330E7FBB"/>
    <w:rsid w:val="333C2630"/>
    <w:rsid w:val="33524A45"/>
    <w:rsid w:val="33696B21"/>
    <w:rsid w:val="33AF76FE"/>
    <w:rsid w:val="33C16442"/>
    <w:rsid w:val="33C82323"/>
    <w:rsid w:val="340F5B81"/>
    <w:rsid w:val="34132FF2"/>
    <w:rsid w:val="34205967"/>
    <w:rsid w:val="3432306B"/>
    <w:rsid w:val="346A6735"/>
    <w:rsid w:val="3471300F"/>
    <w:rsid w:val="34874227"/>
    <w:rsid w:val="34890003"/>
    <w:rsid w:val="34931091"/>
    <w:rsid w:val="34B775B2"/>
    <w:rsid w:val="34E038B6"/>
    <w:rsid w:val="34E2546A"/>
    <w:rsid w:val="34E30F0F"/>
    <w:rsid w:val="34F01269"/>
    <w:rsid w:val="35007CFC"/>
    <w:rsid w:val="351241C6"/>
    <w:rsid w:val="351F02B8"/>
    <w:rsid w:val="35480EDF"/>
    <w:rsid w:val="35686F69"/>
    <w:rsid w:val="35687EBB"/>
    <w:rsid w:val="35784769"/>
    <w:rsid w:val="357F03D9"/>
    <w:rsid w:val="35860DD5"/>
    <w:rsid w:val="358D7A7B"/>
    <w:rsid w:val="358F23CE"/>
    <w:rsid w:val="35923A51"/>
    <w:rsid w:val="359A3107"/>
    <w:rsid w:val="3611115D"/>
    <w:rsid w:val="361D0887"/>
    <w:rsid w:val="365506E1"/>
    <w:rsid w:val="367A763D"/>
    <w:rsid w:val="36824A32"/>
    <w:rsid w:val="36974B8F"/>
    <w:rsid w:val="36976717"/>
    <w:rsid w:val="369B37BE"/>
    <w:rsid w:val="36A52223"/>
    <w:rsid w:val="36AD1C73"/>
    <w:rsid w:val="36AF43CB"/>
    <w:rsid w:val="36B409CC"/>
    <w:rsid w:val="36C45ECE"/>
    <w:rsid w:val="36CC20D7"/>
    <w:rsid w:val="36CF007E"/>
    <w:rsid w:val="36D2199E"/>
    <w:rsid w:val="36D70FE7"/>
    <w:rsid w:val="36DC2A3B"/>
    <w:rsid w:val="36DF2AB3"/>
    <w:rsid w:val="36E07DEB"/>
    <w:rsid w:val="36EA511D"/>
    <w:rsid w:val="36F44D99"/>
    <w:rsid w:val="36F70883"/>
    <w:rsid w:val="36F84BB1"/>
    <w:rsid w:val="36FF3F93"/>
    <w:rsid w:val="371C5979"/>
    <w:rsid w:val="37370121"/>
    <w:rsid w:val="373B4262"/>
    <w:rsid w:val="37866BA0"/>
    <w:rsid w:val="37CB5679"/>
    <w:rsid w:val="37D65746"/>
    <w:rsid w:val="37DC4300"/>
    <w:rsid w:val="37ED3EEE"/>
    <w:rsid w:val="38107C75"/>
    <w:rsid w:val="382E3032"/>
    <w:rsid w:val="38574525"/>
    <w:rsid w:val="38650B7B"/>
    <w:rsid w:val="386C42FF"/>
    <w:rsid w:val="387306D3"/>
    <w:rsid w:val="38753B9D"/>
    <w:rsid w:val="38757EF7"/>
    <w:rsid w:val="388C754C"/>
    <w:rsid w:val="389A2C3B"/>
    <w:rsid w:val="38A356B6"/>
    <w:rsid w:val="38B6134F"/>
    <w:rsid w:val="38B77B89"/>
    <w:rsid w:val="38B94A25"/>
    <w:rsid w:val="38DB444F"/>
    <w:rsid w:val="38E4492B"/>
    <w:rsid w:val="38EA31B9"/>
    <w:rsid w:val="38EE644D"/>
    <w:rsid w:val="38F335E0"/>
    <w:rsid w:val="38FC6572"/>
    <w:rsid w:val="38FE3638"/>
    <w:rsid w:val="391A03B8"/>
    <w:rsid w:val="391B672C"/>
    <w:rsid w:val="39291FA1"/>
    <w:rsid w:val="39587AC5"/>
    <w:rsid w:val="395E7235"/>
    <w:rsid w:val="396F6F4F"/>
    <w:rsid w:val="39710EB7"/>
    <w:rsid w:val="39884BFF"/>
    <w:rsid w:val="39952C82"/>
    <w:rsid w:val="39C67D0A"/>
    <w:rsid w:val="39CD59E2"/>
    <w:rsid w:val="39D049E4"/>
    <w:rsid w:val="39DD1FC0"/>
    <w:rsid w:val="39E20FE2"/>
    <w:rsid w:val="39E278CB"/>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B4085"/>
    <w:rsid w:val="3A8527BD"/>
    <w:rsid w:val="3AA54A51"/>
    <w:rsid w:val="3AA9696E"/>
    <w:rsid w:val="3AAA30E3"/>
    <w:rsid w:val="3AAB5DB7"/>
    <w:rsid w:val="3AF87CF3"/>
    <w:rsid w:val="3B0E4A2A"/>
    <w:rsid w:val="3B107CAF"/>
    <w:rsid w:val="3B1C1E27"/>
    <w:rsid w:val="3B4A3954"/>
    <w:rsid w:val="3B5318A0"/>
    <w:rsid w:val="3B6B5381"/>
    <w:rsid w:val="3B7742CD"/>
    <w:rsid w:val="3B9004B9"/>
    <w:rsid w:val="3B9451DA"/>
    <w:rsid w:val="3B9E1812"/>
    <w:rsid w:val="3BAF248D"/>
    <w:rsid w:val="3BAF3FE1"/>
    <w:rsid w:val="3BB57FF7"/>
    <w:rsid w:val="3BD834C3"/>
    <w:rsid w:val="3BF40B5B"/>
    <w:rsid w:val="3BF674FE"/>
    <w:rsid w:val="3C106886"/>
    <w:rsid w:val="3C2E2F2A"/>
    <w:rsid w:val="3C2F0DC1"/>
    <w:rsid w:val="3C3347D1"/>
    <w:rsid w:val="3C411F3D"/>
    <w:rsid w:val="3C461A3C"/>
    <w:rsid w:val="3C54676F"/>
    <w:rsid w:val="3C611C7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D0C0CD6"/>
    <w:rsid w:val="3D2F3EA4"/>
    <w:rsid w:val="3D322722"/>
    <w:rsid w:val="3D3E0E07"/>
    <w:rsid w:val="3D4D2885"/>
    <w:rsid w:val="3D501F86"/>
    <w:rsid w:val="3D5B6FD8"/>
    <w:rsid w:val="3D6C7970"/>
    <w:rsid w:val="3D8524B9"/>
    <w:rsid w:val="3DC67841"/>
    <w:rsid w:val="3DCC6E48"/>
    <w:rsid w:val="3DF67E21"/>
    <w:rsid w:val="3E1302F2"/>
    <w:rsid w:val="3E341AE6"/>
    <w:rsid w:val="3E51379D"/>
    <w:rsid w:val="3E721BE4"/>
    <w:rsid w:val="3E795D46"/>
    <w:rsid w:val="3EBD4C84"/>
    <w:rsid w:val="3EBD5746"/>
    <w:rsid w:val="3EC40A9D"/>
    <w:rsid w:val="3ECD0A86"/>
    <w:rsid w:val="3F126C25"/>
    <w:rsid w:val="3F2541BD"/>
    <w:rsid w:val="3F270B16"/>
    <w:rsid w:val="3F2E1884"/>
    <w:rsid w:val="3F406847"/>
    <w:rsid w:val="3F486D14"/>
    <w:rsid w:val="3F8B38F8"/>
    <w:rsid w:val="3F911160"/>
    <w:rsid w:val="3FA47B82"/>
    <w:rsid w:val="3FB60A8F"/>
    <w:rsid w:val="3FD16542"/>
    <w:rsid w:val="3FD50823"/>
    <w:rsid w:val="3FE57A37"/>
    <w:rsid w:val="3FE6620E"/>
    <w:rsid w:val="40190984"/>
    <w:rsid w:val="401F1357"/>
    <w:rsid w:val="402D5AAC"/>
    <w:rsid w:val="403C756C"/>
    <w:rsid w:val="40720EFD"/>
    <w:rsid w:val="40842D6B"/>
    <w:rsid w:val="4084312C"/>
    <w:rsid w:val="40923A38"/>
    <w:rsid w:val="409F62B0"/>
    <w:rsid w:val="40AC35A1"/>
    <w:rsid w:val="40B87888"/>
    <w:rsid w:val="40BF28FF"/>
    <w:rsid w:val="40C4025B"/>
    <w:rsid w:val="40C73A71"/>
    <w:rsid w:val="40F579A0"/>
    <w:rsid w:val="41161BA3"/>
    <w:rsid w:val="41251ED8"/>
    <w:rsid w:val="414D1A11"/>
    <w:rsid w:val="41541E79"/>
    <w:rsid w:val="415E5EAB"/>
    <w:rsid w:val="417437BF"/>
    <w:rsid w:val="41775FA5"/>
    <w:rsid w:val="419B28D7"/>
    <w:rsid w:val="41C6087A"/>
    <w:rsid w:val="41E106C4"/>
    <w:rsid w:val="41F41ECC"/>
    <w:rsid w:val="41F72304"/>
    <w:rsid w:val="422725DC"/>
    <w:rsid w:val="422C4743"/>
    <w:rsid w:val="42464C1F"/>
    <w:rsid w:val="424D630C"/>
    <w:rsid w:val="425F2E78"/>
    <w:rsid w:val="42647007"/>
    <w:rsid w:val="42837B96"/>
    <w:rsid w:val="42927BEF"/>
    <w:rsid w:val="429C3F82"/>
    <w:rsid w:val="42A261A9"/>
    <w:rsid w:val="42F01A2C"/>
    <w:rsid w:val="430272B9"/>
    <w:rsid w:val="433567C5"/>
    <w:rsid w:val="43437508"/>
    <w:rsid w:val="4369441A"/>
    <w:rsid w:val="43715ACD"/>
    <w:rsid w:val="439B45B2"/>
    <w:rsid w:val="43A728DB"/>
    <w:rsid w:val="43B64B82"/>
    <w:rsid w:val="43C00987"/>
    <w:rsid w:val="43CC1F73"/>
    <w:rsid w:val="43CC220E"/>
    <w:rsid w:val="43EC4DB0"/>
    <w:rsid w:val="43F35274"/>
    <w:rsid w:val="43FD6BD7"/>
    <w:rsid w:val="44133473"/>
    <w:rsid w:val="441E51C4"/>
    <w:rsid w:val="443A78EA"/>
    <w:rsid w:val="443D1326"/>
    <w:rsid w:val="444A0646"/>
    <w:rsid w:val="445143F6"/>
    <w:rsid w:val="44515A1D"/>
    <w:rsid w:val="448778CA"/>
    <w:rsid w:val="449909C6"/>
    <w:rsid w:val="44AF6F90"/>
    <w:rsid w:val="44D4142E"/>
    <w:rsid w:val="44D54043"/>
    <w:rsid w:val="452A40ED"/>
    <w:rsid w:val="452F142E"/>
    <w:rsid w:val="454A7BD2"/>
    <w:rsid w:val="455C521C"/>
    <w:rsid w:val="45657922"/>
    <w:rsid w:val="45771FDE"/>
    <w:rsid w:val="45940205"/>
    <w:rsid w:val="459A5AE0"/>
    <w:rsid w:val="45A71986"/>
    <w:rsid w:val="45B2417A"/>
    <w:rsid w:val="45CE7AC9"/>
    <w:rsid w:val="45D05C04"/>
    <w:rsid w:val="4676486A"/>
    <w:rsid w:val="46792153"/>
    <w:rsid w:val="467A3876"/>
    <w:rsid w:val="46882F36"/>
    <w:rsid w:val="469064ED"/>
    <w:rsid w:val="46D203B7"/>
    <w:rsid w:val="46F02AE4"/>
    <w:rsid w:val="47080F16"/>
    <w:rsid w:val="47256A06"/>
    <w:rsid w:val="473174AB"/>
    <w:rsid w:val="475F2ECF"/>
    <w:rsid w:val="476E5ABA"/>
    <w:rsid w:val="477C7EA2"/>
    <w:rsid w:val="47932506"/>
    <w:rsid w:val="479902B6"/>
    <w:rsid w:val="47DA073E"/>
    <w:rsid w:val="47E41BE3"/>
    <w:rsid w:val="47F628FA"/>
    <w:rsid w:val="48014BE7"/>
    <w:rsid w:val="48073349"/>
    <w:rsid w:val="48603F11"/>
    <w:rsid w:val="48651EF8"/>
    <w:rsid w:val="486561CC"/>
    <w:rsid w:val="487333F6"/>
    <w:rsid w:val="48774DFE"/>
    <w:rsid w:val="487F0CDD"/>
    <w:rsid w:val="489A1C79"/>
    <w:rsid w:val="48B03E9F"/>
    <w:rsid w:val="48B03FF9"/>
    <w:rsid w:val="48C76242"/>
    <w:rsid w:val="48E00AC5"/>
    <w:rsid w:val="48F0132C"/>
    <w:rsid w:val="48F55B45"/>
    <w:rsid w:val="4918362D"/>
    <w:rsid w:val="49183BBE"/>
    <w:rsid w:val="491A4ED9"/>
    <w:rsid w:val="49252B13"/>
    <w:rsid w:val="494708E3"/>
    <w:rsid w:val="497C0AAC"/>
    <w:rsid w:val="498216FD"/>
    <w:rsid w:val="499B3E64"/>
    <w:rsid w:val="499E601B"/>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B176EEC"/>
    <w:rsid w:val="4B2C56D0"/>
    <w:rsid w:val="4B2E2D9C"/>
    <w:rsid w:val="4B383963"/>
    <w:rsid w:val="4B5D46DE"/>
    <w:rsid w:val="4B760445"/>
    <w:rsid w:val="4B807F14"/>
    <w:rsid w:val="4B935B69"/>
    <w:rsid w:val="4BB2756C"/>
    <w:rsid w:val="4BBA3B67"/>
    <w:rsid w:val="4BCD3B4D"/>
    <w:rsid w:val="4BCD7125"/>
    <w:rsid w:val="4BD643F7"/>
    <w:rsid w:val="4BD85189"/>
    <w:rsid w:val="4BDE1EA4"/>
    <w:rsid w:val="4BDF467B"/>
    <w:rsid w:val="4BF609D0"/>
    <w:rsid w:val="4C220551"/>
    <w:rsid w:val="4C272A15"/>
    <w:rsid w:val="4C2F1755"/>
    <w:rsid w:val="4C344AA1"/>
    <w:rsid w:val="4C3E1770"/>
    <w:rsid w:val="4C894CEA"/>
    <w:rsid w:val="4C8E5216"/>
    <w:rsid w:val="4C917F0F"/>
    <w:rsid w:val="4CDC002F"/>
    <w:rsid w:val="4CE65642"/>
    <w:rsid w:val="4CEF5956"/>
    <w:rsid w:val="4CF01713"/>
    <w:rsid w:val="4CFF366F"/>
    <w:rsid w:val="4D1917A8"/>
    <w:rsid w:val="4D1E230F"/>
    <w:rsid w:val="4D3A7C59"/>
    <w:rsid w:val="4D3B644C"/>
    <w:rsid w:val="4D3C2959"/>
    <w:rsid w:val="4D974816"/>
    <w:rsid w:val="4DAF3144"/>
    <w:rsid w:val="4DBE19C2"/>
    <w:rsid w:val="4DC44364"/>
    <w:rsid w:val="4E001CC7"/>
    <w:rsid w:val="4E033A95"/>
    <w:rsid w:val="4E054997"/>
    <w:rsid w:val="4E545DE4"/>
    <w:rsid w:val="4E7E348D"/>
    <w:rsid w:val="4EB75C6C"/>
    <w:rsid w:val="4EC02376"/>
    <w:rsid w:val="4EF86E1A"/>
    <w:rsid w:val="4F165B40"/>
    <w:rsid w:val="4F20441E"/>
    <w:rsid w:val="4F263247"/>
    <w:rsid w:val="4F32218E"/>
    <w:rsid w:val="4F4D4A7F"/>
    <w:rsid w:val="4F4E26AD"/>
    <w:rsid w:val="4F6F2B2A"/>
    <w:rsid w:val="4F965F99"/>
    <w:rsid w:val="4F9A754C"/>
    <w:rsid w:val="4FA51FC1"/>
    <w:rsid w:val="4FBA02D7"/>
    <w:rsid w:val="4FBD302C"/>
    <w:rsid w:val="4FCE2834"/>
    <w:rsid w:val="4FEE729E"/>
    <w:rsid w:val="4FF25B13"/>
    <w:rsid w:val="500B5A1B"/>
    <w:rsid w:val="50111B63"/>
    <w:rsid w:val="501D1529"/>
    <w:rsid w:val="502258CD"/>
    <w:rsid w:val="505A1473"/>
    <w:rsid w:val="507F46AC"/>
    <w:rsid w:val="508D3858"/>
    <w:rsid w:val="508F4E81"/>
    <w:rsid w:val="509B50D0"/>
    <w:rsid w:val="509E3EED"/>
    <w:rsid w:val="50AA475F"/>
    <w:rsid w:val="50C47A79"/>
    <w:rsid w:val="50D44BCC"/>
    <w:rsid w:val="50E91E05"/>
    <w:rsid w:val="50F80D92"/>
    <w:rsid w:val="51064251"/>
    <w:rsid w:val="511D6223"/>
    <w:rsid w:val="512840B9"/>
    <w:rsid w:val="51296F56"/>
    <w:rsid w:val="512B0D10"/>
    <w:rsid w:val="512D05D4"/>
    <w:rsid w:val="51391C5B"/>
    <w:rsid w:val="51467D32"/>
    <w:rsid w:val="515D45F9"/>
    <w:rsid w:val="518A531D"/>
    <w:rsid w:val="519F60B2"/>
    <w:rsid w:val="51AE15D4"/>
    <w:rsid w:val="51B95E72"/>
    <w:rsid w:val="51CE5EA7"/>
    <w:rsid w:val="51DF03CE"/>
    <w:rsid w:val="51F7052E"/>
    <w:rsid w:val="52271E16"/>
    <w:rsid w:val="52347744"/>
    <w:rsid w:val="52393C1D"/>
    <w:rsid w:val="52521A3D"/>
    <w:rsid w:val="52682107"/>
    <w:rsid w:val="52716292"/>
    <w:rsid w:val="527B5F26"/>
    <w:rsid w:val="528B62BC"/>
    <w:rsid w:val="529F4222"/>
    <w:rsid w:val="52A5296A"/>
    <w:rsid w:val="52A55CB3"/>
    <w:rsid w:val="52A91F2B"/>
    <w:rsid w:val="52B23FA9"/>
    <w:rsid w:val="52E45DE5"/>
    <w:rsid w:val="52EF0D67"/>
    <w:rsid w:val="52F02C42"/>
    <w:rsid w:val="52FE26CC"/>
    <w:rsid w:val="52FF7F21"/>
    <w:rsid w:val="53120E95"/>
    <w:rsid w:val="531869BC"/>
    <w:rsid w:val="53195672"/>
    <w:rsid w:val="532845D8"/>
    <w:rsid w:val="53386D49"/>
    <w:rsid w:val="5346326D"/>
    <w:rsid w:val="535457FD"/>
    <w:rsid w:val="53613041"/>
    <w:rsid w:val="536461D5"/>
    <w:rsid w:val="537940E2"/>
    <w:rsid w:val="538C0DB6"/>
    <w:rsid w:val="53A718BB"/>
    <w:rsid w:val="53A87981"/>
    <w:rsid w:val="53C631AC"/>
    <w:rsid w:val="53D109CC"/>
    <w:rsid w:val="53D24CDD"/>
    <w:rsid w:val="54026EF3"/>
    <w:rsid w:val="54120CE3"/>
    <w:rsid w:val="54224AEE"/>
    <w:rsid w:val="542B0DCA"/>
    <w:rsid w:val="54366104"/>
    <w:rsid w:val="54381B54"/>
    <w:rsid w:val="544C68CC"/>
    <w:rsid w:val="54533030"/>
    <w:rsid w:val="546E64F4"/>
    <w:rsid w:val="54706F37"/>
    <w:rsid w:val="549B0BFD"/>
    <w:rsid w:val="54A23911"/>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F02B37"/>
    <w:rsid w:val="55F52A95"/>
    <w:rsid w:val="563952B5"/>
    <w:rsid w:val="564B4A19"/>
    <w:rsid w:val="56636141"/>
    <w:rsid w:val="56AD2F65"/>
    <w:rsid w:val="56BE5DE9"/>
    <w:rsid w:val="56DA29F0"/>
    <w:rsid w:val="56E04480"/>
    <w:rsid w:val="571A2248"/>
    <w:rsid w:val="5726114F"/>
    <w:rsid w:val="572E1DC4"/>
    <w:rsid w:val="572E263C"/>
    <w:rsid w:val="573238AB"/>
    <w:rsid w:val="573A21E0"/>
    <w:rsid w:val="57550297"/>
    <w:rsid w:val="57556125"/>
    <w:rsid w:val="57751DA1"/>
    <w:rsid w:val="57A976CF"/>
    <w:rsid w:val="57D04474"/>
    <w:rsid w:val="57D44AE6"/>
    <w:rsid w:val="57D90E3A"/>
    <w:rsid w:val="57ED486E"/>
    <w:rsid w:val="57FD5BA4"/>
    <w:rsid w:val="58051E72"/>
    <w:rsid w:val="582A524A"/>
    <w:rsid w:val="58354FAF"/>
    <w:rsid w:val="5838167A"/>
    <w:rsid w:val="58535237"/>
    <w:rsid w:val="586203E8"/>
    <w:rsid w:val="586419D4"/>
    <w:rsid w:val="586D2587"/>
    <w:rsid w:val="587D70BF"/>
    <w:rsid w:val="58845475"/>
    <w:rsid w:val="5889606F"/>
    <w:rsid w:val="588D364E"/>
    <w:rsid w:val="58910843"/>
    <w:rsid w:val="589E3082"/>
    <w:rsid w:val="589E51D8"/>
    <w:rsid w:val="58B20FE9"/>
    <w:rsid w:val="58B26326"/>
    <w:rsid w:val="58C13D6E"/>
    <w:rsid w:val="58CF3699"/>
    <w:rsid w:val="592E6E44"/>
    <w:rsid w:val="5931771A"/>
    <w:rsid w:val="59427279"/>
    <w:rsid w:val="59443F0F"/>
    <w:rsid w:val="594606B0"/>
    <w:rsid w:val="595A4F46"/>
    <w:rsid w:val="595B57F0"/>
    <w:rsid w:val="595B5C1B"/>
    <w:rsid w:val="595D51EC"/>
    <w:rsid w:val="595E5DBD"/>
    <w:rsid w:val="597804E9"/>
    <w:rsid w:val="59A15F8A"/>
    <w:rsid w:val="59AA7631"/>
    <w:rsid w:val="59B355A8"/>
    <w:rsid w:val="59CC778D"/>
    <w:rsid w:val="59D373E4"/>
    <w:rsid w:val="59DC5C31"/>
    <w:rsid w:val="5A0A05EF"/>
    <w:rsid w:val="5A1C2B94"/>
    <w:rsid w:val="5A41796E"/>
    <w:rsid w:val="5A447516"/>
    <w:rsid w:val="5A501F5C"/>
    <w:rsid w:val="5A5E660A"/>
    <w:rsid w:val="5A6B2536"/>
    <w:rsid w:val="5A6C38ED"/>
    <w:rsid w:val="5A7D7DC9"/>
    <w:rsid w:val="5A870F43"/>
    <w:rsid w:val="5A902353"/>
    <w:rsid w:val="5AB55D62"/>
    <w:rsid w:val="5AC83137"/>
    <w:rsid w:val="5ACB6B07"/>
    <w:rsid w:val="5AD91F12"/>
    <w:rsid w:val="5AED4CE2"/>
    <w:rsid w:val="5AFE4B41"/>
    <w:rsid w:val="5AFE6C9F"/>
    <w:rsid w:val="5AFF2C16"/>
    <w:rsid w:val="5B0A38CB"/>
    <w:rsid w:val="5B5C4A48"/>
    <w:rsid w:val="5B61273E"/>
    <w:rsid w:val="5B6E7DE8"/>
    <w:rsid w:val="5B7132AE"/>
    <w:rsid w:val="5B740E56"/>
    <w:rsid w:val="5B901EF3"/>
    <w:rsid w:val="5BA454AF"/>
    <w:rsid w:val="5BA74D2C"/>
    <w:rsid w:val="5BAE32E0"/>
    <w:rsid w:val="5BD0210D"/>
    <w:rsid w:val="5BDF238A"/>
    <w:rsid w:val="5C256739"/>
    <w:rsid w:val="5C2C016F"/>
    <w:rsid w:val="5C384E29"/>
    <w:rsid w:val="5C3B42D6"/>
    <w:rsid w:val="5C45697A"/>
    <w:rsid w:val="5C4B7D70"/>
    <w:rsid w:val="5C78176A"/>
    <w:rsid w:val="5C89301D"/>
    <w:rsid w:val="5C91003A"/>
    <w:rsid w:val="5C941E9A"/>
    <w:rsid w:val="5CA37943"/>
    <w:rsid w:val="5CA65C73"/>
    <w:rsid w:val="5CAD47EF"/>
    <w:rsid w:val="5CD1276C"/>
    <w:rsid w:val="5CD45A79"/>
    <w:rsid w:val="5CFD2BAF"/>
    <w:rsid w:val="5D175E92"/>
    <w:rsid w:val="5D1B009E"/>
    <w:rsid w:val="5D372D3D"/>
    <w:rsid w:val="5D512F5D"/>
    <w:rsid w:val="5D6937A6"/>
    <w:rsid w:val="5DA301CD"/>
    <w:rsid w:val="5DA97C2A"/>
    <w:rsid w:val="5DDB5902"/>
    <w:rsid w:val="5DF904C3"/>
    <w:rsid w:val="5DFC0579"/>
    <w:rsid w:val="5DFD1447"/>
    <w:rsid w:val="5E0619EE"/>
    <w:rsid w:val="5E18530F"/>
    <w:rsid w:val="5E332EEC"/>
    <w:rsid w:val="5E404E0B"/>
    <w:rsid w:val="5E4F212A"/>
    <w:rsid w:val="5E5A6482"/>
    <w:rsid w:val="5E5D519C"/>
    <w:rsid w:val="5E8356EF"/>
    <w:rsid w:val="5E83792B"/>
    <w:rsid w:val="5E957291"/>
    <w:rsid w:val="5E9D1A8F"/>
    <w:rsid w:val="5EB22C18"/>
    <w:rsid w:val="5ECD13E0"/>
    <w:rsid w:val="5ECF1387"/>
    <w:rsid w:val="5EDA5E4B"/>
    <w:rsid w:val="5EE24148"/>
    <w:rsid w:val="5EEF2C72"/>
    <w:rsid w:val="5EFB6652"/>
    <w:rsid w:val="5F036FC3"/>
    <w:rsid w:val="5F113FE6"/>
    <w:rsid w:val="5F1F04B3"/>
    <w:rsid w:val="5F2C26E2"/>
    <w:rsid w:val="5F54205E"/>
    <w:rsid w:val="5F5778EA"/>
    <w:rsid w:val="5F592DF0"/>
    <w:rsid w:val="5F662887"/>
    <w:rsid w:val="5F735764"/>
    <w:rsid w:val="5F7F0FCC"/>
    <w:rsid w:val="5F864151"/>
    <w:rsid w:val="5F8A4D1B"/>
    <w:rsid w:val="5F941F6B"/>
    <w:rsid w:val="5FA16171"/>
    <w:rsid w:val="5FBE57DC"/>
    <w:rsid w:val="5FDC54B2"/>
    <w:rsid w:val="5FE36389"/>
    <w:rsid w:val="5FE73EAF"/>
    <w:rsid w:val="60290442"/>
    <w:rsid w:val="603858FC"/>
    <w:rsid w:val="60396B20"/>
    <w:rsid w:val="60397D0D"/>
    <w:rsid w:val="603E4C08"/>
    <w:rsid w:val="60501874"/>
    <w:rsid w:val="607B0F50"/>
    <w:rsid w:val="60866833"/>
    <w:rsid w:val="60A0766E"/>
    <w:rsid w:val="60A564FB"/>
    <w:rsid w:val="60A772D5"/>
    <w:rsid w:val="6100428F"/>
    <w:rsid w:val="612F6EFB"/>
    <w:rsid w:val="61325CA3"/>
    <w:rsid w:val="614B4800"/>
    <w:rsid w:val="61583BA9"/>
    <w:rsid w:val="617C2CAD"/>
    <w:rsid w:val="61833763"/>
    <w:rsid w:val="61B2107A"/>
    <w:rsid w:val="61B31EEA"/>
    <w:rsid w:val="61B95D15"/>
    <w:rsid w:val="61CD6317"/>
    <w:rsid w:val="61D5175F"/>
    <w:rsid w:val="62144378"/>
    <w:rsid w:val="622B4947"/>
    <w:rsid w:val="623C21BB"/>
    <w:rsid w:val="623C29CA"/>
    <w:rsid w:val="62642FCC"/>
    <w:rsid w:val="629321D7"/>
    <w:rsid w:val="62972F0F"/>
    <w:rsid w:val="62994F30"/>
    <w:rsid w:val="62B644A0"/>
    <w:rsid w:val="62BA4236"/>
    <w:rsid w:val="62D155AD"/>
    <w:rsid w:val="62D80938"/>
    <w:rsid w:val="62DA1607"/>
    <w:rsid w:val="630579C8"/>
    <w:rsid w:val="6309664E"/>
    <w:rsid w:val="630D0E36"/>
    <w:rsid w:val="63261329"/>
    <w:rsid w:val="63284643"/>
    <w:rsid w:val="632A0132"/>
    <w:rsid w:val="632B7E9C"/>
    <w:rsid w:val="632D66EB"/>
    <w:rsid w:val="633817A6"/>
    <w:rsid w:val="63520053"/>
    <w:rsid w:val="63524BC7"/>
    <w:rsid w:val="63540E17"/>
    <w:rsid w:val="636433B8"/>
    <w:rsid w:val="6394008A"/>
    <w:rsid w:val="639D08D0"/>
    <w:rsid w:val="63A60C4C"/>
    <w:rsid w:val="63B1701A"/>
    <w:rsid w:val="63D27CE5"/>
    <w:rsid w:val="63DA744D"/>
    <w:rsid w:val="63DF662B"/>
    <w:rsid w:val="63E766DA"/>
    <w:rsid w:val="63E978AB"/>
    <w:rsid w:val="63F130FF"/>
    <w:rsid w:val="64022E8C"/>
    <w:rsid w:val="640D6D48"/>
    <w:rsid w:val="640E4306"/>
    <w:rsid w:val="64357186"/>
    <w:rsid w:val="643764F1"/>
    <w:rsid w:val="64401FB1"/>
    <w:rsid w:val="644244C6"/>
    <w:rsid w:val="645455F2"/>
    <w:rsid w:val="647C41D5"/>
    <w:rsid w:val="649D4F05"/>
    <w:rsid w:val="64CA54C0"/>
    <w:rsid w:val="64CA62E5"/>
    <w:rsid w:val="64E57549"/>
    <w:rsid w:val="64F41122"/>
    <w:rsid w:val="64FB76F0"/>
    <w:rsid w:val="651057F3"/>
    <w:rsid w:val="651A6DCE"/>
    <w:rsid w:val="65347105"/>
    <w:rsid w:val="65466BDA"/>
    <w:rsid w:val="655E2FF8"/>
    <w:rsid w:val="657022A9"/>
    <w:rsid w:val="65726623"/>
    <w:rsid w:val="65730681"/>
    <w:rsid w:val="65753AF2"/>
    <w:rsid w:val="657A5CEE"/>
    <w:rsid w:val="659D27A2"/>
    <w:rsid w:val="65BA7C51"/>
    <w:rsid w:val="65E21C88"/>
    <w:rsid w:val="660C056F"/>
    <w:rsid w:val="661E0E6E"/>
    <w:rsid w:val="6643305A"/>
    <w:rsid w:val="664B0AEB"/>
    <w:rsid w:val="664E6051"/>
    <w:rsid w:val="66721D70"/>
    <w:rsid w:val="66817794"/>
    <w:rsid w:val="66954A14"/>
    <w:rsid w:val="66996902"/>
    <w:rsid w:val="669C2C6E"/>
    <w:rsid w:val="669D51F2"/>
    <w:rsid w:val="66A84C68"/>
    <w:rsid w:val="66EE017A"/>
    <w:rsid w:val="670D0ADC"/>
    <w:rsid w:val="672A14EE"/>
    <w:rsid w:val="672A527A"/>
    <w:rsid w:val="674468F2"/>
    <w:rsid w:val="67525CE9"/>
    <w:rsid w:val="67600DEC"/>
    <w:rsid w:val="67626C08"/>
    <w:rsid w:val="67694B6F"/>
    <w:rsid w:val="67873EDD"/>
    <w:rsid w:val="67B24FBD"/>
    <w:rsid w:val="67BF2499"/>
    <w:rsid w:val="67CE20B0"/>
    <w:rsid w:val="67CE5A52"/>
    <w:rsid w:val="67D46CBE"/>
    <w:rsid w:val="67D5553E"/>
    <w:rsid w:val="67D66AC9"/>
    <w:rsid w:val="67FB6AF8"/>
    <w:rsid w:val="681D33E8"/>
    <w:rsid w:val="68273E23"/>
    <w:rsid w:val="683C36CD"/>
    <w:rsid w:val="686C1BB7"/>
    <w:rsid w:val="68717FC0"/>
    <w:rsid w:val="688F28C6"/>
    <w:rsid w:val="689204D6"/>
    <w:rsid w:val="6892571D"/>
    <w:rsid w:val="68931A71"/>
    <w:rsid w:val="68B8502B"/>
    <w:rsid w:val="68C25076"/>
    <w:rsid w:val="68CD52EC"/>
    <w:rsid w:val="68F9345B"/>
    <w:rsid w:val="690C73C1"/>
    <w:rsid w:val="690E470A"/>
    <w:rsid w:val="69145543"/>
    <w:rsid w:val="69455631"/>
    <w:rsid w:val="69505908"/>
    <w:rsid w:val="69511D7C"/>
    <w:rsid w:val="69667239"/>
    <w:rsid w:val="698F63A7"/>
    <w:rsid w:val="69AF334E"/>
    <w:rsid w:val="69B20BA4"/>
    <w:rsid w:val="69B338D7"/>
    <w:rsid w:val="69D03A62"/>
    <w:rsid w:val="69E61A81"/>
    <w:rsid w:val="6A0B4A62"/>
    <w:rsid w:val="6A1E4169"/>
    <w:rsid w:val="6A272C44"/>
    <w:rsid w:val="6A3527AF"/>
    <w:rsid w:val="6A4A53D9"/>
    <w:rsid w:val="6A4C1F16"/>
    <w:rsid w:val="6A584D82"/>
    <w:rsid w:val="6AB328DD"/>
    <w:rsid w:val="6AC53309"/>
    <w:rsid w:val="6AC65F6B"/>
    <w:rsid w:val="6ADF6EF1"/>
    <w:rsid w:val="6AE063B8"/>
    <w:rsid w:val="6B024E28"/>
    <w:rsid w:val="6B154394"/>
    <w:rsid w:val="6B1D7C10"/>
    <w:rsid w:val="6B326C6E"/>
    <w:rsid w:val="6B59680C"/>
    <w:rsid w:val="6B5B4C25"/>
    <w:rsid w:val="6B82310F"/>
    <w:rsid w:val="6B9955C4"/>
    <w:rsid w:val="6BA50FBC"/>
    <w:rsid w:val="6BA94B6C"/>
    <w:rsid w:val="6BAA13F9"/>
    <w:rsid w:val="6BBE23AC"/>
    <w:rsid w:val="6BC9393A"/>
    <w:rsid w:val="6BC965DC"/>
    <w:rsid w:val="6BD05FE0"/>
    <w:rsid w:val="6BF060F9"/>
    <w:rsid w:val="6C15278F"/>
    <w:rsid w:val="6C1550EF"/>
    <w:rsid w:val="6C192C77"/>
    <w:rsid w:val="6C247FF2"/>
    <w:rsid w:val="6C5A37E8"/>
    <w:rsid w:val="6C680B1C"/>
    <w:rsid w:val="6C6830AB"/>
    <w:rsid w:val="6C852F80"/>
    <w:rsid w:val="6CA35071"/>
    <w:rsid w:val="6CA958D9"/>
    <w:rsid w:val="6CAA2244"/>
    <w:rsid w:val="6CFD117C"/>
    <w:rsid w:val="6D176C50"/>
    <w:rsid w:val="6D5F20FB"/>
    <w:rsid w:val="6D635ECF"/>
    <w:rsid w:val="6D6B1A32"/>
    <w:rsid w:val="6D830976"/>
    <w:rsid w:val="6D8D1556"/>
    <w:rsid w:val="6D9C47D4"/>
    <w:rsid w:val="6D9D362B"/>
    <w:rsid w:val="6DA878E5"/>
    <w:rsid w:val="6DB3004E"/>
    <w:rsid w:val="6DC64084"/>
    <w:rsid w:val="6DD04789"/>
    <w:rsid w:val="6DD652A5"/>
    <w:rsid w:val="6DDA18E4"/>
    <w:rsid w:val="6DE31FA4"/>
    <w:rsid w:val="6DEF27A5"/>
    <w:rsid w:val="6DF1004A"/>
    <w:rsid w:val="6DF76419"/>
    <w:rsid w:val="6E194437"/>
    <w:rsid w:val="6E2E21AD"/>
    <w:rsid w:val="6E5B527C"/>
    <w:rsid w:val="6E760AC8"/>
    <w:rsid w:val="6E865950"/>
    <w:rsid w:val="6E8B12C4"/>
    <w:rsid w:val="6E8C28E4"/>
    <w:rsid w:val="6E921DF4"/>
    <w:rsid w:val="6EA40439"/>
    <w:rsid w:val="6EAD196C"/>
    <w:rsid w:val="6EB0714F"/>
    <w:rsid w:val="6F016BFE"/>
    <w:rsid w:val="6F257E2B"/>
    <w:rsid w:val="6F476ED9"/>
    <w:rsid w:val="6F4902C7"/>
    <w:rsid w:val="6F74384E"/>
    <w:rsid w:val="6F7A1086"/>
    <w:rsid w:val="6F7D30C6"/>
    <w:rsid w:val="6F855C15"/>
    <w:rsid w:val="6F8C70D0"/>
    <w:rsid w:val="6FA43E74"/>
    <w:rsid w:val="6FCD5F96"/>
    <w:rsid w:val="6FCD6A80"/>
    <w:rsid w:val="6FDF228C"/>
    <w:rsid w:val="6FEC6BA3"/>
    <w:rsid w:val="6FEE7509"/>
    <w:rsid w:val="701048BF"/>
    <w:rsid w:val="70255ADB"/>
    <w:rsid w:val="702A6418"/>
    <w:rsid w:val="70404FC8"/>
    <w:rsid w:val="70425707"/>
    <w:rsid w:val="70511DE4"/>
    <w:rsid w:val="70644806"/>
    <w:rsid w:val="706A34F7"/>
    <w:rsid w:val="70A44053"/>
    <w:rsid w:val="70B23DA1"/>
    <w:rsid w:val="70B57D29"/>
    <w:rsid w:val="70D42F6E"/>
    <w:rsid w:val="710B2E1E"/>
    <w:rsid w:val="71163A30"/>
    <w:rsid w:val="711B56A9"/>
    <w:rsid w:val="71326984"/>
    <w:rsid w:val="713B6F9B"/>
    <w:rsid w:val="7198751A"/>
    <w:rsid w:val="71A51555"/>
    <w:rsid w:val="71C56B06"/>
    <w:rsid w:val="71E276CC"/>
    <w:rsid w:val="7209211A"/>
    <w:rsid w:val="72424140"/>
    <w:rsid w:val="729E0354"/>
    <w:rsid w:val="72AA2B05"/>
    <w:rsid w:val="72C546A9"/>
    <w:rsid w:val="72DE37F7"/>
    <w:rsid w:val="72EC7EF7"/>
    <w:rsid w:val="72F05E81"/>
    <w:rsid w:val="72FE1849"/>
    <w:rsid w:val="73150265"/>
    <w:rsid w:val="731B7C39"/>
    <w:rsid w:val="732E12B1"/>
    <w:rsid w:val="733D0A3C"/>
    <w:rsid w:val="734961CD"/>
    <w:rsid w:val="734F3E47"/>
    <w:rsid w:val="73902F8B"/>
    <w:rsid w:val="73C678FC"/>
    <w:rsid w:val="73C810E9"/>
    <w:rsid w:val="73CF37E0"/>
    <w:rsid w:val="73E867D3"/>
    <w:rsid w:val="73F02CE7"/>
    <w:rsid w:val="73F21569"/>
    <w:rsid w:val="7400632C"/>
    <w:rsid w:val="74235B8A"/>
    <w:rsid w:val="74281E02"/>
    <w:rsid w:val="7453209B"/>
    <w:rsid w:val="745C37D5"/>
    <w:rsid w:val="7464428D"/>
    <w:rsid w:val="746D6EA6"/>
    <w:rsid w:val="74741EC6"/>
    <w:rsid w:val="74794AD2"/>
    <w:rsid w:val="74B16095"/>
    <w:rsid w:val="74BE0F07"/>
    <w:rsid w:val="74C242CB"/>
    <w:rsid w:val="74C9150D"/>
    <w:rsid w:val="74D11297"/>
    <w:rsid w:val="74F77888"/>
    <w:rsid w:val="7503560E"/>
    <w:rsid w:val="750F1F5A"/>
    <w:rsid w:val="75236E65"/>
    <w:rsid w:val="752939A5"/>
    <w:rsid w:val="75373D85"/>
    <w:rsid w:val="755B23F0"/>
    <w:rsid w:val="756441E0"/>
    <w:rsid w:val="7569689C"/>
    <w:rsid w:val="75972010"/>
    <w:rsid w:val="759D43E0"/>
    <w:rsid w:val="75A738BE"/>
    <w:rsid w:val="75D13ED7"/>
    <w:rsid w:val="75E354AB"/>
    <w:rsid w:val="75ED530E"/>
    <w:rsid w:val="75F25729"/>
    <w:rsid w:val="75FD0190"/>
    <w:rsid w:val="76001D27"/>
    <w:rsid w:val="76085DC1"/>
    <w:rsid w:val="76244941"/>
    <w:rsid w:val="76270C98"/>
    <w:rsid w:val="762868A6"/>
    <w:rsid w:val="762E07D6"/>
    <w:rsid w:val="764C2E29"/>
    <w:rsid w:val="764D1C84"/>
    <w:rsid w:val="764D73DC"/>
    <w:rsid w:val="7659795A"/>
    <w:rsid w:val="76635F77"/>
    <w:rsid w:val="76676717"/>
    <w:rsid w:val="766F4658"/>
    <w:rsid w:val="76912DA9"/>
    <w:rsid w:val="769C409B"/>
    <w:rsid w:val="76BE2084"/>
    <w:rsid w:val="76C67A20"/>
    <w:rsid w:val="76F471D6"/>
    <w:rsid w:val="76F50806"/>
    <w:rsid w:val="76FA32E0"/>
    <w:rsid w:val="771072F6"/>
    <w:rsid w:val="77126D6C"/>
    <w:rsid w:val="777A7C3A"/>
    <w:rsid w:val="77A01607"/>
    <w:rsid w:val="77B40DE8"/>
    <w:rsid w:val="77B6655A"/>
    <w:rsid w:val="77D2431F"/>
    <w:rsid w:val="77FF4097"/>
    <w:rsid w:val="781E2A58"/>
    <w:rsid w:val="78295A57"/>
    <w:rsid w:val="782E504C"/>
    <w:rsid w:val="786C031B"/>
    <w:rsid w:val="787108B6"/>
    <w:rsid w:val="787B4D40"/>
    <w:rsid w:val="788D2861"/>
    <w:rsid w:val="78973E20"/>
    <w:rsid w:val="78AE511E"/>
    <w:rsid w:val="78B80928"/>
    <w:rsid w:val="78C339EC"/>
    <w:rsid w:val="78C74108"/>
    <w:rsid w:val="78CD3E56"/>
    <w:rsid w:val="78D939E3"/>
    <w:rsid w:val="78EB6EB1"/>
    <w:rsid w:val="790421B5"/>
    <w:rsid w:val="791B599B"/>
    <w:rsid w:val="79374CE7"/>
    <w:rsid w:val="794319BF"/>
    <w:rsid w:val="794C00FD"/>
    <w:rsid w:val="7955353C"/>
    <w:rsid w:val="799035A9"/>
    <w:rsid w:val="799C5E12"/>
    <w:rsid w:val="79A02A8D"/>
    <w:rsid w:val="79A53B2D"/>
    <w:rsid w:val="79AA4F75"/>
    <w:rsid w:val="79B81A90"/>
    <w:rsid w:val="79E6546C"/>
    <w:rsid w:val="79F8170D"/>
    <w:rsid w:val="79FC24F5"/>
    <w:rsid w:val="79FD14B8"/>
    <w:rsid w:val="7A096A08"/>
    <w:rsid w:val="7A2A11C4"/>
    <w:rsid w:val="7A2B2F1C"/>
    <w:rsid w:val="7A3A0843"/>
    <w:rsid w:val="7A3E6A0A"/>
    <w:rsid w:val="7A4447A6"/>
    <w:rsid w:val="7A444EC0"/>
    <w:rsid w:val="7A6A7C3A"/>
    <w:rsid w:val="7ABF5A43"/>
    <w:rsid w:val="7AC77976"/>
    <w:rsid w:val="7ADA60BB"/>
    <w:rsid w:val="7AE91B27"/>
    <w:rsid w:val="7AF367E9"/>
    <w:rsid w:val="7AF83FFF"/>
    <w:rsid w:val="7B151CB1"/>
    <w:rsid w:val="7B343384"/>
    <w:rsid w:val="7B452A87"/>
    <w:rsid w:val="7B557A15"/>
    <w:rsid w:val="7B5D050D"/>
    <w:rsid w:val="7B784687"/>
    <w:rsid w:val="7BA13BF2"/>
    <w:rsid w:val="7BBE34CB"/>
    <w:rsid w:val="7BFC0376"/>
    <w:rsid w:val="7C0773BC"/>
    <w:rsid w:val="7C0943F2"/>
    <w:rsid w:val="7C1823A4"/>
    <w:rsid w:val="7C1E37BA"/>
    <w:rsid w:val="7C3634B1"/>
    <w:rsid w:val="7C3B2D2B"/>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8173E7"/>
    <w:rsid w:val="7D8E5DA9"/>
    <w:rsid w:val="7D980DF8"/>
    <w:rsid w:val="7D9C6FEC"/>
    <w:rsid w:val="7DCC6265"/>
    <w:rsid w:val="7DE579BE"/>
    <w:rsid w:val="7DE75339"/>
    <w:rsid w:val="7DEC6415"/>
    <w:rsid w:val="7E3F35A6"/>
    <w:rsid w:val="7E3F6376"/>
    <w:rsid w:val="7E57142B"/>
    <w:rsid w:val="7E602E99"/>
    <w:rsid w:val="7E71238B"/>
    <w:rsid w:val="7E867A69"/>
    <w:rsid w:val="7E8E2BAE"/>
    <w:rsid w:val="7E900D73"/>
    <w:rsid w:val="7ED1289E"/>
    <w:rsid w:val="7EF40520"/>
    <w:rsid w:val="7EF77DD6"/>
    <w:rsid w:val="7F1163BD"/>
    <w:rsid w:val="7F171113"/>
    <w:rsid w:val="7F222559"/>
    <w:rsid w:val="7F380987"/>
    <w:rsid w:val="7F3C7D4F"/>
    <w:rsid w:val="7F3F1296"/>
    <w:rsid w:val="7F4F4807"/>
    <w:rsid w:val="7F4F614C"/>
    <w:rsid w:val="7F581501"/>
    <w:rsid w:val="7F805815"/>
    <w:rsid w:val="7F833067"/>
    <w:rsid w:val="7F8E2564"/>
    <w:rsid w:val="7F9A10F4"/>
    <w:rsid w:val="7FAE3319"/>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2018-11-16T14:48:37Z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