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2018-11-</w:t>
      </w:r>
      <w:r>
        <w:rPr>
          <w:rFonts w:hint="default" w:ascii="微软雅黑" w:hAnsi="微软雅黑" w:eastAsia="微软雅黑" w:cs="微软雅黑"/>
          <w:sz w:val="22"/>
          <w:lang w:val="en-US" w:eastAsia="zh-CN"/>
        </w:rPr>
        <w:t>2</w:t>
      </w:r>
      <w:r>
        <w:rPr>
          <w:rFonts w:hint="eastAsia" w:ascii="微软雅黑" w:hAnsi="微软雅黑" w:eastAsia="微软雅黑" w:cs="微软雅黑"/>
          <w:sz w:val="22"/>
          <w:lang w:val="en-US" w:eastAsia="zh-CN"/>
        </w:rPr>
        <w:t>3</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4113"/>
        <w:gridCol w:w="110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411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108"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28"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青松股份</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12.32</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13.06</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并购重组停牌</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持仓1000股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加仓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9.77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10.11</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不动</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持仓3000股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东软载波</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12.40</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13.61</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不动，行情结束，等待回调后做第二波。</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持仓600股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鲁信创投</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23.07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24.50</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不动，创投概念行情结束，等待回调做第二波。</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w:t>
            </w:r>
            <w:r>
              <w:rPr>
                <w:rFonts w:hint="default" w:asciiTheme="minorEastAsia" w:hAnsiTheme="minorEastAsia" w:cstheme="minorEastAsia"/>
                <w:b w:val="0"/>
                <w:i w:val="0"/>
                <w:color w:val="00B050"/>
                <w:kern w:val="0"/>
                <w:sz w:val="21"/>
                <w:szCs w:val="21"/>
                <w:u w:val="none"/>
                <w:lang w:val="en-US" w:eastAsia="zh-CN" w:bidi="ar"/>
              </w:rPr>
              <w:t>2</w:t>
            </w:r>
            <w:r>
              <w:rPr>
                <w:rFonts w:hint="eastAsia" w:asciiTheme="minorEastAsia" w:hAnsiTheme="minorEastAsia" w:cstheme="minorEastAsia"/>
                <w:b w:val="0"/>
                <w:i w:val="0"/>
                <w:color w:val="00B050"/>
                <w:kern w:val="0"/>
                <w:sz w:val="21"/>
                <w:szCs w:val="21"/>
                <w:u w:val="none"/>
                <w:lang w:val="en-US" w:eastAsia="zh-CN" w:bidi="ar"/>
              </w:rPr>
              <w:t>00股</w:t>
            </w:r>
          </w:p>
        </w:tc>
      </w:tr>
    </w:tbl>
    <w:p>
      <w:pPr>
        <w:spacing w:line="240" w:lineRule="auto"/>
        <w:rPr>
          <w:lang w:val="en-US"/>
        </w:rPr>
      </w:pPr>
      <w:bookmarkStart w:id="0" w:name="9057-1536542303601"/>
      <w:bookmarkEnd w:id="0"/>
      <w:bookmarkStart w:id="1" w:name="7380-1536542303605"/>
      <w:bookmarkEnd w:id="1"/>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9</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6</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3</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6/3</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1000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5400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4</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4</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0/4</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-250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-1154.49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0/4</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200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1096-1536542303639"/>
      <w:bookmarkEnd w:id="2"/>
      <w:bookmarkStart w:id="3" w:name="1227-1536542303637"/>
      <w:bookmarkEnd w:id="3"/>
      <w:bookmarkStart w:id="4" w:name="3677-1536542303641"/>
      <w:bookmarkEnd w:id="4"/>
      <w:bookmarkStart w:id="5" w:name="2151-1536542303645"/>
      <w:bookmarkEnd w:id="5"/>
      <w:bookmarkStart w:id="6" w:name="8416-1536542303643"/>
      <w:bookmarkEnd w:id="6"/>
      <w:bookmarkStart w:id="7" w:name="2911-1536542303635"/>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numPr>
          <w:ilvl w:val="0"/>
          <w:numId w:val="1"/>
        </w:numPr>
        <w:spacing w:line="240" w:lineRule="auto"/>
        <w:ind w:left="105"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上证：</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收盘2579.48，-2.49%，成交额1500亿下跌发放量。 创投彻底熄火，大盘指数拐点，下跌正常。</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drawing>
          <wp:inline distT="0" distB="0" distL="114300" distR="114300">
            <wp:extent cx="5266055" cy="2870835"/>
            <wp:effectExtent l="0" t="0" r="1079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2870835"/>
                    </a:xfrm>
                    <a:prstGeom prst="rect">
                      <a:avLst/>
                    </a:prstGeom>
                    <a:noFill/>
                    <a:ln w="9525">
                      <a:noFill/>
                    </a:ln>
                  </pic:spPr>
                </pic:pic>
              </a:graphicData>
            </a:graphic>
          </wp:inline>
        </w:drawing>
      </w:r>
    </w:p>
    <w:p>
      <w:pPr>
        <w:numPr>
          <w:ilvl w:val="0"/>
          <w:numId w:val="0"/>
        </w:numPr>
        <w:spacing w:line="240" w:lineRule="auto"/>
        <w:ind w:left="105" w:leftChars="0"/>
        <w:rPr>
          <w:rFonts w:hint="eastAsia" w:asciiTheme="minorEastAsia" w:hAnsiTheme="minorEastAsia" w:cstheme="minorEastAsia"/>
          <w:sz w:val="21"/>
          <w:szCs w:val="21"/>
          <w:lang w:val="en-US" w:eastAsia="zh-CN"/>
        </w:rPr>
      </w:pPr>
    </w:p>
    <w:p>
      <w:pPr>
        <w:numPr>
          <w:ilvl w:val="0"/>
          <w:numId w:val="0"/>
        </w:numPr>
        <w:spacing w:line="240" w:lineRule="auto"/>
        <w:rPr>
          <w:rFonts w:hint="eastAsia" w:asciiTheme="minorEastAsia" w:hAnsiTheme="minorEastAsia" w:cstheme="minorEastAsia"/>
          <w:sz w:val="21"/>
          <w:szCs w:val="21"/>
          <w:lang w:val="en-US" w:eastAsia="zh-CN"/>
        </w:rPr>
      </w:pPr>
    </w:p>
    <w:p>
      <w:pPr>
        <w:numPr>
          <w:ilvl w:val="0"/>
          <w:numId w:val="0"/>
        </w:numPr>
        <w:spacing w:line="240" w:lineRule="auto"/>
        <w:rPr>
          <w:rFonts w:hint="eastAsia"/>
          <w:lang w:val="en-US" w:eastAsia="zh-CN"/>
        </w:rPr>
      </w:pPr>
      <w:r>
        <w:rPr>
          <w:rFonts w:hint="eastAsia"/>
          <w:lang w:val="en-US" w:eastAsia="zh-CN"/>
        </w:rPr>
        <w:t>2. 上证50：239.20，-1.58%</w:t>
      </w:r>
    </w:p>
    <w:p>
      <w:pPr>
        <w:numPr>
          <w:ilvl w:val="0"/>
          <w:numId w:val="2"/>
        </w:numPr>
        <w:spacing w:line="240" w:lineRule="auto"/>
        <w:rPr>
          <w:rFonts w:hint="eastAsia"/>
          <w:lang w:val="en-US" w:eastAsia="zh-CN"/>
        </w:rPr>
      </w:pPr>
      <w:r>
        <w:rPr>
          <w:rFonts w:hint="eastAsia"/>
          <w:lang w:val="en-US" w:eastAsia="zh-CN"/>
        </w:rPr>
        <w:t xml:space="preserve">港股：25927.68，-0.35% </w:t>
      </w:r>
    </w:p>
    <w:p>
      <w:pPr>
        <w:numPr>
          <w:ilvl w:val="0"/>
          <w:numId w:val="2"/>
        </w:numPr>
        <w:spacing w:line="240" w:lineRule="auto"/>
        <w:rPr>
          <w:rFonts w:hint="eastAsia"/>
          <w:lang w:val="en-US" w:eastAsia="zh-CN"/>
        </w:rPr>
      </w:pPr>
      <w:r>
        <w:rPr>
          <w:rFonts w:hint="eastAsia"/>
          <w:lang w:val="en-US" w:eastAsia="zh-CN"/>
        </w:rPr>
        <w:t>人民币： 6.9413，+154基点</w:t>
      </w:r>
    </w:p>
    <w:p>
      <w:pPr>
        <w:numPr>
          <w:ilvl w:val="0"/>
          <w:numId w:val="2"/>
        </w:numPr>
        <w:spacing w:line="240" w:lineRule="auto"/>
        <w:rPr>
          <w:rFonts w:hint="eastAsia"/>
          <w:lang w:val="en-US" w:eastAsia="zh-CN"/>
        </w:rPr>
      </w:pPr>
      <w:r>
        <w:rPr>
          <w:rFonts w:hint="eastAsia"/>
          <w:lang w:val="en-US" w:eastAsia="zh-CN"/>
        </w:rPr>
        <w:t>GC001：2.785，+5.49%</w:t>
      </w:r>
    </w:p>
    <w:p>
      <w:pPr>
        <w:numPr>
          <w:ilvl w:val="0"/>
          <w:numId w:val="2"/>
        </w:numPr>
        <w:spacing w:line="240" w:lineRule="auto"/>
        <w:rPr>
          <w:rFonts w:hint="eastAsia"/>
          <w:lang w:val="en-US" w:eastAsia="zh-CN"/>
        </w:rPr>
      </w:pPr>
      <w:r>
        <w:rPr>
          <w:rFonts w:hint="eastAsia"/>
          <w:lang w:val="en-US" w:eastAsia="zh-CN"/>
        </w:rPr>
        <w:t>融资融券余额：7822亿，</w:t>
      </w:r>
      <w:r>
        <w:rPr>
          <w:rFonts w:hint="eastAsia"/>
          <w:color w:val="FF0000"/>
          <w:lang w:val="en-US" w:eastAsia="zh-CN"/>
        </w:rPr>
        <w:t>+2.09</w:t>
      </w:r>
      <w:r>
        <w:rPr>
          <w:rFonts w:hint="eastAsia"/>
          <w:lang w:val="en-US" w:eastAsia="zh-CN"/>
        </w:rPr>
        <w:t>亿</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393A4C"/>
          <w:spacing w:val="0"/>
          <w:sz w:val="21"/>
          <w:szCs w:val="21"/>
          <w:lang w:eastAsia="zh-CN"/>
        </w:rPr>
      </w:pPr>
      <w:r>
        <w:rPr>
          <w:rFonts w:hint="eastAsia" w:asciiTheme="minorEastAsia" w:hAnsiTheme="minorEastAsia" w:eastAsiaTheme="minorEastAsia" w:cstheme="minorEastAsia"/>
          <w:i w:val="0"/>
          <w:caps w:val="0"/>
          <w:color w:val="393A4C"/>
          <w:spacing w:val="0"/>
          <w:sz w:val="21"/>
          <w:szCs w:val="21"/>
          <w:shd w:val="clear" w:fill="FFFFFF"/>
        </w:rPr>
        <w:t>【宏观要闻】</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Style w:val="4"/>
          <w:rFonts w:hint="eastAsia" w:asciiTheme="minorEastAsia" w:hAnsiTheme="minorEastAsia" w:cstheme="minorEastAsia"/>
          <w:b/>
          <w:i w:val="0"/>
          <w:caps w:val="0"/>
          <w:color w:val="E53333"/>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E53333"/>
          <w:spacing w:val="0"/>
          <w:sz w:val="21"/>
          <w:szCs w:val="21"/>
          <w:shd w:val="clear" w:fill="FFFFFF"/>
        </w:rPr>
        <w:t>沪深交易所发布高送转信息披露指引</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上市公司披露高送转方案的，其最近两年同期净利润应当持续增长，且每股送转比例不得高于上市公司最近两年同期净利润的复合增长率。上市公司送转股方案提出的最近一个报告期净利润或预计净利润为负值、净利润同比下降50%以上、或者送转后每股收益低于0.2元的，不得披露高送转方案。上市公司提议股东、控股股东及其一致行动人、董事、监事及高级管理人员在前3个月存在减持情形或者后3个月存在减持计划的，公司不得披露高送转方案。</w:t>
      </w:r>
      <w:bookmarkStart w:id="14" w:name="_GoBack"/>
      <w:bookmarkEnd w:id="14"/>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E53333"/>
          <w:spacing w:val="0"/>
          <w:sz w:val="21"/>
          <w:szCs w:val="21"/>
          <w:shd w:val="clear" w:fill="FFFFFF"/>
        </w:rPr>
        <w:t>证监会：任何人不得利用股份回购从事内幕交易、操纵市场等证券违法行为</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证监会23日发布关于认真学习贯彻《全国人民代表大会常务委员会关于修改〈中华人民共和国公司法〉 的决定》的通知称，控股股东、实际控制人要积极支持上市公司完善股份回购机制，依法实施股份回购。全体董事应当履职尽责，确保回购股份不损害上市公司的债务履行能力和持续经营能力，回购后的股权分布原则上仍应符合上市条件。</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FF0000"/>
          <w:spacing w:val="0"/>
          <w:sz w:val="21"/>
          <w:szCs w:val="21"/>
        </w:rPr>
      </w:pPr>
      <w:r>
        <w:rPr>
          <w:rFonts w:hint="eastAsia" w:asciiTheme="minorEastAsia" w:hAnsiTheme="minorEastAsia" w:eastAsiaTheme="minorEastAsia" w:cstheme="minorEastAsia"/>
          <w:i w:val="0"/>
          <w:caps w:val="0"/>
          <w:color w:val="FF0000"/>
          <w:spacing w:val="0"/>
          <w:sz w:val="21"/>
          <w:szCs w:val="21"/>
          <w:shd w:val="clear" w:fill="FFFFFF"/>
        </w:rPr>
        <w:t>证监会：将继续整合行政处罚力量严惩资本市场违规行为</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证监会新闻发言人常德鹏23日表示，近年来派出机构行政处罚水平不断提升，囊括市场操纵、内幕交易、中介机构未勤勉尽责等各类违法行为，对辖区各类违法行为及时查处，证监会将继续整合行政处罚力量，上下联动，严惩资本市场违规行为。</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【资讯快报】</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Style w:val="4"/>
          <w:rFonts w:hint="eastAsia" w:asciiTheme="minorEastAsia" w:hAnsiTheme="minorEastAsia" w:eastAsiaTheme="minorEastAsia" w:cstheme="minorEastAsia"/>
          <w:b/>
          <w:i w:val="0"/>
          <w:caps w:val="0"/>
          <w:color w:val="E53333"/>
          <w:spacing w:val="0"/>
          <w:sz w:val="21"/>
          <w:szCs w:val="21"/>
          <w:shd w:val="clear" w:fill="FFFFFF"/>
        </w:rPr>
        <w:t>上交所：上市公司在回购股份方案中 必须明确上下限且上限不得超出下限的1倍</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Style w:val="4"/>
          <w:rFonts w:hint="eastAsia" w:asciiTheme="minorEastAsia" w:hAnsiTheme="minorEastAsia" w:eastAsiaTheme="minorEastAsia" w:cstheme="minorEastAsia"/>
          <w:b/>
          <w:i w:val="0"/>
          <w:caps w:val="0"/>
          <w:color w:val="E53333"/>
          <w:spacing w:val="0"/>
          <w:sz w:val="21"/>
          <w:szCs w:val="21"/>
          <w:shd w:val="clear" w:fill="FFFFFF"/>
        </w:rPr>
        <w:t>上交所就</w:t>
      </w:r>
      <w:r>
        <w:rPr>
          <w:rStyle w:val="4"/>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Style w:val="4"/>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"http://www.yuncaijing.com/quote/sh600604.html" \t "https://www.yuncaijing.com/news/_blank" </w:instrText>
      </w:r>
      <w:r>
        <w:rPr>
          <w:rStyle w:val="4"/>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市北高新(600604)</w:t>
      </w:r>
      <w:r>
        <w:rPr>
          <w:rStyle w:val="4"/>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Style w:val="4"/>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Style w:val="4"/>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"https://www.yuncaijing.com/quote/sh600604_multi.html" \t "https://www.yuncaijing.com/news/_blank" </w:instrText>
      </w:r>
      <w:r>
        <w:rPr>
          <w:rStyle w:val="4"/>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4"/>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Style w:val="4"/>
          <w:rFonts w:hint="eastAsia" w:asciiTheme="minorEastAsia" w:hAnsiTheme="minorEastAsia" w:eastAsiaTheme="minorEastAsia" w:cstheme="minorEastAsia"/>
          <w:b/>
          <w:i w:val="0"/>
          <w:caps w:val="0"/>
          <w:color w:val="E53333"/>
          <w:spacing w:val="0"/>
          <w:sz w:val="21"/>
          <w:szCs w:val="21"/>
          <w:shd w:val="clear" w:fill="FFFFFF"/>
        </w:rPr>
        <w:t>异常走势向部分券商发提示函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彭博大宗商品指数跌至2017年7月以来的最低点</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上交所拟规定上市公司可通过金融机构借款等回购股份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E53333"/>
          <w:spacing w:val="0"/>
          <w:sz w:val="21"/>
          <w:szCs w:val="21"/>
          <w:shd w:val="clear" w:fill="FFFFFF"/>
        </w:rPr>
        <w:t>中金所修订风险控制管理办法 明确结算担保金补缴上限</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三部委调整天然气进口税收优惠政策</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工行：未来三年民营企业贷款每年净增不少于2000亿元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E53333"/>
          <w:spacing w:val="0"/>
          <w:sz w:val="21"/>
          <w:szCs w:val="21"/>
          <w:shd w:val="clear" w:fill="FFFFFF"/>
        </w:rPr>
        <w:t>新华社：“史上最严”退市新规威力初显 退市常态化将成为大趋势</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MSCI中国区指数研究负责人：海外机构投资者配置A股会有进一步动作</w:t>
      </w:r>
    </w:p>
    <w:p>
      <w:pPr>
        <w:widowControl w:val="0"/>
        <w:numPr>
          <w:ilvl w:val="0"/>
          <w:numId w:val="0"/>
        </w:numPr>
        <w:tabs>
          <w:tab w:val="left" w:pos="312"/>
        </w:tabs>
        <w:spacing w:line="240" w:lineRule="auto"/>
        <w:jc w:val="both"/>
        <w:rPr>
          <w:rFonts w:hint="eastAsia"/>
          <w:lang w:val="en-US" w:eastAsia="zh-CN"/>
        </w:rPr>
      </w:pPr>
      <w:r>
        <w:rPr>
          <w:rFonts w:hint="eastAsia" w:asciiTheme="minorEastAsia" w:hAnsiTheme="minorEastAsia" w:cstheme="minorEastAsia"/>
          <w:i w:val="0"/>
          <w:caps w:val="0"/>
          <w:color w:val="393A4C"/>
          <w:spacing w:val="0"/>
          <w:sz w:val="21"/>
          <w:szCs w:val="21"/>
          <w:lang w:val="en-US" w:eastAsia="zh-CN"/>
        </w:rPr>
        <w:t xml:space="preserve">   </w:t>
      </w:r>
    </w:p>
    <w:p>
      <w:pPr>
        <w:spacing w:line="240" w:lineRule="auto"/>
        <w:rPr>
          <w:rFonts w:hint="eastAsia"/>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130-1536542303665"/>
      <w:bookmarkEnd w:id="9"/>
      <w:bookmarkStart w:id="10" w:name="8598-1536542303673"/>
      <w:bookmarkEnd w:id="10"/>
    </w:p>
    <w:p>
      <w:pPr>
        <w:spacing w:line="240" w:lineRule="auto"/>
        <w:rPr>
          <w:rFonts w:hint="eastAsia"/>
          <w:strike w:val="0"/>
          <w:dstrike w:val="0"/>
          <w:color w:val="auto"/>
          <w:lang w:val="en-US" w:eastAsia="zh-CN"/>
        </w:rPr>
      </w:pPr>
      <w:r>
        <w:rPr>
          <w:rFonts w:hint="eastAsia"/>
          <w:strike w:val="0"/>
          <w:dstrike w:val="0"/>
          <w:color w:val="auto"/>
          <w:lang w:val="en-US" w:eastAsia="zh-CN"/>
        </w:rPr>
        <w:t>11-14日关注股票：</w:t>
      </w:r>
    </w:p>
    <w:p>
      <w:pPr>
        <w:spacing w:line="240" w:lineRule="auto"/>
        <w:rPr>
          <w:rFonts w:hint="eastAsia"/>
          <w:strike w:val="0"/>
          <w:dstrike w:val="0"/>
          <w:color w:val="00B050"/>
          <w:lang w:val="en-US" w:eastAsia="zh-CN"/>
        </w:rPr>
      </w:pPr>
      <w:r>
        <w:rPr>
          <w:rFonts w:hint="eastAsia"/>
          <w:strike/>
          <w:dstrike w:val="0"/>
          <w:color w:val="FF0000"/>
          <w:lang w:val="en-US" w:eastAsia="zh-CN"/>
        </w:rPr>
        <w:t>乔治白（+10.00%）</w:t>
      </w:r>
      <w:r>
        <w:rPr>
          <w:rFonts w:hint="eastAsia"/>
          <w:strike w:val="0"/>
          <w:dstrike w:val="0"/>
          <w:color w:val="00B050"/>
          <w:lang w:val="en-US" w:eastAsia="zh-CN"/>
        </w:rPr>
        <w:t>，国海证券加仓做T，阳光电源开盘集合竞价买入建仓。</w:t>
      </w:r>
    </w:p>
    <w:p>
      <w:pPr>
        <w:spacing w:line="240" w:lineRule="auto"/>
        <w:rPr>
          <w:rFonts w:hint="eastAsia"/>
          <w:strike w:val="0"/>
          <w:dstrike w:val="0"/>
          <w:color w:val="00B050"/>
          <w:lang w:val="en-US" w:eastAsia="zh-CN"/>
        </w:rPr>
      </w:pPr>
      <w:r>
        <w:rPr>
          <w:rFonts w:hint="eastAsia"/>
          <w:strike w:val="0"/>
          <w:dstrike w:val="0"/>
          <w:color w:val="00B050"/>
          <w:lang w:val="en-US" w:eastAsia="zh-CN"/>
        </w:rPr>
        <w:t>早盘低位减仓，下午大盘下跌被套-1.5%</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11-15日关注股票：</w:t>
      </w:r>
    </w:p>
    <w:p>
      <w:pPr>
        <w:spacing w:line="240" w:lineRule="auto"/>
        <w:rPr>
          <w:rFonts w:hint="eastAsia"/>
          <w:strike/>
          <w:dstrike w:val="0"/>
          <w:color w:val="FF0000"/>
          <w:lang w:val="en-US" w:eastAsia="zh-CN"/>
        </w:rPr>
      </w:pPr>
      <w:r>
        <w:rPr>
          <w:rFonts w:hint="eastAsia"/>
          <w:strike/>
          <w:dstrike w:val="0"/>
          <w:color w:val="FF0000"/>
          <w:lang w:val="en-US" w:eastAsia="zh-CN"/>
        </w:rPr>
        <w:t>光洋股票（+10.0</w:t>
      </w:r>
      <w:r>
        <w:rPr>
          <w:rFonts w:hint="default"/>
          <w:strike/>
          <w:dstrike w:val="0"/>
          <w:color w:val="FF0000"/>
          <w:lang w:val="en-US" w:eastAsia="zh-CN"/>
        </w:rPr>
        <w:t>6</w:t>
      </w:r>
      <w:r>
        <w:rPr>
          <w:rFonts w:hint="eastAsia"/>
          <w:strike/>
          <w:dstrike w:val="0"/>
          <w:color w:val="FF0000"/>
          <w:lang w:val="en-US" w:eastAsia="zh-CN"/>
        </w:rPr>
        <w:t>%）</w:t>
      </w:r>
      <w:r>
        <w:rPr>
          <w:rFonts w:hint="eastAsia"/>
          <w:strike/>
          <w:dstrike w:val="0"/>
          <w:color w:val="auto"/>
          <w:lang w:val="en-US" w:eastAsia="zh-CN"/>
        </w:rPr>
        <w:t>、</w:t>
      </w:r>
      <w:r>
        <w:rPr>
          <w:rFonts w:hint="eastAsia"/>
          <w:strike/>
          <w:dstrike w:val="0"/>
          <w:color w:val="00B050"/>
          <w:lang w:val="en-US" w:eastAsia="zh-CN"/>
        </w:rPr>
        <w:t>国际实业</w:t>
      </w:r>
      <w:r>
        <w:rPr>
          <w:rFonts w:hint="default"/>
          <w:strike/>
          <w:dstrike w:val="0"/>
          <w:color w:val="00B050"/>
          <w:lang w:val="en-US" w:eastAsia="zh-CN"/>
        </w:rPr>
        <w:t>(-6.26%)</w:t>
      </w:r>
      <w:r>
        <w:rPr>
          <w:rFonts w:hint="eastAsia"/>
          <w:strike/>
          <w:dstrike w:val="0"/>
          <w:color w:val="auto"/>
          <w:lang w:val="en-US" w:eastAsia="zh-CN"/>
        </w:rPr>
        <w:t>、</w:t>
      </w:r>
      <w:r>
        <w:rPr>
          <w:rFonts w:hint="eastAsia"/>
          <w:strike/>
          <w:dstrike w:val="0"/>
          <w:color w:val="FF0000"/>
          <w:lang w:val="en-US" w:eastAsia="zh-CN"/>
        </w:rPr>
        <w:t>德美化工</w:t>
      </w:r>
      <w:r>
        <w:rPr>
          <w:rFonts w:hint="default"/>
          <w:strike/>
          <w:dstrike w:val="0"/>
          <w:color w:val="FF0000"/>
          <w:lang w:val="en-US" w:eastAsia="zh-CN"/>
        </w:rPr>
        <w:t>(+1.90%)</w:t>
      </w:r>
      <w:r>
        <w:rPr>
          <w:rFonts w:hint="eastAsia"/>
          <w:strike/>
          <w:dstrike w:val="0"/>
          <w:color w:val="auto"/>
          <w:lang w:val="en-US" w:eastAsia="zh-CN"/>
        </w:rPr>
        <w:t>、</w:t>
      </w:r>
      <w:r>
        <w:rPr>
          <w:rFonts w:hint="eastAsia"/>
          <w:strike/>
          <w:dstrike w:val="0"/>
          <w:color w:val="00B050"/>
          <w:lang w:val="en-US" w:eastAsia="zh-CN"/>
        </w:rPr>
        <w:t>赫美集团</w:t>
      </w:r>
      <w:r>
        <w:rPr>
          <w:rFonts w:hint="default"/>
          <w:strike/>
          <w:dstrike w:val="0"/>
          <w:color w:val="00B050"/>
          <w:lang w:val="en-US" w:eastAsia="zh-CN"/>
        </w:rPr>
        <w:t>(-6.30%)</w:t>
      </w:r>
      <w:r>
        <w:rPr>
          <w:rFonts w:hint="eastAsia"/>
          <w:strike/>
          <w:dstrike w:val="0"/>
          <w:color w:val="auto"/>
          <w:lang w:val="en-US" w:eastAsia="zh-CN"/>
        </w:rPr>
        <w:t>、</w:t>
      </w:r>
      <w:r>
        <w:rPr>
          <w:rFonts w:hint="eastAsia"/>
          <w:strike/>
          <w:dstrike w:val="0"/>
          <w:color w:val="00B050"/>
          <w:lang w:val="en-US" w:eastAsia="zh-CN"/>
        </w:rPr>
        <w:t>康达新材</w:t>
      </w:r>
      <w:r>
        <w:rPr>
          <w:rFonts w:hint="default"/>
          <w:strike/>
          <w:dstrike w:val="0"/>
          <w:color w:val="00B050"/>
          <w:lang w:val="en-US" w:eastAsia="zh-CN"/>
        </w:rPr>
        <w:t>(-0.94%)</w:t>
      </w:r>
      <w:r>
        <w:rPr>
          <w:rFonts w:hint="eastAsia"/>
          <w:strike/>
          <w:dstrike w:val="0"/>
          <w:color w:val="FF0000"/>
          <w:lang w:val="en-US" w:eastAsia="zh-CN"/>
        </w:rPr>
        <w:t>、博天环境</w:t>
      </w:r>
      <w:r>
        <w:rPr>
          <w:rFonts w:hint="default"/>
          <w:strike/>
          <w:dstrike w:val="0"/>
          <w:color w:val="FF0000"/>
          <w:lang w:val="en-US" w:eastAsia="zh-CN"/>
        </w:rPr>
        <w:t>(+8.51%)</w:t>
      </w:r>
      <w:r>
        <w:rPr>
          <w:rFonts w:hint="eastAsia"/>
          <w:strike/>
          <w:dstrike w:val="0"/>
          <w:color w:val="auto"/>
          <w:lang w:val="en-US" w:eastAsia="zh-CN"/>
        </w:rPr>
        <w:t>、</w:t>
      </w:r>
      <w:r>
        <w:rPr>
          <w:rFonts w:hint="eastAsia"/>
          <w:strike/>
          <w:dstrike w:val="0"/>
          <w:color w:val="00B050"/>
          <w:lang w:val="en-US" w:eastAsia="zh-CN"/>
        </w:rPr>
        <w:t>西陇科学</w:t>
      </w:r>
      <w:r>
        <w:rPr>
          <w:rFonts w:hint="default"/>
          <w:strike/>
          <w:dstrike w:val="0"/>
          <w:color w:val="00B050"/>
          <w:lang w:val="en-US" w:eastAsia="zh-CN"/>
        </w:rPr>
        <w:t>(</w:t>
      </w:r>
      <w:r>
        <w:rPr>
          <w:rFonts w:hint="eastAsia"/>
          <w:strike/>
          <w:dstrike w:val="0"/>
          <w:color w:val="00B050"/>
          <w:lang w:val="en-US" w:eastAsia="zh-CN"/>
        </w:rPr>
        <w:t>-4.29</w:t>
      </w:r>
      <w:r>
        <w:rPr>
          <w:rFonts w:hint="default"/>
          <w:strike/>
          <w:dstrike w:val="0"/>
          <w:color w:val="00B050"/>
          <w:lang w:val="en-US" w:eastAsia="zh-CN"/>
        </w:rPr>
        <w:t>%)</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default"/>
          <w:strike w:val="0"/>
          <w:dstrike w:val="0"/>
          <w:color w:val="auto"/>
          <w:lang w:val="en-US" w:eastAsia="zh-CN"/>
        </w:rPr>
        <w:t>11-1</w:t>
      </w:r>
      <w:r>
        <w:rPr>
          <w:rFonts w:hint="eastAsia"/>
          <w:strike w:val="0"/>
          <w:dstrike w:val="0"/>
          <w:color w:val="auto"/>
          <w:lang w:val="en-US" w:eastAsia="zh-CN"/>
        </w:rPr>
        <w:t>6 关注股票：</w:t>
      </w:r>
    </w:p>
    <w:p>
      <w:pPr>
        <w:spacing w:line="240" w:lineRule="auto"/>
        <w:rPr>
          <w:rFonts w:hint="eastAsia"/>
          <w:strike/>
          <w:dstrike w:val="0"/>
          <w:color w:val="00B050"/>
          <w:lang w:val="en-US" w:eastAsia="zh-CN"/>
        </w:rPr>
      </w:pPr>
      <w:r>
        <w:rPr>
          <w:rFonts w:hint="eastAsia"/>
          <w:strike/>
          <w:dstrike w:val="0"/>
          <w:color w:val="00B050"/>
          <w:lang w:val="en-US" w:eastAsia="zh-CN"/>
        </w:rPr>
        <w:t>双林股份</w:t>
      </w:r>
      <w:r>
        <w:rPr>
          <w:rFonts w:hint="default"/>
          <w:strike/>
          <w:dstrike w:val="0"/>
          <w:color w:val="00B050"/>
          <w:lang w:val="en-US" w:eastAsia="zh-CN"/>
        </w:rPr>
        <w:t>(</w:t>
      </w:r>
      <w:r>
        <w:rPr>
          <w:rFonts w:hint="eastAsia"/>
          <w:strike/>
          <w:dstrike w:val="0"/>
          <w:color w:val="00B050"/>
          <w:lang w:val="en-US" w:eastAsia="zh-CN"/>
        </w:rPr>
        <w:t>-1.63</w:t>
      </w:r>
      <w:r>
        <w:rPr>
          <w:rFonts w:hint="default"/>
          <w:strike/>
          <w:dstrike w:val="0"/>
          <w:color w:val="00B050"/>
          <w:lang w:val="en-US" w:eastAsia="zh-CN"/>
        </w:rPr>
        <w:t>%)</w:t>
      </w:r>
      <w:r>
        <w:rPr>
          <w:rFonts w:hint="eastAsia"/>
          <w:strike/>
          <w:dstrike w:val="0"/>
          <w:color w:val="FF0000"/>
          <w:lang w:val="en-US" w:eastAsia="zh-CN"/>
        </w:rPr>
        <w:t>（独角兽）、佳都科技</w:t>
      </w:r>
      <w:r>
        <w:rPr>
          <w:rFonts w:hint="default"/>
          <w:strike/>
          <w:dstrike w:val="0"/>
          <w:color w:val="FF0000"/>
          <w:lang w:val="en-US" w:eastAsia="zh-CN"/>
        </w:rPr>
        <w:t>(+</w:t>
      </w:r>
      <w:r>
        <w:rPr>
          <w:rFonts w:hint="eastAsia"/>
          <w:strike/>
          <w:dstrike w:val="0"/>
          <w:color w:val="FF0000"/>
          <w:lang w:val="en-US" w:eastAsia="zh-CN"/>
        </w:rPr>
        <w:t>1.72</w:t>
      </w:r>
      <w:r>
        <w:rPr>
          <w:rFonts w:hint="default"/>
          <w:strike/>
          <w:dstrike w:val="0"/>
          <w:color w:val="FF0000"/>
          <w:lang w:val="en-US" w:eastAsia="zh-CN"/>
        </w:rPr>
        <w:t>%)</w:t>
      </w:r>
      <w:r>
        <w:rPr>
          <w:rFonts w:hint="eastAsia"/>
          <w:strike/>
          <w:dstrike w:val="0"/>
          <w:color w:val="FF0000"/>
          <w:lang w:val="en-US" w:eastAsia="zh-CN"/>
        </w:rPr>
        <w:t>（独角兽+人工智能）、天华超净</w:t>
      </w:r>
      <w:r>
        <w:rPr>
          <w:rFonts w:hint="default"/>
          <w:strike/>
          <w:dstrike w:val="0"/>
          <w:color w:val="FF0000"/>
          <w:lang w:val="en-US" w:eastAsia="zh-CN"/>
        </w:rPr>
        <w:t>(</w:t>
      </w:r>
      <w:r>
        <w:rPr>
          <w:rFonts w:hint="eastAsia"/>
          <w:strike/>
          <w:dstrike w:val="0"/>
          <w:color w:val="FF0000"/>
          <w:lang w:val="en-US" w:eastAsia="zh-CN"/>
        </w:rPr>
        <w:t>-2.90</w:t>
      </w:r>
      <w:r>
        <w:rPr>
          <w:rFonts w:hint="default"/>
          <w:strike/>
          <w:dstrike w:val="0"/>
          <w:color w:val="FF0000"/>
          <w:lang w:val="en-US" w:eastAsia="zh-CN"/>
        </w:rPr>
        <w:t>%)</w:t>
      </w:r>
      <w:r>
        <w:rPr>
          <w:rFonts w:hint="eastAsia"/>
          <w:strike/>
          <w:dstrike w:val="0"/>
          <w:color w:val="FF0000"/>
          <w:lang w:val="en-US" w:eastAsia="zh-CN"/>
        </w:rPr>
        <w:t>（独角兽）、</w:t>
      </w:r>
      <w:r>
        <w:rPr>
          <w:rFonts w:hint="eastAsia"/>
          <w:strike/>
          <w:dstrike w:val="0"/>
          <w:color w:val="00B050"/>
          <w:lang w:val="en-US" w:eastAsia="zh-CN"/>
        </w:rPr>
        <w:t>麦达数字</w:t>
      </w:r>
      <w:r>
        <w:rPr>
          <w:rFonts w:hint="default"/>
          <w:strike/>
          <w:dstrike w:val="0"/>
          <w:color w:val="00B050"/>
          <w:lang w:val="en-US" w:eastAsia="zh-CN"/>
        </w:rPr>
        <w:t>(-0.81%)</w:t>
      </w:r>
      <w:r>
        <w:rPr>
          <w:rFonts w:hint="eastAsia"/>
          <w:strike/>
          <w:dstrike w:val="0"/>
          <w:color w:val="00B050"/>
          <w:lang w:val="en-US" w:eastAsia="zh-CN"/>
        </w:rPr>
        <w:t>（独角兽）</w:t>
      </w:r>
    </w:p>
    <w:p>
      <w:pPr>
        <w:spacing w:line="240" w:lineRule="auto"/>
        <w:rPr>
          <w:rFonts w:hint="eastAsia"/>
          <w:strike/>
          <w:dstrike w:val="0"/>
          <w:color w:val="FF0000"/>
          <w:lang w:val="en-US" w:eastAsia="zh-CN"/>
        </w:rPr>
      </w:pPr>
      <w:r>
        <w:rPr>
          <w:rFonts w:hint="eastAsia"/>
          <w:strike/>
          <w:dstrike w:val="0"/>
          <w:color w:val="FF0000"/>
          <w:lang w:val="en-US" w:eastAsia="zh-CN"/>
        </w:rPr>
        <w:t>鲁信创投</w:t>
      </w:r>
      <w:r>
        <w:rPr>
          <w:rFonts w:hint="default"/>
          <w:strike/>
          <w:dstrike w:val="0"/>
          <w:color w:val="FF0000"/>
          <w:lang w:val="en-US" w:eastAsia="zh-CN"/>
        </w:rPr>
        <w:t>(+9.99%)</w:t>
      </w:r>
      <w:r>
        <w:rPr>
          <w:rFonts w:hint="eastAsia"/>
          <w:strike/>
          <w:dstrike w:val="0"/>
          <w:color w:val="FF0000"/>
          <w:lang w:val="en-US" w:eastAsia="zh-CN"/>
        </w:rPr>
        <w:t>（创投）、九鼎投资</w:t>
      </w:r>
      <w:r>
        <w:rPr>
          <w:rFonts w:hint="default"/>
          <w:strike/>
          <w:dstrike w:val="0"/>
          <w:color w:val="FF0000"/>
          <w:lang w:val="en-US" w:eastAsia="zh-CN"/>
        </w:rPr>
        <w:t>(+10.01%)</w:t>
      </w:r>
      <w:r>
        <w:rPr>
          <w:rFonts w:hint="eastAsia"/>
          <w:strike/>
          <w:dstrike w:val="0"/>
          <w:color w:val="FF0000"/>
          <w:lang w:val="en-US" w:eastAsia="zh-CN"/>
        </w:rPr>
        <w:t>（创投）、西安旅游</w:t>
      </w:r>
      <w:r>
        <w:rPr>
          <w:rFonts w:hint="default"/>
          <w:strike/>
          <w:dstrike w:val="0"/>
          <w:color w:val="FF0000"/>
          <w:lang w:val="en-US" w:eastAsia="zh-CN"/>
        </w:rPr>
        <w:t>(+9.95%)</w:t>
      </w:r>
      <w:r>
        <w:rPr>
          <w:rFonts w:hint="eastAsia"/>
          <w:strike/>
          <w:dstrike w:val="0"/>
          <w:color w:val="FF0000"/>
          <w:lang w:val="en-US" w:eastAsia="zh-CN"/>
        </w:rPr>
        <w:t>（创投）、张江高科</w:t>
      </w:r>
      <w:r>
        <w:rPr>
          <w:rFonts w:hint="default"/>
          <w:strike/>
          <w:dstrike w:val="0"/>
          <w:color w:val="FF0000"/>
          <w:lang w:val="en-US" w:eastAsia="zh-CN"/>
        </w:rPr>
        <w:t>(+9.99%)</w:t>
      </w:r>
      <w:r>
        <w:rPr>
          <w:rFonts w:hint="eastAsia"/>
          <w:strike/>
          <w:dstrike w:val="0"/>
          <w:color w:val="FF0000"/>
          <w:lang w:val="en-US" w:eastAsia="zh-CN"/>
        </w:rPr>
        <w:t>（创投）、佳隆股份</w:t>
      </w:r>
      <w:r>
        <w:rPr>
          <w:rFonts w:hint="default"/>
          <w:strike/>
          <w:dstrike w:val="0"/>
          <w:color w:val="FF0000"/>
          <w:lang w:val="en-US" w:eastAsia="zh-CN"/>
        </w:rPr>
        <w:t>(+8.31%)</w:t>
      </w:r>
      <w:r>
        <w:rPr>
          <w:rFonts w:hint="eastAsia"/>
          <w:strike/>
          <w:dstrike w:val="0"/>
          <w:color w:val="FF0000"/>
          <w:lang w:val="en-US" w:eastAsia="zh-CN"/>
        </w:rPr>
        <w:t>（创投）、</w:t>
      </w:r>
    </w:p>
    <w:p>
      <w:pPr>
        <w:spacing w:line="240" w:lineRule="auto"/>
        <w:rPr>
          <w:rFonts w:hint="eastAsia"/>
          <w:strike/>
          <w:dstrike w:val="0"/>
          <w:color w:val="auto"/>
          <w:lang w:val="en-US" w:eastAsia="zh-CN"/>
        </w:rPr>
      </w:pPr>
      <w:r>
        <w:rPr>
          <w:rFonts w:hint="eastAsia"/>
          <w:strike/>
          <w:dstrike w:val="0"/>
          <w:color w:val="00B050"/>
          <w:lang w:val="en-US" w:eastAsia="zh-CN"/>
        </w:rPr>
        <w:t>万家乐</w:t>
      </w:r>
      <w:r>
        <w:rPr>
          <w:rFonts w:hint="default"/>
          <w:strike/>
          <w:dstrike w:val="0"/>
          <w:color w:val="00B050"/>
          <w:lang w:val="en-US" w:eastAsia="zh-CN"/>
        </w:rPr>
        <w:t>(-10.00%)</w:t>
      </w:r>
      <w:r>
        <w:rPr>
          <w:rFonts w:hint="eastAsia"/>
          <w:strike/>
          <w:dstrike w:val="0"/>
          <w:color w:val="00B050"/>
          <w:lang w:val="en-US" w:eastAsia="zh-CN"/>
        </w:rPr>
        <w:t>（壳资源）</w:t>
      </w:r>
      <w:r>
        <w:rPr>
          <w:rFonts w:hint="eastAsia"/>
          <w:strike/>
          <w:dstrike w:val="0"/>
          <w:color w:val="auto"/>
          <w:lang w:val="en-US" w:eastAsia="zh-CN"/>
        </w:rPr>
        <w:t>、</w:t>
      </w:r>
    </w:p>
    <w:p>
      <w:pPr>
        <w:spacing w:line="240" w:lineRule="auto"/>
        <w:rPr>
          <w:rFonts w:hint="eastAsia"/>
          <w:strike/>
          <w:dstrike w:val="0"/>
          <w:color w:val="auto"/>
          <w:lang w:val="en-US" w:eastAsia="zh-CN"/>
        </w:rPr>
      </w:pPr>
      <w:r>
        <w:rPr>
          <w:rFonts w:hint="eastAsia"/>
          <w:strike/>
          <w:dstrike w:val="0"/>
          <w:color w:val="00B050"/>
          <w:lang w:val="en-US" w:eastAsia="zh-CN"/>
        </w:rPr>
        <w:t>金财互联</w:t>
      </w:r>
      <w:r>
        <w:rPr>
          <w:rFonts w:hint="default"/>
          <w:strike/>
          <w:dstrike w:val="0"/>
          <w:color w:val="00B050"/>
          <w:lang w:val="en-US" w:eastAsia="zh-CN"/>
        </w:rPr>
        <w:t>(-0.43)</w:t>
      </w:r>
      <w:r>
        <w:rPr>
          <w:rFonts w:hint="eastAsia"/>
          <w:strike/>
          <w:dstrike w:val="0"/>
          <w:color w:val="00B050"/>
          <w:lang w:val="en-US" w:eastAsia="zh-CN"/>
        </w:rPr>
        <w:t>（区块链+筹码）</w:t>
      </w:r>
      <w:r>
        <w:rPr>
          <w:rFonts w:hint="eastAsia"/>
          <w:strike/>
          <w:dstrike w:val="0"/>
          <w:color w:val="auto"/>
          <w:lang w:val="en-US" w:eastAsia="zh-CN"/>
        </w:rPr>
        <w:t>、</w:t>
      </w:r>
      <w:r>
        <w:rPr>
          <w:rFonts w:hint="eastAsia"/>
          <w:strike/>
          <w:dstrike w:val="0"/>
          <w:color w:val="FF0000"/>
          <w:lang w:val="en-US" w:eastAsia="zh-CN"/>
        </w:rPr>
        <w:t>宣亚国际</w:t>
      </w:r>
      <w:r>
        <w:rPr>
          <w:rFonts w:hint="default"/>
          <w:strike/>
          <w:dstrike w:val="0"/>
          <w:color w:val="FF0000"/>
          <w:lang w:val="en-US" w:eastAsia="zh-CN"/>
        </w:rPr>
        <w:t>(+2.71%)</w:t>
      </w:r>
      <w:r>
        <w:rPr>
          <w:rFonts w:hint="eastAsia"/>
          <w:strike/>
          <w:dstrike w:val="0"/>
          <w:color w:val="auto"/>
          <w:lang w:val="en-US" w:eastAsia="zh-CN"/>
        </w:rPr>
        <w:t>（超跌+前期妖股）、</w:t>
      </w:r>
    </w:p>
    <w:p>
      <w:pPr>
        <w:spacing w:line="240" w:lineRule="auto"/>
        <w:rPr>
          <w:rFonts w:hint="default"/>
          <w:strike/>
          <w:dstrike w:val="0"/>
          <w:color w:val="FF0000"/>
          <w:lang w:val="en-US" w:eastAsia="zh-CN"/>
        </w:rPr>
      </w:pPr>
      <w:r>
        <w:rPr>
          <w:rFonts w:hint="eastAsia"/>
          <w:strike/>
          <w:dstrike w:val="0"/>
          <w:color w:val="FF0000"/>
          <w:lang w:val="en-US" w:eastAsia="zh-CN"/>
        </w:rPr>
        <w:t>上海自贸区</w:t>
      </w:r>
      <w:r>
        <w:rPr>
          <w:rFonts w:hint="default"/>
          <w:strike/>
          <w:dstrike w:val="0"/>
          <w:color w:val="FF0000"/>
          <w:lang w:val="en-US" w:eastAsia="zh-CN"/>
        </w:rPr>
        <w:t>:</w:t>
      </w:r>
      <w:r>
        <w:rPr>
          <w:rFonts w:hint="eastAsia"/>
          <w:strike/>
          <w:dstrike w:val="0"/>
          <w:color w:val="FF0000"/>
          <w:lang w:val="en-US" w:eastAsia="zh-CN"/>
        </w:rPr>
        <w:t>华贸物流</w:t>
      </w:r>
      <w:r>
        <w:rPr>
          <w:rFonts w:hint="default"/>
          <w:strike/>
          <w:dstrike w:val="0"/>
          <w:color w:val="FF0000"/>
          <w:lang w:val="en-US" w:eastAsia="zh-CN"/>
        </w:rPr>
        <w:t xml:space="preserve">(+4.55%) </w:t>
      </w:r>
      <w:r>
        <w:rPr>
          <w:rFonts w:hint="eastAsia"/>
          <w:strike/>
          <w:dstrike w:val="0"/>
          <w:color w:val="FF0000"/>
          <w:lang w:val="en-US" w:eastAsia="zh-CN"/>
        </w:rPr>
        <w:t>、长江投资</w:t>
      </w:r>
      <w:r>
        <w:rPr>
          <w:rFonts w:hint="default"/>
          <w:strike/>
          <w:dstrike w:val="0"/>
          <w:color w:val="FF0000"/>
          <w:lang w:val="en-US" w:eastAsia="zh-CN"/>
        </w:rPr>
        <w:t xml:space="preserve">(+10.01%) </w:t>
      </w:r>
      <w:r>
        <w:rPr>
          <w:rFonts w:hint="eastAsia"/>
          <w:strike/>
          <w:dstrike w:val="0"/>
          <w:color w:val="FF0000"/>
          <w:lang w:val="en-US" w:eastAsia="zh-CN"/>
        </w:rPr>
        <w:t>，上海物贸</w:t>
      </w:r>
      <w:r>
        <w:rPr>
          <w:rFonts w:hint="default"/>
          <w:strike/>
          <w:dstrike w:val="0"/>
          <w:color w:val="FF0000"/>
          <w:lang w:val="en-US" w:eastAsia="zh-CN"/>
        </w:rPr>
        <w:t xml:space="preserve"> (+4.55%)</w:t>
      </w:r>
    </w:p>
    <w:p>
      <w:pPr>
        <w:spacing w:line="240" w:lineRule="auto"/>
        <w:rPr>
          <w:rFonts w:hint="default"/>
          <w:strike w:val="0"/>
          <w:dstrike w:val="0"/>
          <w:color w:val="FF0000"/>
          <w:lang w:val="en-US" w:eastAsia="zh-CN"/>
        </w:rPr>
      </w:pPr>
    </w:p>
    <w:p>
      <w:pPr>
        <w:spacing w:line="240" w:lineRule="auto"/>
        <w:rPr>
          <w:rFonts w:hint="eastAsia"/>
          <w:strike w:val="0"/>
          <w:dstrike w:val="0"/>
          <w:color w:val="FF0000"/>
          <w:lang w:val="en-US" w:eastAsia="zh-CN"/>
        </w:rPr>
      </w:pPr>
      <w:r>
        <w:rPr>
          <w:rFonts w:hint="default"/>
          <w:strike w:val="0"/>
          <w:dstrike w:val="0"/>
          <w:color w:val="FF0000"/>
          <w:lang w:val="en-US" w:eastAsia="zh-CN"/>
        </w:rPr>
        <w:t>11-19</w:t>
      </w:r>
      <w:r>
        <w:rPr>
          <w:rFonts w:hint="eastAsia"/>
          <w:strike w:val="0"/>
          <w:dstrike w:val="0"/>
          <w:color w:val="FF0000"/>
          <w:lang w:val="en-US" w:eastAsia="zh-CN"/>
        </w:rPr>
        <w:t>日关注股票：</w:t>
      </w:r>
    </w:p>
    <w:p>
      <w:pPr>
        <w:spacing w:line="240" w:lineRule="auto"/>
        <w:rPr>
          <w:rFonts w:hint="eastAsia"/>
          <w:strike/>
          <w:dstrike w:val="0"/>
          <w:color w:val="FF0000"/>
          <w:lang w:val="en-US" w:eastAsia="zh-CN"/>
        </w:rPr>
      </w:pPr>
      <w:r>
        <w:rPr>
          <w:rFonts w:hint="eastAsia"/>
          <w:strike/>
          <w:dstrike w:val="0"/>
          <w:color w:val="FF0000"/>
          <w:lang w:val="en-US" w:eastAsia="zh-CN"/>
        </w:rPr>
        <w:t>海南海药、兴民智通、</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default"/>
          <w:strike w:val="0"/>
          <w:dstrike w:val="0"/>
          <w:color w:val="FF0000"/>
          <w:lang w:val="en-US" w:eastAsia="zh-CN"/>
        </w:rPr>
        <w:t>11-20</w:t>
      </w:r>
      <w:r>
        <w:rPr>
          <w:rFonts w:hint="eastAsia"/>
          <w:strike w:val="0"/>
          <w:dstrike w:val="0"/>
          <w:color w:val="FF0000"/>
          <w:lang w:val="en-US" w:eastAsia="zh-CN"/>
        </w:rPr>
        <w:t>日关注股票：</w:t>
      </w:r>
    </w:p>
    <w:p>
      <w:pPr>
        <w:spacing w:line="240" w:lineRule="auto"/>
        <w:rPr>
          <w:rFonts w:hint="eastAsia"/>
          <w:strike/>
          <w:dstrike w:val="0"/>
          <w:color w:val="FF0000"/>
          <w:lang w:val="en-US" w:eastAsia="zh-CN"/>
        </w:rPr>
      </w:pPr>
      <w:r>
        <w:rPr>
          <w:rFonts w:hint="eastAsia"/>
          <w:strike/>
          <w:dstrike w:val="0"/>
          <w:color w:val="FF0000"/>
          <w:lang w:val="en-US" w:eastAsia="zh-CN"/>
        </w:rPr>
        <w:t>博天环境、</w:t>
      </w:r>
    </w:p>
    <w:p>
      <w:pPr>
        <w:spacing w:line="240" w:lineRule="auto"/>
        <w:rPr>
          <w:rFonts w:hint="eastAsia"/>
          <w:strike/>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11-21日关注股票：</w:t>
      </w:r>
    </w:p>
    <w:p>
      <w:pPr>
        <w:spacing w:line="240" w:lineRule="auto"/>
        <w:rPr>
          <w:rFonts w:hint="eastAsia"/>
          <w:strike w:val="0"/>
          <w:dstrike w:val="0"/>
          <w:color w:val="00B050"/>
          <w:lang w:val="en-US" w:eastAsia="zh-CN"/>
        </w:rPr>
      </w:pPr>
      <w:r>
        <w:rPr>
          <w:rFonts w:hint="eastAsia"/>
          <w:strike w:val="0"/>
          <w:dstrike w:val="0"/>
          <w:color w:val="00B050"/>
          <w:lang w:val="en-US" w:eastAsia="zh-CN"/>
        </w:rPr>
        <w:t>等下跌到618之后再做操作：</w:t>
      </w:r>
      <w:r>
        <w:rPr>
          <w:rFonts w:hint="eastAsia"/>
          <w:strike w:val="0"/>
          <w:dstrike w:val="0"/>
          <w:color w:val="00B050"/>
          <w:lang w:val="en-US" w:eastAsia="zh-CN"/>
        </w:rPr>
        <w:t>市北高新（</w:t>
      </w:r>
      <w:r>
        <w:rPr>
          <w:rFonts w:hint="default"/>
          <w:strike w:val="0"/>
          <w:dstrike w:val="0"/>
          <w:color w:val="00B050"/>
          <w:lang w:val="en-US" w:eastAsia="zh-CN"/>
        </w:rPr>
        <w:t>-10.04</w:t>
      </w:r>
      <w:r>
        <w:rPr>
          <w:rFonts w:hint="eastAsia"/>
          <w:strike w:val="0"/>
          <w:dstrike w:val="0"/>
          <w:color w:val="00B050"/>
          <w:lang w:val="en-US" w:eastAsia="zh-CN"/>
        </w:rPr>
        <w:t>%）、光洋股份（</w:t>
      </w:r>
      <w:r>
        <w:rPr>
          <w:rFonts w:hint="default"/>
          <w:strike w:val="0"/>
          <w:dstrike w:val="0"/>
          <w:color w:val="00B050"/>
          <w:lang w:val="en-US" w:eastAsia="zh-CN"/>
        </w:rPr>
        <w:t>-9.97</w:t>
      </w:r>
      <w:r>
        <w:rPr>
          <w:rFonts w:hint="eastAsia"/>
          <w:strike w:val="0"/>
          <w:dstrike w:val="0"/>
          <w:color w:val="00B050"/>
          <w:lang w:val="en-US" w:eastAsia="zh-CN"/>
        </w:rPr>
        <w:t>%）、</w:t>
      </w:r>
      <w:r>
        <w:rPr>
          <w:rFonts w:hint="eastAsia"/>
          <w:strike w:val="0"/>
          <w:dstrike w:val="0"/>
          <w:color w:val="00B050"/>
          <w:lang w:val="en-US" w:eastAsia="zh-CN"/>
        </w:rPr>
        <w:t>鲁信创投（-</w:t>
      </w:r>
      <w:r>
        <w:rPr>
          <w:rFonts w:hint="default"/>
          <w:strike w:val="0"/>
          <w:dstrike w:val="0"/>
          <w:color w:val="00B050"/>
          <w:lang w:val="en-US" w:eastAsia="zh-CN"/>
        </w:rPr>
        <w:t>9.98</w:t>
      </w:r>
      <w:r>
        <w:rPr>
          <w:rFonts w:hint="eastAsia"/>
          <w:strike w:val="0"/>
          <w:dstrike w:val="0"/>
          <w:color w:val="00B050"/>
          <w:lang w:val="en-US" w:eastAsia="zh-CN"/>
        </w:rPr>
        <w:t>%）、恒立实业（-</w:t>
      </w:r>
      <w:r>
        <w:rPr>
          <w:rFonts w:hint="default"/>
          <w:strike w:val="0"/>
          <w:dstrike w:val="0"/>
          <w:color w:val="00B050"/>
          <w:lang w:val="en-US" w:eastAsia="zh-CN"/>
        </w:rPr>
        <w:t>2.67</w:t>
      </w:r>
      <w:r>
        <w:rPr>
          <w:rFonts w:hint="eastAsia"/>
          <w:strike w:val="0"/>
          <w:dstrike w:val="0"/>
          <w:color w:val="00B050"/>
          <w:lang w:val="en-US" w:eastAsia="zh-CN"/>
        </w:rPr>
        <w:t>%）</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default"/>
          <w:strike w:val="0"/>
          <w:dstrike w:val="0"/>
          <w:color w:val="FF0000"/>
          <w:lang w:val="en-US" w:eastAsia="zh-CN"/>
        </w:rPr>
        <w:t>11-22</w:t>
      </w:r>
      <w:r>
        <w:rPr>
          <w:rFonts w:hint="eastAsia"/>
          <w:strike w:val="0"/>
          <w:dstrike w:val="0"/>
          <w:color w:val="FF0000"/>
          <w:lang w:val="en-US" w:eastAsia="zh-CN"/>
        </w:rPr>
        <w:t>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无</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11-23日关注股票：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新和成、ST冠福</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11-2</w:t>
      </w:r>
      <w:r>
        <w:rPr>
          <w:rFonts w:hint="default"/>
          <w:strike w:val="0"/>
          <w:dstrike w:val="0"/>
          <w:color w:val="FF0000"/>
          <w:lang w:val="en-US" w:eastAsia="zh-CN"/>
        </w:rPr>
        <w:t>6</w:t>
      </w:r>
      <w:r>
        <w:rPr>
          <w:rFonts w:hint="eastAsia"/>
          <w:strike w:val="0"/>
          <w:dstrike w:val="0"/>
          <w:color w:val="FF0000"/>
          <w:lang w:val="en-US" w:eastAsia="zh-CN"/>
        </w:rPr>
        <w:t>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新和成、ST冠福</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9928-1536542303678"/>
      <w:bookmarkEnd w:id="12"/>
      <w:bookmarkStart w:id="13" w:name="8313-1536542303682"/>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eastAsiaTheme="minorEastAsia"/>
          <w:lang w:val="en-US" w:eastAsia="zh-CN"/>
        </w:rPr>
      </w:pPr>
      <w:r>
        <w:rPr>
          <w:rFonts w:hint="eastAsia"/>
          <w:lang w:val="en-US" w:eastAsia="zh-CN"/>
        </w:rPr>
        <w:t>炒股不是只看K线，要看财报才能赚大钱。</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D2A92"/>
    <w:multiLevelType w:val="singleLevel"/>
    <w:tmpl w:val="F56D2A92"/>
    <w:lvl w:ilvl="0" w:tentative="0">
      <w:start w:val="3"/>
      <w:numFmt w:val="decimal"/>
      <w:lvlText w:val="%1."/>
      <w:lvlJc w:val="left"/>
      <w:pPr>
        <w:tabs>
          <w:tab w:val="left" w:pos="312"/>
        </w:tabs>
      </w:pPr>
    </w:lvl>
  </w:abstractNum>
  <w:abstractNum w:abstractNumId="1">
    <w:nsid w:val="10FEA6E6"/>
    <w:multiLevelType w:val="singleLevel"/>
    <w:tmpl w:val="10FEA6E6"/>
    <w:lvl w:ilvl="0" w:tentative="0">
      <w:start w:val="1"/>
      <w:numFmt w:val="decimal"/>
      <w:lvlText w:val="%1."/>
      <w:lvlJc w:val="left"/>
      <w:pPr>
        <w:tabs>
          <w:tab w:val="left" w:pos="312"/>
        </w:tabs>
        <w:ind w:left="10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04026"/>
    <w:rsid w:val="00261413"/>
    <w:rsid w:val="004D4197"/>
    <w:rsid w:val="0052221C"/>
    <w:rsid w:val="005863AF"/>
    <w:rsid w:val="006764BA"/>
    <w:rsid w:val="00697FC3"/>
    <w:rsid w:val="00901FB1"/>
    <w:rsid w:val="00A5753D"/>
    <w:rsid w:val="00C11855"/>
    <w:rsid w:val="00D3582F"/>
    <w:rsid w:val="00D575A0"/>
    <w:rsid w:val="00E66844"/>
    <w:rsid w:val="01056385"/>
    <w:rsid w:val="014F3B92"/>
    <w:rsid w:val="0152242D"/>
    <w:rsid w:val="01647B7E"/>
    <w:rsid w:val="016B2B40"/>
    <w:rsid w:val="017B05B5"/>
    <w:rsid w:val="01977FEF"/>
    <w:rsid w:val="01A5702C"/>
    <w:rsid w:val="0202356D"/>
    <w:rsid w:val="02450328"/>
    <w:rsid w:val="02586DBF"/>
    <w:rsid w:val="026A4625"/>
    <w:rsid w:val="026C250E"/>
    <w:rsid w:val="02840E6B"/>
    <w:rsid w:val="02873DC1"/>
    <w:rsid w:val="0290454C"/>
    <w:rsid w:val="0293307A"/>
    <w:rsid w:val="029B43B0"/>
    <w:rsid w:val="029F1E5F"/>
    <w:rsid w:val="02A41296"/>
    <w:rsid w:val="02A46468"/>
    <w:rsid w:val="02AB65D7"/>
    <w:rsid w:val="02D8702F"/>
    <w:rsid w:val="02E40250"/>
    <w:rsid w:val="02EA5F6C"/>
    <w:rsid w:val="03217E12"/>
    <w:rsid w:val="033B014F"/>
    <w:rsid w:val="03621B6B"/>
    <w:rsid w:val="03D77D11"/>
    <w:rsid w:val="03DA5A87"/>
    <w:rsid w:val="03DD087F"/>
    <w:rsid w:val="03E8388A"/>
    <w:rsid w:val="04032EE8"/>
    <w:rsid w:val="041C7DEF"/>
    <w:rsid w:val="04220426"/>
    <w:rsid w:val="044D03F6"/>
    <w:rsid w:val="04525AAA"/>
    <w:rsid w:val="0459341E"/>
    <w:rsid w:val="045F4CAA"/>
    <w:rsid w:val="046A7178"/>
    <w:rsid w:val="04744B22"/>
    <w:rsid w:val="04962F92"/>
    <w:rsid w:val="04A21184"/>
    <w:rsid w:val="04A641E4"/>
    <w:rsid w:val="04AF28FE"/>
    <w:rsid w:val="04CE0549"/>
    <w:rsid w:val="04EE70BE"/>
    <w:rsid w:val="04F5092B"/>
    <w:rsid w:val="04FE22FC"/>
    <w:rsid w:val="05016A5F"/>
    <w:rsid w:val="051801EF"/>
    <w:rsid w:val="05224B2F"/>
    <w:rsid w:val="05367AD1"/>
    <w:rsid w:val="055029FA"/>
    <w:rsid w:val="0563041F"/>
    <w:rsid w:val="056D0B52"/>
    <w:rsid w:val="05727E27"/>
    <w:rsid w:val="057E173A"/>
    <w:rsid w:val="058A71FF"/>
    <w:rsid w:val="058E3BE7"/>
    <w:rsid w:val="05996F7D"/>
    <w:rsid w:val="059F2277"/>
    <w:rsid w:val="05D61E65"/>
    <w:rsid w:val="05DB0C89"/>
    <w:rsid w:val="05F42636"/>
    <w:rsid w:val="05F71A0E"/>
    <w:rsid w:val="06200F89"/>
    <w:rsid w:val="062413EF"/>
    <w:rsid w:val="06253556"/>
    <w:rsid w:val="062C094E"/>
    <w:rsid w:val="062D1854"/>
    <w:rsid w:val="062F1F01"/>
    <w:rsid w:val="064F020B"/>
    <w:rsid w:val="06603F9C"/>
    <w:rsid w:val="066107E1"/>
    <w:rsid w:val="066C601E"/>
    <w:rsid w:val="067A6AFF"/>
    <w:rsid w:val="06915502"/>
    <w:rsid w:val="06944398"/>
    <w:rsid w:val="06B03E2C"/>
    <w:rsid w:val="06C0355F"/>
    <w:rsid w:val="06C47C16"/>
    <w:rsid w:val="06C51307"/>
    <w:rsid w:val="06D30ADE"/>
    <w:rsid w:val="06E62AE5"/>
    <w:rsid w:val="070A6F35"/>
    <w:rsid w:val="072646EC"/>
    <w:rsid w:val="07397C16"/>
    <w:rsid w:val="075B55B8"/>
    <w:rsid w:val="07794EF2"/>
    <w:rsid w:val="077C150C"/>
    <w:rsid w:val="078270AF"/>
    <w:rsid w:val="07945E37"/>
    <w:rsid w:val="07BF39C9"/>
    <w:rsid w:val="07DB23C7"/>
    <w:rsid w:val="07E848A7"/>
    <w:rsid w:val="07EB284F"/>
    <w:rsid w:val="08211EDF"/>
    <w:rsid w:val="082D6981"/>
    <w:rsid w:val="083D2004"/>
    <w:rsid w:val="084322AE"/>
    <w:rsid w:val="08446E1E"/>
    <w:rsid w:val="08447F53"/>
    <w:rsid w:val="084721DB"/>
    <w:rsid w:val="084C0D07"/>
    <w:rsid w:val="084F6707"/>
    <w:rsid w:val="085E77E3"/>
    <w:rsid w:val="08876327"/>
    <w:rsid w:val="08C065BA"/>
    <w:rsid w:val="08C5143D"/>
    <w:rsid w:val="08E30882"/>
    <w:rsid w:val="0912413A"/>
    <w:rsid w:val="091322CC"/>
    <w:rsid w:val="092B4110"/>
    <w:rsid w:val="092D0512"/>
    <w:rsid w:val="092F2F78"/>
    <w:rsid w:val="093670EF"/>
    <w:rsid w:val="09383AB9"/>
    <w:rsid w:val="093B7917"/>
    <w:rsid w:val="094F49CA"/>
    <w:rsid w:val="09740E46"/>
    <w:rsid w:val="097A36CE"/>
    <w:rsid w:val="097C15B0"/>
    <w:rsid w:val="098C590A"/>
    <w:rsid w:val="099853DA"/>
    <w:rsid w:val="09C162DD"/>
    <w:rsid w:val="09C3792A"/>
    <w:rsid w:val="09CC4828"/>
    <w:rsid w:val="09D47958"/>
    <w:rsid w:val="09E01E43"/>
    <w:rsid w:val="09E4085B"/>
    <w:rsid w:val="09F70FE3"/>
    <w:rsid w:val="0A127F02"/>
    <w:rsid w:val="0A2A34C0"/>
    <w:rsid w:val="0A2C5CA0"/>
    <w:rsid w:val="0A400DBB"/>
    <w:rsid w:val="0A480728"/>
    <w:rsid w:val="0A493EF5"/>
    <w:rsid w:val="0A4A7DBE"/>
    <w:rsid w:val="0A5C746A"/>
    <w:rsid w:val="0A647BE1"/>
    <w:rsid w:val="0A716325"/>
    <w:rsid w:val="0A895E24"/>
    <w:rsid w:val="0A8F079E"/>
    <w:rsid w:val="0A9A7F0F"/>
    <w:rsid w:val="0ABB4D30"/>
    <w:rsid w:val="0ACC444A"/>
    <w:rsid w:val="0AD31BA2"/>
    <w:rsid w:val="0AE838C3"/>
    <w:rsid w:val="0AFA3E50"/>
    <w:rsid w:val="0B034842"/>
    <w:rsid w:val="0B0E0B30"/>
    <w:rsid w:val="0B0E38DB"/>
    <w:rsid w:val="0B264614"/>
    <w:rsid w:val="0B3D7A93"/>
    <w:rsid w:val="0B3F4495"/>
    <w:rsid w:val="0B4F23A6"/>
    <w:rsid w:val="0B543CA0"/>
    <w:rsid w:val="0B5F4434"/>
    <w:rsid w:val="0B6B0302"/>
    <w:rsid w:val="0B75475E"/>
    <w:rsid w:val="0BA85F8D"/>
    <w:rsid w:val="0BF86B96"/>
    <w:rsid w:val="0BF95EDC"/>
    <w:rsid w:val="0C197917"/>
    <w:rsid w:val="0C1A08F9"/>
    <w:rsid w:val="0C1A48EA"/>
    <w:rsid w:val="0C1E7508"/>
    <w:rsid w:val="0C212C19"/>
    <w:rsid w:val="0C2D340E"/>
    <w:rsid w:val="0C3D797C"/>
    <w:rsid w:val="0C3F4D9B"/>
    <w:rsid w:val="0C540529"/>
    <w:rsid w:val="0C6E045E"/>
    <w:rsid w:val="0C704B07"/>
    <w:rsid w:val="0C76654E"/>
    <w:rsid w:val="0C7F62D6"/>
    <w:rsid w:val="0C880409"/>
    <w:rsid w:val="0CAA6A0A"/>
    <w:rsid w:val="0CB44896"/>
    <w:rsid w:val="0CBB5F78"/>
    <w:rsid w:val="0CC12AEF"/>
    <w:rsid w:val="0CC46945"/>
    <w:rsid w:val="0CD013FA"/>
    <w:rsid w:val="0CE018D5"/>
    <w:rsid w:val="0CE272BE"/>
    <w:rsid w:val="0D0B0DE6"/>
    <w:rsid w:val="0D2627E2"/>
    <w:rsid w:val="0D275AA8"/>
    <w:rsid w:val="0D441CB0"/>
    <w:rsid w:val="0D4C6DF5"/>
    <w:rsid w:val="0D5669F9"/>
    <w:rsid w:val="0D5A65C9"/>
    <w:rsid w:val="0D5E2687"/>
    <w:rsid w:val="0D6D7C9B"/>
    <w:rsid w:val="0D74757A"/>
    <w:rsid w:val="0D752F96"/>
    <w:rsid w:val="0D7578CB"/>
    <w:rsid w:val="0D773D75"/>
    <w:rsid w:val="0D7E4FD5"/>
    <w:rsid w:val="0D9B1CEC"/>
    <w:rsid w:val="0DBA54E4"/>
    <w:rsid w:val="0DE62585"/>
    <w:rsid w:val="0DFC5D75"/>
    <w:rsid w:val="0E0A098D"/>
    <w:rsid w:val="0E3F4767"/>
    <w:rsid w:val="0E43440D"/>
    <w:rsid w:val="0E4773A6"/>
    <w:rsid w:val="0E4B37F7"/>
    <w:rsid w:val="0E6924DC"/>
    <w:rsid w:val="0E8E7C5A"/>
    <w:rsid w:val="0E921C32"/>
    <w:rsid w:val="0E9F4838"/>
    <w:rsid w:val="0EA12E00"/>
    <w:rsid w:val="0EA52CBE"/>
    <w:rsid w:val="0EC44D5F"/>
    <w:rsid w:val="0EC71C3E"/>
    <w:rsid w:val="0ECE38A1"/>
    <w:rsid w:val="0ED71844"/>
    <w:rsid w:val="0ED86771"/>
    <w:rsid w:val="0EDE708A"/>
    <w:rsid w:val="0EF557A5"/>
    <w:rsid w:val="0EF95003"/>
    <w:rsid w:val="0F305A06"/>
    <w:rsid w:val="0F385D65"/>
    <w:rsid w:val="0F5A3C27"/>
    <w:rsid w:val="0F65121D"/>
    <w:rsid w:val="0F7B3097"/>
    <w:rsid w:val="0F905F80"/>
    <w:rsid w:val="0F9718D9"/>
    <w:rsid w:val="0FB54120"/>
    <w:rsid w:val="0FE75D85"/>
    <w:rsid w:val="0FEC709E"/>
    <w:rsid w:val="100B14A3"/>
    <w:rsid w:val="10214A7C"/>
    <w:rsid w:val="10260DF6"/>
    <w:rsid w:val="10266462"/>
    <w:rsid w:val="10295D8E"/>
    <w:rsid w:val="102A5E23"/>
    <w:rsid w:val="10603BF4"/>
    <w:rsid w:val="106415C5"/>
    <w:rsid w:val="107232DD"/>
    <w:rsid w:val="10766EF7"/>
    <w:rsid w:val="10771EFF"/>
    <w:rsid w:val="107A0C96"/>
    <w:rsid w:val="107A3DC8"/>
    <w:rsid w:val="10853902"/>
    <w:rsid w:val="108E1355"/>
    <w:rsid w:val="10956EEC"/>
    <w:rsid w:val="10AD53AA"/>
    <w:rsid w:val="10C528E9"/>
    <w:rsid w:val="10E045BB"/>
    <w:rsid w:val="10F71086"/>
    <w:rsid w:val="10FF109F"/>
    <w:rsid w:val="110D2812"/>
    <w:rsid w:val="110F72C1"/>
    <w:rsid w:val="11253F0D"/>
    <w:rsid w:val="112B250E"/>
    <w:rsid w:val="1132557E"/>
    <w:rsid w:val="11435115"/>
    <w:rsid w:val="114C1096"/>
    <w:rsid w:val="115724B6"/>
    <w:rsid w:val="117F785F"/>
    <w:rsid w:val="11804C89"/>
    <w:rsid w:val="119F149D"/>
    <w:rsid w:val="11A17BC3"/>
    <w:rsid w:val="11D65E05"/>
    <w:rsid w:val="11D86036"/>
    <w:rsid w:val="122020CC"/>
    <w:rsid w:val="1231010E"/>
    <w:rsid w:val="12450F97"/>
    <w:rsid w:val="124C637F"/>
    <w:rsid w:val="125C533A"/>
    <w:rsid w:val="12703CF2"/>
    <w:rsid w:val="129313C9"/>
    <w:rsid w:val="129F0628"/>
    <w:rsid w:val="12A42AB2"/>
    <w:rsid w:val="12A764BE"/>
    <w:rsid w:val="12AD4B2B"/>
    <w:rsid w:val="12F2076C"/>
    <w:rsid w:val="13155065"/>
    <w:rsid w:val="13264D6F"/>
    <w:rsid w:val="1333266D"/>
    <w:rsid w:val="13430B4B"/>
    <w:rsid w:val="134A614D"/>
    <w:rsid w:val="135A46F1"/>
    <w:rsid w:val="13626263"/>
    <w:rsid w:val="136F1A34"/>
    <w:rsid w:val="137E241C"/>
    <w:rsid w:val="138B4200"/>
    <w:rsid w:val="13CA5C4D"/>
    <w:rsid w:val="13D5185C"/>
    <w:rsid w:val="13D552EC"/>
    <w:rsid w:val="13EE15FA"/>
    <w:rsid w:val="140351E0"/>
    <w:rsid w:val="14244DD5"/>
    <w:rsid w:val="14480A5A"/>
    <w:rsid w:val="144E3D48"/>
    <w:rsid w:val="14712FB7"/>
    <w:rsid w:val="14736B0B"/>
    <w:rsid w:val="14816B5F"/>
    <w:rsid w:val="14AA0805"/>
    <w:rsid w:val="14B72178"/>
    <w:rsid w:val="14C0137C"/>
    <w:rsid w:val="14E20D44"/>
    <w:rsid w:val="14EA5225"/>
    <w:rsid w:val="15120F09"/>
    <w:rsid w:val="15270E26"/>
    <w:rsid w:val="152869AA"/>
    <w:rsid w:val="15325154"/>
    <w:rsid w:val="1548447D"/>
    <w:rsid w:val="157113EA"/>
    <w:rsid w:val="157C53E9"/>
    <w:rsid w:val="157F1CD1"/>
    <w:rsid w:val="15993577"/>
    <w:rsid w:val="159F78B9"/>
    <w:rsid w:val="15A0313A"/>
    <w:rsid w:val="15CF200C"/>
    <w:rsid w:val="15DB709E"/>
    <w:rsid w:val="15F10798"/>
    <w:rsid w:val="15F51D1C"/>
    <w:rsid w:val="160659D5"/>
    <w:rsid w:val="16082B50"/>
    <w:rsid w:val="160B115C"/>
    <w:rsid w:val="161E6781"/>
    <w:rsid w:val="162C36C8"/>
    <w:rsid w:val="163E0050"/>
    <w:rsid w:val="1640732D"/>
    <w:rsid w:val="16430633"/>
    <w:rsid w:val="167B04FF"/>
    <w:rsid w:val="16961582"/>
    <w:rsid w:val="16A56FB2"/>
    <w:rsid w:val="16BB7F34"/>
    <w:rsid w:val="16BF0588"/>
    <w:rsid w:val="16BF1790"/>
    <w:rsid w:val="16C64BFD"/>
    <w:rsid w:val="16D84322"/>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42329"/>
    <w:rsid w:val="17D02869"/>
    <w:rsid w:val="17E24ACE"/>
    <w:rsid w:val="18130587"/>
    <w:rsid w:val="1824019C"/>
    <w:rsid w:val="18414B99"/>
    <w:rsid w:val="18587284"/>
    <w:rsid w:val="186000EE"/>
    <w:rsid w:val="1879447F"/>
    <w:rsid w:val="1889738D"/>
    <w:rsid w:val="18A422C2"/>
    <w:rsid w:val="18AB7038"/>
    <w:rsid w:val="18B15ABF"/>
    <w:rsid w:val="18B51EC3"/>
    <w:rsid w:val="18C06A71"/>
    <w:rsid w:val="18E27BAA"/>
    <w:rsid w:val="18FE0B3F"/>
    <w:rsid w:val="191E07B4"/>
    <w:rsid w:val="192073CC"/>
    <w:rsid w:val="192322F0"/>
    <w:rsid w:val="192478B7"/>
    <w:rsid w:val="192D31EB"/>
    <w:rsid w:val="19467740"/>
    <w:rsid w:val="19552F51"/>
    <w:rsid w:val="198F7F93"/>
    <w:rsid w:val="19B47DD1"/>
    <w:rsid w:val="19BC58B8"/>
    <w:rsid w:val="19DB7347"/>
    <w:rsid w:val="19DC4D71"/>
    <w:rsid w:val="19F72C8B"/>
    <w:rsid w:val="1A242DB8"/>
    <w:rsid w:val="1A6B40CE"/>
    <w:rsid w:val="1A6B657D"/>
    <w:rsid w:val="1A815BD3"/>
    <w:rsid w:val="1A8B02F0"/>
    <w:rsid w:val="1A950125"/>
    <w:rsid w:val="1AA33CC8"/>
    <w:rsid w:val="1ABA7984"/>
    <w:rsid w:val="1AC9098F"/>
    <w:rsid w:val="1ACB3375"/>
    <w:rsid w:val="1AD9601A"/>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B4AD2"/>
    <w:rsid w:val="1BDD3CBF"/>
    <w:rsid w:val="1BF2003A"/>
    <w:rsid w:val="1C000526"/>
    <w:rsid w:val="1C036B4B"/>
    <w:rsid w:val="1C044CFD"/>
    <w:rsid w:val="1C0C4EF8"/>
    <w:rsid w:val="1C104715"/>
    <w:rsid w:val="1C1A2A90"/>
    <w:rsid w:val="1C3C7047"/>
    <w:rsid w:val="1C3D0CF9"/>
    <w:rsid w:val="1C47333D"/>
    <w:rsid w:val="1C504041"/>
    <w:rsid w:val="1C5568FE"/>
    <w:rsid w:val="1C670988"/>
    <w:rsid w:val="1C6F6DE4"/>
    <w:rsid w:val="1C7F5574"/>
    <w:rsid w:val="1C825F0A"/>
    <w:rsid w:val="1C857410"/>
    <w:rsid w:val="1CA519D5"/>
    <w:rsid w:val="1CB0205B"/>
    <w:rsid w:val="1CCF59CE"/>
    <w:rsid w:val="1CFE1F9E"/>
    <w:rsid w:val="1D017D34"/>
    <w:rsid w:val="1D0D6955"/>
    <w:rsid w:val="1D1046F8"/>
    <w:rsid w:val="1D2B026D"/>
    <w:rsid w:val="1D3359AA"/>
    <w:rsid w:val="1D3578F8"/>
    <w:rsid w:val="1D5F1195"/>
    <w:rsid w:val="1D6915AF"/>
    <w:rsid w:val="1D7C27F7"/>
    <w:rsid w:val="1D88197B"/>
    <w:rsid w:val="1D8F1E02"/>
    <w:rsid w:val="1D9B3CAA"/>
    <w:rsid w:val="1D9C1A16"/>
    <w:rsid w:val="1D9F5997"/>
    <w:rsid w:val="1DB70379"/>
    <w:rsid w:val="1DB902E7"/>
    <w:rsid w:val="1DBF12C0"/>
    <w:rsid w:val="1DC61F9C"/>
    <w:rsid w:val="1DD60858"/>
    <w:rsid w:val="1DE368CE"/>
    <w:rsid w:val="1DFE763D"/>
    <w:rsid w:val="1E040E8C"/>
    <w:rsid w:val="1E066BFD"/>
    <w:rsid w:val="1E3D16BE"/>
    <w:rsid w:val="1E716A79"/>
    <w:rsid w:val="1E7A6E02"/>
    <w:rsid w:val="1E7D12C4"/>
    <w:rsid w:val="1EAC0280"/>
    <w:rsid w:val="1EB5423E"/>
    <w:rsid w:val="1EC44101"/>
    <w:rsid w:val="1EC801D8"/>
    <w:rsid w:val="1EF13AE1"/>
    <w:rsid w:val="1F0E46A0"/>
    <w:rsid w:val="1F0F507B"/>
    <w:rsid w:val="1F280B33"/>
    <w:rsid w:val="1F3F5BDB"/>
    <w:rsid w:val="1F436954"/>
    <w:rsid w:val="1F4D7CB2"/>
    <w:rsid w:val="1F5B3F83"/>
    <w:rsid w:val="1F5E07AC"/>
    <w:rsid w:val="1F6B3A55"/>
    <w:rsid w:val="1F921442"/>
    <w:rsid w:val="1FB005B5"/>
    <w:rsid w:val="1FCC172B"/>
    <w:rsid w:val="1FD239CE"/>
    <w:rsid w:val="1FFB53A9"/>
    <w:rsid w:val="1FFB7524"/>
    <w:rsid w:val="2017413E"/>
    <w:rsid w:val="202404B5"/>
    <w:rsid w:val="202F2459"/>
    <w:rsid w:val="203568E0"/>
    <w:rsid w:val="204C06AD"/>
    <w:rsid w:val="206A79AA"/>
    <w:rsid w:val="2078113D"/>
    <w:rsid w:val="2094409D"/>
    <w:rsid w:val="20B176AD"/>
    <w:rsid w:val="20BF12E3"/>
    <w:rsid w:val="210B33AA"/>
    <w:rsid w:val="211018D5"/>
    <w:rsid w:val="211853CD"/>
    <w:rsid w:val="21193B54"/>
    <w:rsid w:val="212267F3"/>
    <w:rsid w:val="212C56DD"/>
    <w:rsid w:val="214C5F38"/>
    <w:rsid w:val="21580063"/>
    <w:rsid w:val="215C1B0F"/>
    <w:rsid w:val="215C5CA2"/>
    <w:rsid w:val="21664365"/>
    <w:rsid w:val="21710A68"/>
    <w:rsid w:val="21811D2B"/>
    <w:rsid w:val="2184486A"/>
    <w:rsid w:val="21881BA4"/>
    <w:rsid w:val="2188663D"/>
    <w:rsid w:val="21980957"/>
    <w:rsid w:val="219D3E29"/>
    <w:rsid w:val="21AD213B"/>
    <w:rsid w:val="21B17B55"/>
    <w:rsid w:val="21BA4D5A"/>
    <w:rsid w:val="21C61DDE"/>
    <w:rsid w:val="21C7795A"/>
    <w:rsid w:val="21DF73EA"/>
    <w:rsid w:val="21F9403C"/>
    <w:rsid w:val="220130C8"/>
    <w:rsid w:val="22165BA2"/>
    <w:rsid w:val="22190C7F"/>
    <w:rsid w:val="221F3F25"/>
    <w:rsid w:val="22333AA1"/>
    <w:rsid w:val="225C7BF3"/>
    <w:rsid w:val="2262474E"/>
    <w:rsid w:val="22BD2E76"/>
    <w:rsid w:val="22C9023E"/>
    <w:rsid w:val="22D05A47"/>
    <w:rsid w:val="22D26EAF"/>
    <w:rsid w:val="22E73534"/>
    <w:rsid w:val="22EB6D0C"/>
    <w:rsid w:val="22FA5502"/>
    <w:rsid w:val="23020B57"/>
    <w:rsid w:val="2348188E"/>
    <w:rsid w:val="235003C1"/>
    <w:rsid w:val="2369588F"/>
    <w:rsid w:val="23887625"/>
    <w:rsid w:val="23930482"/>
    <w:rsid w:val="23A22F3C"/>
    <w:rsid w:val="23A6343E"/>
    <w:rsid w:val="23AA2873"/>
    <w:rsid w:val="23C920C1"/>
    <w:rsid w:val="23D55828"/>
    <w:rsid w:val="24134497"/>
    <w:rsid w:val="241C417A"/>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E5C15"/>
    <w:rsid w:val="24F66AC0"/>
    <w:rsid w:val="250235F1"/>
    <w:rsid w:val="25511F6B"/>
    <w:rsid w:val="25590CC6"/>
    <w:rsid w:val="257229A7"/>
    <w:rsid w:val="257709FB"/>
    <w:rsid w:val="257A543F"/>
    <w:rsid w:val="259C0B3C"/>
    <w:rsid w:val="25A0482C"/>
    <w:rsid w:val="25B0357A"/>
    <w:rsid w:val="25B14002"/>
    <w:rsid w:val="25B22DB8"/>
    <w:rsid w:val="25BC6888"/>
    <w:rsid w:val="25C1260B"/>
    <w:rsid w:val="25D03AB9"/>
    <w:rsid w:val="25E41222"/>
    <w:rsid w:val="25EC56F7"/>
    <w:rsid w:val="25FA399D"/>
    <w:rsid w:val="260F4A69"/>
    <w:rsid w:val="26446001"/>
    <w:rsid w:val="26496B30"/>
    <w:rsid w:val="2654390B"/>
    <w:rsid w:val="265B3762"/>
    <w:rsid w:val="26745E1B"/>
    <w:rsid w:val="267C0312"/>
    <w:rsid w:val="2681036C"/>
    <w:rsid w:val="26911DF2"/>
    <w:rsid w:val="269B26E9"/>
    <w:rsid w:val="26A57A65"/>
    <w:rsid w:val="26D85EDD"/>
    <w:rsid w:val="26FD30A8"/>
    <w:rsid w:val="26FF2DF0"/>
    <w:rsid w:val="271E441C"/>
    <w:rsid w:val="2721255F"/>
    <w:rsid w:val="27217301"/>
    <w:rsid w:val="273350FA"/>
    <w:rsid w:val="27437A0D"/>
    <w:rsid w:val="274A56FA"/>
    <w:rsid w:val="275C3451"/>
    <w:rsid w:val="276B7E15"/>
    <w:rsid w:val="27706349"/>
    <w:rsid w:val="277978A5"/>
    <w:rsid w:val="27C73D38"/>
    <w:rsid w:val="27D6481D"/>
    <w:rsid w:val="27E60AEC"/>
    <w:rsid w:val="27E92A96"/>
    <w:rsid w:val="28022CC6"/>
    <w:rsid w:val="280D09D2"/>
    <w:rsid w:val="281A5848"/>
    <w:rsid w:val="283E6FAB"/>
    <w:rsid w:val="28411F49"/>
    <w:rsid w:val="28436EAA"/>
    <w:rsid w:val="284E2E6C"/>
    <w:rsid w:val="285B3B30"/>
    <w:rsid w:val="28943264"/>
    <w:rsid w:val="28A9268D"/>
    <w:rsid w:val="28DA7E14"/>
    <w:rsid w:val="28DC7F94"/>
    <w:rsid w:val="28E20191"/>
    <w:rsid w:val="29032593"/>
    <w:rsid w:val="291B5B6D"/>
    <w:rsid w:val="29283595"/>
    <w:rsid w:val="29384755"/>
    <w:rsid w:val="29474E9E"/>
    <w:rsid w:val="297E256D"/>
    <w:rsid w:val="29901482"/>
    <w:rsid w:val="29F35878"/>
    <w:rsid w:val="29FB0C3F"/>
    <w:rsid w:val="2A0744E4"/>
    <w:rsid w:val="2A154AC5"/>
    <w:rsid w:val="2A220264"/>
    <w:rsid w:val="2A256612"/>
    <w:rsid w:val="2A285457"/>
    <w:rsid w:val="2A3B4EF0"/>
    <w:rsid w:val="2A575882"/>
    <w:rsid w:val="2A665B39"/>
    <w:rsid w:val="2A7B42A5"/>
    <w:rsid w:val="2A802D8A"/>
    <w:rsid w:val="2AA004C2"/>
    <w:rsid w:val="2AAF3433"/>
    <w:rsid w:val="2AD01279"/>
    <w:rsid w:val="2B021229"/>
    <w:rsid w:val="2B074DB5"/>
    <w:rsid w:val="2B1030BD"/>
    <w:rsid w:val="2B1066EC"/>
    <w:rsid w:val="2B151C54"/>
    <w:rsid w:val="2B2209DE"/>
    <w:rsid w:val="2B2560CD"/>
    <w:rsid w:val="2B3137EA"/>
    <w:rsid w:val="2B3570BB"/>
    <w:rsid w:val="2B406E52"/>
    <w:rsid w:val="2B613F8A"/>
    <w:rsid w:val="2B715FF9"/>
    <w:rsid w:val="2B7C2469"/>
    <w:rsid w:val="2B861854"/>
    <w:rsid w:val="2B8667B4"/>
    <w:rsid w:val="2B8B0140"/>
    <w:rsid w:val="2B9102BE"/>
    <w:rsid w:val="2B9C3E2A"/>
    <w:rsid w:val="2BB83060"/>
    <w:rsid w:val="2BBE6C0E"/>
    <w:rsid w:val="2BDA1082"/>
    <w:rsid w:val="2BE454D5"/>
    <w:rsid w:val="2BE546C3"/>
    <w:rsid w:val="2BE7784D"/>
    <w:rsid w:val="2BEE5F38"/>
    <w:rsid w:val="2C01653C"/>
    <w:rsid w:val="2C174697"/>
    <w:rsid w:val="2C1A5864"/>
    <w:rsid w:val="2C36468A"/>
    <w:rsid w:val="2C380A4C"/>
    <w:rsid w:val="2C517FCF"/>
    <w:rsid w:val="2C5A3919"/>
    <w:rsid w:val="2C7E3F52"/>
    <w:rsid w:val="2C815F40"/>
    <w:rsid w:val="2C9F70B0"/>
    <w:rsid w:val="2CD9470B"/>
    <w:rsid w:val="2CF63F14"/>
    <w:rsid w:val="2D0C0D09"/>
    <w:rsid w:val="2D1429EF"/>
    <w:rsid w:val="2D2C5903"/>
    <w:rsid w:val="2D327935"/>
    <w:rsid w:val="2D355D30"/>
    <w:rsid w:val="2D3904C5"/>
    <w:rsid w:val="2D430572"/>
    <w:rsid w:val="2D4E2DDE"/>
    <w:rsid w:val="2D5E3ABF"/>
    <w:rsid w:val="2D600536"/>
    <w:rsid w:val="2D792537"/>
    <w:rsid w:val="2D970B58"/>
    <w:rsid w:val="2D9E4763"/>
    <w:rsid w:val="2DA45761"/>
    <w:rsid w:val="2DA81C99"/>
    <w:rsid w:val="2DB44750"/>
    <w:rsid w:val="2DCA1C15"/>
    <w:rsid w:val="2DE16921"/>
    <w:rsid w:val="2E251C9D"/>
    <w:rsid w:val="2E4E50D3"/>
    <w:rsid w:val="2E5C17D6"/>
    <w:rsid w:val="2E5D7A1B"/>
    <w:rsid w:val="2E6922D6"/>
    <w:rsid w:val="2E7D14DA"/>
    <w:rsid w:val="2E8B4E7A"/>
    <w:rsid w:val="2EA15342"/>
    <w:rsid w:val="2EA67169"/>
    <w:rsid w:val="2EA87494"/>
    <w:rsid w:val="2EB21604"/>
    <w:rsid w:val="2EB84CFE"/>
    <w:rsid w:val="2ED912C5"/>
    <w:rsid w:val="2EDC5069"/>
    <w:rsid w:val="2EF237A7"/>
    <w:rsid w:val="2EFA7779"/>
    <w:rsid w:val="2F005958"/>
    <w:rsid w:val="2F115E9C"/>
    <w:rsid w:val="2F331442"/>
    <w:rsid w:val="2F354053"/>
    <w:rsid w:val="2F3755CF"/>
    <w:rsid w:val="2F3921C7"/>
    <w:rsid w:val="2F3A36A2"/>
    <w:rsid w:val="2F6C637F"/>
    <w:rsid w:val="2F6E3251"/>
    <w:rsid w:val="2F9D3E93"/>
    <w:rsid w:val="2FAC0AEB"/>
    <w:rsid w:val="2FAF3F01"/>
    <w:rsid w:val="2FB8673A"/>
    <w:rsid w:val="2FC1718F"/>
    <w:rsid w:val="2FD53C66"/>
    <w:rsid w:val="2FD57AE6"/>
    <w:rsid w:val="2FE32137"/>
    <w:rsid w:val="300D1A47"/>
    <w:rsid w:val="301C3119"/>
    <w:rsid w:val="302A76D8"/>
    <w:rsid w:val="30325457"/>
    <w:rsid w:val="307642F8"/>
    <w:rsid w:val="307C2FD5"/>
    <w:rsid w:val="308472ED"/>
    <w:rsid w:val="308927E7"/>
    <w:rsid w:val="30A83E2F"/>
    <w:rsid w:val="30BE10FD"/>
    <w:rsid w:val="30D22C4D"/>
    <w:rsid w:val="30D824CE"/>
    <w:rsid w:val="30E8604C"/>
    <w:rsid w:val="311B4918"/>
    <w:rsid w:val="3128318C"/>
    <w:rsid w:val="313919B9"/>
    <w:rsid w:val="313C6E33"/>
    <w:rsid w:val="31470308"/>
    <w:rsid w:val="31832045"/>
    <w:rsid w:val="318A56D9"/>
    <w:rsid w:val="3191079E"/>
    <w:rsid w:val="31980BDD"/>
    <w:rsid w:val="319B0DA4"/>
    <w:rsid w:val="31AE671B"/>
    <w:rsid w:val="31BC324A"/>
    <w:rsid w:val="31DD1A19"/>
    <w:rsid w:val="31E32CEF"/>
    <w:rsid w:val="31F27463"/>
    <w:rsid w:val="322319DA"/>
    <w:rsid w:val="32283386"/>
    <w:rsid w:val="322E6F2F"/>
    <w:rsid w:val="323319A5"/>
    <w:rsid w:val="323715BF"/>
    <w:rsid w:val="323A5C06"/>
    <w:rsid w:val="323A7424"/>
    <w:rsid w:val="32473ADF"/>
    <w:rsid w:val="3251232A"/>
    <w:rsid w:val="325571EA"/>
    <w:rsid w:val="32674304"/>
    <w:rsid w:val="3276149F"/>
    <w:rsid w:val="32A068E9"/>
    <w:rsid w:val="32A23292"/>
    <w:rsid w:val="32B27087"/>
    <w:rsid w:val="32CB7E65"/>
    <w:rsid w:val="32DC06BB"/>
    <w:rsid w:val="32F16CC0"/>
    <w:rsid w:val="330B75BD"/>
    <w:rsid w:val="330E7FBB"/>
    <w:rsid w:val="333C2630"/>
    <w:rsid w:val="33524A45"/>
    <w:rsid w:val="33696B21"/>
    <w:rsid w:val="339B79D4"/>
    <w:rsid w:val="33AA1980"/>
    <w:rsid w:val="33AF76FE"/>
    <w:rsid w:val="33C16442"/>
    <w:rsid w:val="33C82323"/>
    <w:rsid w:val="340F5B81"/>
    <w:rsid w:val="34106BF3"/>
    <w:rsid w:val="34132FF2"/>
    <w:rsid w:val="34205967"/>
    <w:rsid w:val="343144F6"/>
    <w:rsid w:val="3432306B"/>
    <w:rsid w:val="344E75C7"/>
    <w:rsid w:val="346A6735"/>
    <w:rsid w:val="3471300F"/>
    <w:rsid w:val="347E756B"/>
    <w:rsid w:val="34874227"/>
    <w:rsid w:val="34890003"/>
    <w:rsid w:val="34931091"/>
    <w:rsid w:val="349A3EDD"/>
    <w:rsid w:val="34B775B2"/>
    <w:rsid w:val="34E038B6"/>
    <w:rsid w:val="34E2546A"/>
    <w:rsid w:val="34E30F0F"/>
    <w:rsid w:val="34F01269"/>
    <w:rsid w:val="35007CFC"/>
    <w:rsid w:val="351241C6"/>
    <w:rsid w:val="351F02B8"/>
    <w:rsid w:val="35480EDF"/>
    <w:rsid w:val="35686F69"/>
    <w:rsid w:val="35687EBB"/>
    <w:rsid w:val="35784769"/>
    <w:rsid w:val="357F03D9"/>
    <w:rsid w:val="35860DD5"/>
    <w:rsid w:val="358D7A7B"/>
    <w:rsid w:val="358F23CE"/>
    <w:rsid w:val="35923A51"/>
    <w:rsid w:val="359A3107"/>
    <w:rsid w:val="35B73629"/>
    <w:rsid w:val="360C3FC6"/>
    <w:rsid w:val="3611115D"/>
    <w:rsid w:val="361D0887"/>
    <w:rsid w:val="363745C6"/>
    <w:rsid w:val="365506E1"/>
    <w:rsid w:val="367A763D"/>
    <w:rsid w:val="36824A32"/>
    <w:rsid w:val="36974B8F"/>
    <w:rsid w:val="36976717"/>
    <w:rsid w:val="369B37BE"/>
    <w:rsid w:val="36A52223"/>
    <w:rsid w:val="36AD1C73"/>
    <w:rsid w:val="36AF43CB"/>
    <w:rsid w:val="36B409CC"/>
    <w:rsid w:val="36C45ECE"/>
    <w:rsid w:val="36CC20D7"/>
    <w:rsid w:val="36CF007E"/>
    <w:rsid w:val="36D2199E"/>
    <w:rsid w:val="36D70FE7"/>
    <w:rsid w:val="36DC2A3B"/>
    <w:rsid w:val="36DF2AB3"/>
    <w:rsid w:val="36E07DEB"/>
    <w:rsid w:val="36EA511D"/>
    <w:rsid w:val="36F44D99"/>
    <w:rsid w:val="36F70883"/>
    <w:rsid w:val="36F84BB1"/>
    <w:rsid w:val="36FF3F93"/>
    <w:rsid w:val="371C5979"/>
    <w:rsid w:val="37370121"/>
    <w:rsid w:val="373B4262"/>
    <w:rsid w:val="37866BA0"/>
    <w:rsid w:val="37A002FA"/>
    <w:rsid w:val="37CB5679"/>
    <w:rsid w:val="37D65746"/>
    <w:rsid w:val="37DC4300"/>
    <w:rsid w:val="37ED3EEE"/>
    <w:rsid w:val="38107C75"/>
    <w:rsid w:val="381B4EB9"/>
    <w:rsid w:val="382E3032"/>
    <w:rsid w:val="38574525"/>
    <w:rsid w:val="385C78B2"/>
    <w:rsid w:val="38650B7B"/>
    <w:rsid w:val="386C42FF"/>
    <w:rsid w:val="387306D3"/>
    <w:rsid w:val="38753B9D"/>
    <w:rsid w:val="38757EF7"/>
    <w:rsid w:val="388C754C"/>
    <w:rsid w:val="389A2C3B"/>
    <w:rsid w:val="38A356B6"/>
    <w:rsid w:val="38B6134F"/>
    <w:rsid w:val="38B77B89"/>
    <w:rsid w:val="38B94A25"/>
    <w:rsid w:val="38DB444F"/>
    <w:rsid w:val="38E4492B"/>
    <w:rsid w:val="38EA31B9"/>
    <w:rsid w:val="38EE644D"/>
    <w:rsid w:val="38F335E0"/>
    <w:rsid w:val="38FC6572"/>
    <w:rsid w:val="38FE3638"/>
    <w:rsid w:val="391A03B8"/>
    <w:rsid w:val="391B672C"/>
    <w:rsid w:val="39291FA1"/>
    <w:rsid w:val="39587AC5"/>
    <w:rsid w:val="395E7235"/>
    <w:rsid w:val="396F6F4F"/>
    <w:rsid w:val="39710EB7"/>
    <w:rsid w:val="39884BFF"/>
    <w:rsid w:val="39952C82"/>
    <w:rsid w:val="39C67D0A"/>
    <w:rsid w:val="39CD59E2"/>
    <w:rsid w:val="39D049E4"/>
    <w:rsid w:val="39DD1FC0"/>
    <w:rsid w:val="39E20FE2"/>
    <w:rsid w:val="39E278CB"/>
    <w:rsid w:val="39F52E1D"/>
    <w:rsid w:val="3A0F0B48"/>
    <w:rsid w:val="3A224586"/>
    <w:rsid w:val="3A2B5335"/>
    <w:rsid w:val="3A31153A"/>
    <w:rsid w:val="3A3274F4"/>
    <w:rsid w:val="3A336219"/>
    <w:rsid w:val="3A4F3E22"/>
    <w:rsid w:val="3A58411D"/>
    <w:rsid w:val="3A657A57"/>
    <w:rsid w:val="3A68598C"/>
    <w:rsid w:val="3A6A1606"/>
    <w:rsid w:val="3A6C1A5E"/>
    <w:rsid w:val="3A6C47E6"/>
    <w:rsid w:val="3A7B4085"/>
    <w:rsid w:val="3A8527BD"/>
    <w:rsid w:val="3AA54A51"/>
    <w:rsid w:val="3AA9696E"/>
    <w:rsid w:val="3AAA30E3"/>
    <w:rsid w:val="3AAB5DB7"/>
    <w:rsid w:val="3AF87CF3"/>
    <w:rsid w:val="3B021BE7"/>
    <w:rsid w:val="3B0E4A2A"/>
    <w:rsid w:val="3B107CAF"/>
    <w:rsid w:val="3B1C1E27"/>
    <w:rsid w:val="3B4A3954"/>
    <w:rsid w:val="3B5318A0"/>
    <w:rsid w:val="3B6B5381"/>
    <w:rsid w:val="3B7742CD"/>
    <w:rsid w:val="3B9004B9"/>
    <w:rsid w:val="3B9451DA"/>
    <w:rsid w:val="3B9E1812"/>
    <w:rsid w:val="3BAF248D"/>
    <w:rsid w:val="3BAF3FE1"/>
    <w:rsid w:val="3BB57FF7"/>
    <w:rsid w:val="3BD60016"/>
    <w:rsid w:val="3BD834C3"/>
    <w:rsid w:val="3BF40B5B"/>
    <w:rsid w:val="3BF674FE"/>
    <w:rsid w:val="3C106886"/>
    <w:rsid w:val="3C2E2F2A"/>
    <w:rsid w:val="3C2F0DC1"/>
    <w:rsid w:val="3C3347D1"/>
    <w:rsid w:val="3C411F3D"/>
    <w:rsid w:val="3C461A3C"/>
    <w:rsid w:val="3C54676F"/>
    <w:rsid w:val="3C611C77"/>
    <w:rsid w:val="3C8015C6"/>
    <w:rsid w:val="3C856B15"/>
    <w:rsid w:val="3C9D0BD3"/>
    <w:rsid w:val="3C9F1451"/>
    <w:rsid w:val="3CA5557B"/>
    <w:rsid w:val="3CAC1A05"/>
    <w:rsid w:val="3CB47B42"/>
    <w:rsid w:val="3CB851BD"/>
    <w:rsid w:val="3CBF2113"/>
    <w:rsid w:val="3CC15D23"/>
    <w:rsid w:val="3CC5059F"/>
    <w:rsid w:val="3CCC0811"/>
    <w:rsid w:val="3CCD50A6"/>
    <w:rsid w:val="3CD92DC9"/>
    <w:rsid w:val="3CE109FF"/>
    <w:rsid w:val="3CF474DA"/>
    <w:rsid w:val="3CF6320B"/>
    <w:rsid w:val="3D0C0CD6"/>
    <w:rsid w:val="3D2F3EA4"/>
    <w:rsid w:val="3D322722"/>
    <w:rsid w:val="3D3E0E07"/>
    <w:rsid w:val="3D4D2885"/>
    <w:rsid w:val="3D501F86"/>
    <w:rsid w:val="3D521FD8"/>
    <w:rsid w:val="3D5B6FD8"/>
    <w:rsid w:val="3D6B50CD"/>
    <w:rsid w:val="3D6C7970"/>
    <w:rsid w:val="3D8524B9"/>
    <w:rsid w:val="3DC67841"/>
    <w:rsid w:val="3DCC6E48"/>
    <w:rsid w:val="3DF67E21"/>
    <w:rsid w:val="3E1302F2"/>
    <w:rsid w:val="3E341AE6"/>
    <w:rsid w:val="3E350DE2"/>
    <w:rsid w:val="3E51379D"/>
    <w:rsid w:val="3E721BE4"/>
    <w:rsid w:val="3E795D46"/>
    <w:rsid w:val="3EBD4C84"/>
    <w:rsid w:val="3EBD5746"/>
    <w:rsid w:val="3EC40A9D"/>
    <w:rsid w:val="3ECD0A86"/>
    <w:rsid w:val="3EED63A2"/>
    <w:rsid w:val="3F126C25"/>
    <w:rsid w:val="3F2541BD"/>
    <w:rsid w:val="3F270B16"/>
    <w:rsid w:val="3F2E1884"/>
    <w:rsid w:val="3F406847"/>
    <w:rsid w:val="3F486D14"/>
    <w:rsid w:val="3F54103A"/>
    <w:rsid w:val="3F8B38F8"/>
    <w:rsid w:val="3F911160"/>
    <w:rsid w:val="3FA47B82"/>
    <w:rsid w:val="3FB60A8F"/>
    <w:rsid w:val="3FD16542"/>
    <w:rsid w:val="3FD50823"/>
    <w:rsid w:val="3FE57A37"/>
    <w:rsid w:val="3FE6620E"/>
    <w:rsid w:val="40190984"/>
    <w:rsid w:val="401F1357"/>
    <w:rsid w:val="402D5AAC"/>
    <w:rsid w:val="403C756C"/>
    <w:rsid w:val="40644CC3"/>
    <w:rsid w:val="40720EFD"/>
    <w:rsid w:val="40842D6B"/>
    <w:rsid w:val="4084312C"/>
    <w:rsid w:val="40923A38"/>
    <w:rsid w:val="409F62B0"/>
    <w:rsid w:val="40AC35A1"/>
    <w:rsid w:val="40B87888"/>
    <w:rsid w:val="40BF28FF"/>
    <w:rsid w:val="40C4025B"/>
    <w:rsid w:val="40C73A71"/>
    <w:rsid w:val="40F579A0"/>
    <w:rsid w:val="41161BA3"/>
    <w:rsid w:val="41197767"/>
    <w:rsid w:val="41251ED8"/>
    <w:rsid w:val="414D1A11"/>
    <w:rsid w:val="41541E79"/>
    <w:rsid w:val="415E5EAB"/>
    <w:rsid w:val="417437BF"/>
    <w:rsid w:val="41775FA5"/>
    <w:rsid w:val="417C4044"/>
    <w:rsid w:val="41936260"/>
    <w:rsid w:val="419B28D7"/>
    <w:rsid w:val="41C6087A"/>
    <w:rsid w:val="41E106C4"/>
    <w:rsid w:val="41F41ECC"/>
    <w:rsid w:val="41F72304"/>
    <w:rsid w:val="421872FA"/>
    <w:rsid w:val="422725DC"/>
    <w:rsid w:val="422C4743"/>
    <w:rsid w:val="42464C1F"/>
    <w:rsid w:val="424D630C"/>
    <w:rsid w:val="425F2E78"/>
    <w:rsid w:val="42647007"/>
    <w:rsid w:val="42837B96"/>
    <w:rsid w:val="42927BEF"/>
    <w:rsid w:val="429C3F82"/>
    <w:rsid w:val="42A261A9"/>
    <w:rsid w:val="42BE7AAC"/>
    <w:rsid w:val="42F01A2C"/>
    <w:rsid w:val="430272B9"/>
    <w:rsid w:val="433567C5"/>
    <w:rsid w:val="43437508"/>
    <w:rsid w:val="4369441A"/>
    <w:rsid w:val="43715ACD"/>
    <w:rsid w:val="43863BFD"/>
    <w:rsid w:val="439B45B2"/>
    <w:rsid w:val="43A728DB"/>
    <w:rsid w:val="43B64B82"/>
    <w:rsid w:val="43C00987"/>
    <w:rsid w:val="43C147DF"/>
    <w:rsid w:val="43CC1F73"/>
    <w:rsid w:val="43CC220E"/>
    <w:rsid w:val="43DF3087"/>
    <w:rsid w:val="43EC4DB0"/>
    <w:rsid w:val="43F35274"/>
    <w:rsid w:val="43FD6BD7"/>
    <w:rsid w:val="44133473"/>
    <w:rsid w:val="441E51C4"/>
    <w:rsid w:val="443A78EA"/>
    <w:rsid w:val="443D1326"/>
    <w:rsid w:val="444A0646"/>
    <w:rsid w:val="445143F6"/>
    <w:rsid w:val="44515A1D"/>
    <w:rsid w:val="448778CA"/>
    <w:rsid w:val="449909C6"/>
    <w:rsid w:val="44AF6F90"/>
    <w:rsid w:val="44D4142E"/>
    <w:rsid w:val="44D54043"/>
    <w:rsid w:val="452A40ED"/>
    <w:rsid w:val="452F142E"/>
    <w:rsid w:val="454A7BD2"/>
    <w:rsid w:val="455C521C"/>
    <w:rsid w:val="45657922"/>
    <w:rsid w:val="45771FDE"/>
    <w:rsid w:val="45940205"/>
    <w:rsid w:val="459A5AE0"/>
    <w:rsid w:val="45A71986"/>
    <w:rsid w:val="45B2417A"/>
    <w:rsid w:val="45CE7AC9"/>
    <w:rsid w:val="45D05C04"/>
    <w:rsid w:val="45F21DD2"/>
    <w:rsid w:val="4676486A"/>
    <w:rsid w:val="46792153"/>
    <w:rsid w:val="467A3876"/>
    <w:rsid w:val="46882F36"/>
    <w:rsid w:val="469064ED"/>
    <w:rsid w:val="46D203B7"/>
    <w:rsid w:val="46F02AE4"/>
    <w:rsid w:val="46F1523B"/>
    <w:rsid w:val="47080F16"/>
    <w:rsid w:val="471C0108"/>
    <w:rsid w:val="47256A06"/>
    <w:rsid w:val="473174AB"/>
    <w:rsid w:val="475F2ECF"/>
    <w:rsid w:val="476E5ABA"/>
    <w:rsid w:val="477C7EA2"/>
    <w:rsid w:val="47932506"/>
    <w:rsid w:val="479902B6"/>
    <w:rsid w:val="47DA073E"/>
    <w:rsid w:val="47E41BE3"/>
    <w:rsid w:val="47F628FA"/>
    <w:rsid w:val="48014BE7"/>
    <w:rsid w:val="48073349"/>
    <w:rsid w:val="48603F11"/>
    <w:rsid w:val="48651EF8"/>
    <w:rsid w:val="486561CC"/>
    <w:rsid w:val="487333F6"/>
    <w:rsid w:val="48774DFE"/>
    <w:rsid w:val="487F0CDD"/>
    <w:rsid w:val="489A1C79"/>
    <w:rsid w:val="48B03E9F"/>
    <w:rsid w:val="48B03FF9"/>
    <w:rsid w:val="48C76242"/>
    <w:rsid w:val="48E00AC5"/>
    <w:rsid w:val="48E82374"/>
    <w:rsid w:val="48F0132C"/>
    <w:rsid w:val="48F55B45"/>
    <w:rsid w:val="4918362D"/>
    <w:rsid w:val="49183BBE"/>
    <w:rsid w:val="491A4ED9"/>
    <w:rsid w:val="49252B13"/>
    <w:rsid w:val="49294DF5"/>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C07187"/>
    <w:rsid w:val="4ADD7E5A"/>
    <w:rsid w:val="4B176EEC"/>
    <w:rsid w:val="4B2C56D0"/>
    <w:rsid w:val="4B2E2D9C"/>
    <w:rsid w:val="4B383963"/>
    <w:rsid w:val="4B5D46DE"/>
    <w:rsid w:val="4B760445"/>
    <w:rsid w:val="4B807F14"/>
    <w:rsid w:val="4B825FE6"/>
    <w:rsid w:val="4B935B69"/>
    <w:rsid w:val="4BB22796"/>
    <w:rsid w:val="4BB2756C"/>
    <w:rsid w:val="4BBA3B67"/>
    <w:rsid w:val="4BCD3B4D"/>
    <w:rsid w:val="4BCD7125"/>
    <w:rsid w:val="4BD643F7"/>
    <w:rsid w:val="4BD85189"/>
    <w:rsid w:val="4BDE1EA4"/>
    <w:rsid w:val="4BDF467B"/>
    <w:rsid w:val="4BF609D0"/>
    <w:rsid w:val="4C220551"/>
    <w:rsid w:val="4C272A15"/>
    <w:rsid w:val="4C2F1755"/>
    <w:rsid w:val="4C344AA1"/>
    <w:rsid w:val="4C3E1770"/>
    <w:rsid w:val="4C894CEA"/>
    <w:rsid w:val="4C8E5216"/>
    <w:rsid w:val="4C917F0F"/>
    <w:rsid w:val="4CDC002F"/>
    <w:rsid w:val="4CE65642"/>
    <w:rsid w:val="4CEF5956"/>
    <w:rsid w:val="4CF01713"/>
    <w:rsid w:val="4CFF366F"/>
    <w:rsid w:val="4D0A73B1"/>
    <w:rsid w:val="4D121FD2"/>
    <w:rsid w:val="4D1917A8"/>
    <w:rsid w:val="4D1E230F"/>
    <w:rsid w:val="4D3A7C59"/>
    <w:rsid w:val="4D3B644C"/>
    <w:rsid w:val="4D3C2959"/>
    <w:rsid w:val="4D65143D"/>
    <w:rsid w:val="4D974816"/>
    <w:rsid w:val="4DAF3144"/>
    <w:rsid w:val="4DBE19C2"/>
    <w:rsid w:val="4DC44364"/>
    <w:rsid w:val="4DFC2D0A"/>
    <w:rsid w:val="4E001CC7"/>
    <w:rsid w:val="4E033A95"/>
    <w:rsid w:val="4E054997"/>
    <w:rsid w:val="4E233150"/>
    <w:rsid w:val="4E545DE4"/>
    <w:rsid w:val="4E7E348D"/>
    <w:rsid w:val="4E850F02"/>
    <w:rsid w:val="4EB75C6C"/>
    <w:rsid w:val="4EC02376"/>
    <w:rsid w:val="4EF86E1A"/>
    <w:rsid w:val="4F165B40"/>
    <w:rsid w:val="4F20441E"/>
    <w:rsid w:val="4F263247"/>
    <w:rsid w:val="4F32218E"/>
    <w:rsid w:val="4F4D4A7F"/>
    <w:rsid w:val="4F4E26AD"/>
    <w:rsid w:val="4F6F2B2A"/>
    <w:rsid w:val="4F965F99"/>
    <w:rsid w:val="4F9A754C"/>
    <w:rsid w:val="4FA51FC1"/>
    <w:rsid w:val="4FBA02D7"/>
    <w:rsid w:val="4FBD302C"/>
    <w:rsid w:val="4FCE2834"/>
    <w:rsid w:val="4FEE729E"/>
    <w:rsid w:val="4FF25B13"/>
    <w:rsid w:val="500B5A1B"/>
    <w:rsid w:val="50111B63"/>
    <w:rsid w:val="501D1529"/>
    <w:rsid w:val="502258CD"/>
    <w:rsid w:val="504A555A"/>
    <w:rsid w:val="505A1473"/>
    <w:rsid w:val="505A6D6F"/>
    <w:rsid w:val="507F46AC"/>
    <w:rsid w:val="508D3858"/>
    <w:rsid w:val="508F4E81"/>
    <w:rsid w:val="509B50D0"/>
    <w:rsid w:val="509E3EED"/>
    <w:rsid w:val="50AA475F"/>
    <w:rsid w:val="50C47A79"/>
    <w:rsid w:val="50D44BCC"/>
    <w:rsid w:val="50E91E05"/>
    <w:rsid w:val="50F80D92"/>
    <w:rsid w:val="51064251"/>
    <w:rsid w:val="51191ADB"/>
    <w:rsid w:val="511D6223"/>
    <w:rsid w:val="512840B9"/>
    <w:rsid w:val="51296F56"/>
    <w:rsid w:val="512B0D10"/>
    <w:rsid w:val="512D05D4"/>
    <w:rsid w:val="51391C5B"/>
    <w:rsid w:val="51467D32"/>
    <w:rsid w:val="515D45F9"/>
    <w:rsid w:val="518A531D"/>
    <w:rsid w:val="519F60B2"/>
    <w:rsid w:val="51AE15D4"/>
    <w:rsid w:val="51B95E72"/>
    <w:rsid w:val="51CE5EA7"/>
    <w:rsid w:val="51DF03CE"/>
    <w:rsid w:val="51F7052E"/>
    <w:rsid w:val="52271E16"/>
    <w:rsid w:val="52347744"/>
    <w:rsid w:val="52393C1D"/>
    <w:rsid w:val="52521A3D"/>
    <w:rsid w:val="52642262"/>
    <w:rsid w:val="52682107"/>
    <w:rsid w:val="52716292"/>
    <w:rsid w:val="527B5F26"/>
    <w:rsid w:val="528B62BC"/>
    <w:rsid w:val="529F4222"/>
    <w:rsid w:val="52A5296A"/>
    <w:rsid w:val="52A55CB3"/>
    <w:rsid w:val="52A91F2B"/>
    <w:rsid w:val="52B23FA9"/>
    <w:rsid w:val="52E45DE5"/>
    <w:rsid w:val="52E97324"/>
    <w:rsid w:val="52EF0D67"/>
    <w:rsid w:val="52F02C42"/>
    <w:rsid w:val="52F22B35"/>
    <w:rsid w:val="52F62577"/>
    <w:rsid w:val="52FC2765"/>
    <w:rsid w:val="52FE26CC"/>
    <w:rsid w:val="52FF7F21"/>
    <w:rsid w:val="53120E95"/>
    <w:rsid w:val="531869BC"/>
    <w:rsid w:val="53195672"/>
    <w:rsid w:val="532845D8"/>
    <w:rsid w:val="53386D49"/>
    <w:rsid w:val="5346326D"/>
    <w:rsid w:val="535300BC"/>
    <w:rsid w:val="535457FD"/>
    <w:rsid w:val="53613041"/>
    <w:rsid w:val="536461D5"/>
    <w:rsid w:val="537940E2"/>
    <w:rsid w:val="538C0DB6"/>
    <w:rsid w:val="53A718BB"/>
    <w:rsid w:val="53A87981"/>
    <w:rsid w:val="53C631AC"/>
    <w:rsid w:val="53D109CC"/>
    <w:rsid w:val="53D24CDD"/>
    <w:rsid w:val="53EE7A6B"/>
    <w:rsid w:val="54026EF3"/>
    <w:rsid w:val="54120CE3"/>
    <w:rsid w:val="54224AEE"/>
    <w:rsid w:val="542B0DCA"/>
    <w:rsid w:val="54366104"/>
    <w:rsid w:val="54381B54"/>
    <w:rsid w:val="54470C0F"/>
    <w:rsid w:val="544C68CC"/>
    <w:rsid w:val="54533030"/>
    <w:rsid w:val="545B6C57"/>
    <w:rsid w:val="546E64F4"/>
    <w:rsid w:val="54706F37"/>
    <w:rsid w:val="549B0BFD"/>
    <w:rsid w:val="54A23911"/>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C73446"/>
    <w:rsid w:val="55CD2683"/>
    <w:rsid w:val="55CE5218"/>
    <w:rsid w:val="55F02B37"/>
    <w:rsid w:val="55F52A95"/>
    <w:rsid w:val="563952B5"/>
    <w:rsid w:val="56485B8F"/>
    <w:rsid w:val="564B4A19"/>
    <w:rsid w:val="56636141"/>
    <w:rsid w:val="56AD2F65"/>
    <w:rsid w:val="56BE5DE9"/>
    <w:rsid w:val="56DA29F0"/>
    <w:rsid w:val="56E04480"/>
    <w:rsid w:val="571A2248"/>
    <w:rsid w:val="5726114F"/>
    <w:rsid w:val="572C469C"/>
    <w:rsid w:val="572E1DC4"/>
    <w:rsid w:val="572E263C"/>
    <w:rsid w:val="573238AB"/>
    <w:rsid w:val="573A21E0"/>
    <w:rsid w:val="57550297"/>
    <w:rsid w:val="57556125"/>
    <w:rsid w:val="57751DA1"/>
    <w:rsid w:val="57A976CF"/>
    <w:rsid w:val="57D04474"/>
    <w:rsid w:val="57D44AE6"/>
    <w:rsid w:val="57D90E3A"/>
    <w:rsid w:val="57ED486E"/>
    <w:rsid w:val="57FD5BA4"/>
    <w:rsid w:val="58051E72"/>
    <w:rsid w:val="582547A4"/>
    <w:rsid w:val="582A524A"/>
    <w:rsid w:val="58354FAF"/>
    <w:rsid w:val="5838167A"/>
    <w:rsid w:val="58535237"/>
    <w:rsid w:val="586203E8"/>
    <w:rsid w:val="586419D4"/>
    <w:rsid w:val="586D2587"/>
    <w:rsid w:val="587D70BF"/>
    <w:rsid w:val="58845475"/>
    <w:rsid w:val="5889606F"/>
    <w:rsid w:val="588D364E"/>
    <w:rsid w:val="58910843"/>
    <w:rsid w:val="589E3082"/>
    <w:rsid w:val="589E51D8"/>
    <w:rsid w:val="58B20FE9"/>
    <w:rsid w:val="58B26326"/>
    <w:rsid w:val="58C13D6E"/>
    <w:rsid w:val="58CF3699"/>
    <w:rsid w:val="59062455"/>
    <w:rsid w:val="592E6E44"/>
    <w:rsid w:val="5931771A"/>
    <w:rsid w:val="59427279"/>
    <w:rsid w:val="59443F0F"/>
    <w:rsid w:val="594606B0"/>
    <w:rsid w:val="595600B6"/>
    <w:rsid w:val="595A4F46"/>
    <w:rsid w:val="595B57F0"/>
    <w:rsid w:val="595B5C1B"/>
    <w:rsid w:val="595D51EC"/>
    <w:rsid w:val="595E5DBD"/>
    <w:rsid w:val="597804E9"/>
    <w:rsid w:val="59A15F8A"/>
    <w:rsid w:val="59AA7631"/>
    <w:rsid w:val="59B355A8"/>
    <w:rsid w:val="59CC778D"/>
    <w:rsid w:val="59D373E4"/>
    <w:rsid w:val="59DC5C31"/>
    <w:rsid w:val="5A0A05EF"/>
    <w:rsid w:val="5A1C2B94"/>
    <w:rsid w:val="5A41796E"/>
    <w:rsid w:val="5A447516"/>
    <w:rsid w:val="5A501F5C"/>
    <w:rsid w:val="5A5E660A"/>
    <w:rsid w:val="5A6B2536"/>
    <w:rsid w:val="5A6C38ED"/>
    <w:rsid w:val="5A7D7DC9"/>
    <w:rsid w:val="5A870F43"/>
    <w:rsid w:val="5A902353"/>
    <w:rsid w:val="5AB55D62"/>
    <w:rsid w:val="5AC83137"/>
    <w:rsid w:val="5ACB6B07"/>
    <w:rsid w:val="5AD91F12"/>
    <w:rsid w:val="5AED4CE2"/>
    <w:rsid w:val="5AFE4B41"/>
    <w:rsid w:val="5AFE6C9F"/>
    <w:rsid w:val="5AFF2C16"/>
    <w:rsid w:val="5B0A38CB"/>
    <w:rsid w:val="5B5267CB"/>
    <w:rsid w:val="5B5C4A48"/>
    <w:rsid w:val="5B61273E"/>
    <w:rsid w:val="5B6E7DE8"/>
    <w:rsid w:val="5B7132AE"/>
    <w:rsid w:val="5B740E56"/>
    <w:rsid w:val="5B8C3802"/>
    <w:rsid w:val="5B901EF3"/>
    <w:rsid w:val="5BA454AF"/>
    <w:rsid w:val="5BA74D2C"/>
    <w:rsid w:val="5BAE32E0"/>
    <w:rsid w:val="5BD0210D"/>
    <w:rsid w:val="5BDF238A"/>
    <w:rsid w:val="5C256739"/>
    <w:rsid w:val="5C2C016F"/>
    <w:rsid w:val="5C384E29"/>
    <w:rsid w:val="5C3B42D6"/>
    <w:rsid w:val="5C45697A"/>
    <w:rsid w:val="5C4B7D70"/>
    <w:rsid w:val="5C66513A"/>
    <w:rsid w:val="5C78176A"/>
    <w:rsid w:val="5C89301D"/>
    <w:rsid w:val="5C91003A"/>
    <w:rsid w:val="5C941E9A"/>
    <w:rsid w:val="5CA13D41"/>
    <w:rsid w:val="5CA37943"/>
    <w:rsid w:val="5CA65C73"/>
    <w:rsid w:val="5CAD47EF"/>
    <w:rsid w:val="5CD1276C"/>
    <w:rsid w:val="5CD45A79"/>
    <w:rsid w:val="5CFD2BAF"/>
    <w:rsid w:val="5D175E92"/>
    <w:rsid w:val="5D1B009E"/>
    <w:rsid w:val="5D372D3D"/>
    <w:rsid w:val="5D512F5D"/>
    <w:rsid w:val="5D6937A6"/>
    <w:rsid w:val="5D7F3773"/>
    <w:rsid w:val="5D891283"/>
    <w:rsid w:val="5DA301CD"/>
    <w:rsid w:val="5DA97C2A"/>
    <w:rsid w:val="5DDB5902"/>
    <w:rsid w:val="5DF904C3"/>
    <w:rsid w:val="5DFC0579"/>
    <w:rsid w:val="5DFD1447"/>
    <w:rsid w:val="5E0619EE"/>
    <w:rsid w:val="5E18530F"/>
    <w:rsid w:val="5E2F0443"/>
    <w:rsid w:val="5E332EEC"/>
    <w:rsid w:val="5E404E0B"/>
    <w:rsid w:val="5E4F212A"/>
    <w:rsid w:val="5E5A6482"/>
    <w:rsid w:val="5E5D519C"/>
    <w:rsid w:val="5E7E6A8B"/>
    <w:rsid w:val="5E8356EF"/>
    <w:rsid w:val="5E83792B"/>
    <w:rsid w:val="5E957291"/>
    <w:rsid w:val="5E9D1A8F"/>
    <w:rsid w:val="5EB22C18"/>
    <w:rsid w:val="5EC01E6B"/>
    <w:rsid w:val="5ECD13E0"/>
    <w:rsid w:val="5ECF1387"/>
    <w:rsid w:val="5EDA5E4B"/>
    <w:rsid w:val="5EE24148"/>
    <w:rsid w:val="5EEF2C72"/>
    <w:rsid w:val="5EFB6652"/>
    <w:rsid w:val="5F036FC3"/>
    <w:rsid w:val="5F113FE6"/>
    <w:rsid w:val="5F1F04B3"/>
    <w:rsid w:val="5F2C26E2"/>
    <w:rsid w:val="5F54205E"/>
    <w:rsid w:val="5F5778EA"/>
    <w:rsid w:val="5F592DF0"/>
    <w:rsid w:val="5F662887"/>
    <w:rsid w:val="5F671140"/>
    <w:rsid w:val="5F735764"/>
    <w:rsid w:val="5F7F0FCC"/>
    <w:rsid w:val="5F806634"/>
    <w:rsid w:val="5F864151"/>
    <w:rsid w:val="5F8A4D1B"/>
    <w:rsid w:val="5F941F6B"/>
    <w:rsid w:val="5FA16171"/>
    <w:rsid w:val="5FBE57DC"/>
    <w:rsid w:val="5FDC54B2"/>
    <w:rsid w:val="5FE36389"/>
    <w:rsid w:val="5FE73EAF"/>
    <w:rsid w:val="60290442"/>
    <w:rsid w:val="603858FC"/>
    <w:rsid w:val="60396B20"/>
    <w:rsid w:val="60397D0D"/>
    <w:rsid w:val="603E4C08"/>
    <w:rsid w:val="60501874"/>
    <w:rsid w:val="607B0F50"/>
    <w:rsid w:val="60866833"/>
    <w:rsid w:val="60A0766E"/>
    <w:rsid w:val="60A564FB"/>
    <w:rsid w:val="60A772D5"/>
    <w:rsid w:val="6100428F"/>
    <w:rsid w:val="612F6EFB"/>
    <w:rsid w:val="61325CA3"/>
    <w:rsid w:val="614B4800"/>
    <w:rsid w:val="61512AEE"/>
    <w:rsid w:val="61583BA9"/>
    <w:rsid w:val="617C2CAD"/>
    <w:rsid w:val="61833763"/>
    <w:rsid w:val="61B2107A"/>
    <w:rsid w:val="61B31EEA"/>
    <w:rsid w:val="61B95D15"/>
    <w:rsid w:val="61CD6317"/>
    <w:rsid w:val="61D5175F"/>
    <w:rsid w:val="62144378"/>
    <w:rsid w:val="622B4947"/>
    <w:rsid w:val="623C21BB"/>
    <w:rsid w:val="623C29CA"/>
    <w:rsid w:val="62642FCC"/>
    <w:rsid w:val="629321D7"/>
    <w:rsid w:val="62972F0F"/>
    <w:rsid w:val="62994F30"/>
    <w:rsid w:val="62A66176"/>
    <w:rsid w:val="62B644A0"/>
    <w:rsid w:val="62BA4236"/>
    <w:rsid w:val="62D155AD"/>
    <w:rsid w:val="62D80938"/>
    <w:rsid w:val="62DA1607"/>
    <w:rsid w:val="630579C8"/>
    <w:rsid w:val="6309664E"/>
    <w:rsid w:val="630D0E36"/>
    <w:rsid w:val="63261329"/>
    <w:rsid w:val="63271B7D"/>
    <w:rsid w:val="63284643"/>
    <w:rsid w:val="632A0132"/>
    <w:rsid w:val="632B7E9C"/>
    <w:rsid w:val="632D66EB"/>
    <w:rsid w:val="633817A6"/>
    <w:rsid w:val="63520053"/>
    <w:rsid w:val="63524BC7"/>
    <w:rsid w:val="63540E17"/>
    <w:rsid w:val="636433B8"/>
    <w:rsid w:val="6394008A"/>
    <w:rsid w:val="639D08D0"/>
    <w:rsid w:val="63A60C4C"/>
    <w:rsid w:val="63B1701A"/>
    <w:rsid w:val="63D27CE5"/>
    <w:rsid w:val="63DA744D"/>
    <w:rsid w:val="63DF662B"/>
    <w:rsid w:val="63E766DA"/>
    <w:rsid w:val="63E978AB"/>
    <w:rsid w:val="63F130FF"/>
    <w:rsid w:val="64022E8C"/>
    <w:rsid w:val="640D6D48"/>
    <w:rsid w:val="640E4306"/>
    <w:rsid w:val="641D1B0C"/>
    <w:rsid w:val="64357186"/>
    <w:rsid w:val="643764F1"/>
    <w:rsid w:val="64401FB1"/>
    <w:rsid w:val="644244C6"/>
    <w:rsid w:val="645455F2"/>
    <w:rsid w:val="647C41D5"/>
    <w:rsid w:val="649D4F05"/>
    <w:rsid w:val="64CA54C0"/>
    <w:rsid w:val="64CA62E5"/>
    <w:rsid w:val="64E57549"/>
    <w:rsid w:val="64F41122"/>
    <w:rsid w:val="64FB76F0"/>
    <w:rsid w:val="651057F3"/>
    <w:rsid w:val="651346A6"/>
    <w:rsid w:val="651A6DCE"/>
    <w:rsid w:val="65347105"/>
    <w:rsid w:val="65466BDA"/>
    <w:rsid w:val="655E2FF8"/>
    <w:rsid w:val="657022A9"/>
    <w:rsid w:val="65726623"/>
    <w:rsid w:val="65730681"/>
    <w:rsid w:val="65753AF2"/>
    <w:rsid w:val="657A5CEE"/>
    <w:rsid w:val="657F76FE"/>
    <w:rsid w:val="659422FC"/>
    <w:rsid w:val="659D27A2"/>
    <w:rsid w:val="65BA7C51"/>
    <w:rsid w:val="65BF3B3D"/>
    <w:rsid w:val="65E21C88"/>
    <w:rsid w:val="660C056F"/>
    <w:rsid w:val="661E0E6E"/>
    <w:rsid w:val="6643305A"/>
    <w:rsid w:val="664B0AEB"/>
    <w:rsid w:val="664E6051"/>
    <w:rsid w:val="66721D70"/>
    <w:rsid w:val="66817794"/>
    <w:rsid w:val="66954A14"/>
    <w:rsid w:val="66996902"/>
    <w:rsid w:val="669C2C6E"/>
    <w:rsid w:val="669D51F2"/>
    <w:rsid w:val="66A84C68"/>
    <w:rsid w:val="66D20C75"/>
    <w:rsid w:val="66EE017A"/>
    <w:rsid w:val="670D0ADC"/>
    <w:rsid w:val="672A14EE"/>
    <w:rsid w:val="672A527A"/>
    <w:rsid w:val="674468F2"/>
    <w:rsid w:val="67525CE9"/>
    <w:rsid w:val="67600DEC"/>
    <w:rsid w:val="67626C08"/>
    <w:rsid w:val="67694B6F"/>
    <w:rsid w:val="67873EDD"/>
    <w:rsid w:val="67B24FBD"/>
    <w:rsid w:val="67BF2499"/>
    <w:rsid w:val="67CE20B0"/>
    <w:rsid w:val="67CE5A52"/>
    <w:rsid w:val="67D46CBE"/>
    <w:rsid w:val="67D5553E"/>
    <w:rsid w:val="67D66AC9"/>
    <w:rsid w:val="67FB6AF8"/>
    <w:rsid w:val="681D33E8"/>
    <w:rsid w:val="68273E23"/>
    <w:rsid w:val="683C36CD"/>
    <w:rsid w:val="68444A1C"/>
    <w:rsid w:val="686C1BB7"/>
    <w:rsid w:val="68717FC0"/>
    <w:rsid w:val="688F28C6"/>
    <w:rsid w:val="689204D6"/>
    <w:rsid w:val="6892471D"/>
    <w:rsid w:val="6892571D"/>
    <w:rsid w:val="68931A71"/>
    <w:rsid w:val="68B8502B"/>
    <w:rsid w:val="68C25076"/>
    <w:rsid w:val="68CD52EC"/>
    <w:rsid w:val="68F9345B"/>
    <w:rsid w:val="690C73C1"/>
    <w:rsid w:val="690E470A"/>
    <w:rsid w:val="69145543"/>
    <w:rsid w:val="69455631"/>
    <w:rsid w:val="69505908"/>
    <w:rsid w:val="69511D7C"/>
    <w:rsid w:val="69667239"/>
    <w:rsid w:val="698F63A7"/>
    <w:rsid w:val="69AF334E"/>
    <w:rsid w:val="69B20BA4"/>
    <w:rsid w:val="69B338D7"/>
    <w:rsid w:val="69D03A62"/>
    <w:rsid w:val="69DA65EA"/>
    <w:rsid w:val="69E61A81"/>
    <w:rsid w:val="6A0B4A62"/>
    <w:rsid w:val="6A1E4169"/>
    <w:rsid w:val="6A272C44"/>
    <w:rsid w:val="6A3527AF"/>
    <w:rsid w:val="6A4555CF"/>
    <w:rsid w:val="6A4A53D9"/>
    <w:rsid w:val="6A4C1F16"/>
    <w:rsid w:val="6A584D82"/>
    <w:rsid w:val="6A5C3E6D"/>
    <w:rsid w:val="6AB328DD"/>
    <w:rsid w:val="6AC53309"/>
    <w:rsid w:val="6AC65F6B"/>
    <w:rsid w:val="6ADF6EF1"/>
    <w:rsid w:val="6AE063B8"/>
    <w:rsid w:val="6B024E28"/>
    <w:rsid w:val="6B154394"/>
    <w:rsid w:val="6B1D7C10"/>
    <w:rsid w:val="6B326C6E"/>
    <w:rsid w:val="6B59680C"/>
    <w:rsid w:val="6B5B4C25"/>
    <w:rsid w:val="6B82310F"/>
    <w:rsid w:val="6B9955C4"/>
    <w:rsid w:val="6BA50FBC"/>
    <w:rsid w:val="6BA94B6C"/>
    <w:rsid w:val="6BAA13F9"/>
    <w:rsid w:val="6BBE23AC"/>
    <w:rsid w:val="6BC9393A"/>
    <w:rsid w:val="6BC965DC"/>
    <w:rsid w:val="6BD05FE0"/>
    <w:rsid w:val="6BF060F9"/>
    <w:rsid w:val="6C15278F"/>
    <w:rsid w:val="6C1550EF"/>
    <w:rsid w:val="6C192C77"/>
    <w:rsid w:val="6C247FF2"/>
    <w:rsid w:val="6C5A37E8"/>
    <w:rsid w:val="6C680B1C"/>
    <w:rsid w:val="6C6830AB"/>
    <w:rsid w:val="6C852F80"/>
    <w:rsid w:val="6CA35071"/>
    <w:rsid w:val="6CA958D9"/>
    <w:rsid w:val="6CAA2244"/>
    <w:rsid w:val="6CB27F63"/>
    <w:rsid w:val="6CFD117C"/>
    <w:rsid w:val="6D176C50"/>
    <w:rsid w:val="6D5F20FB"/>
    <w:rsid w:val="6D635ECF"/>
    <w:rsid w:val="6D6B1A32"/>
    <w:rsid w:val="6D830976"/>
    <w:rsid w:val="6D8D1556"/>
    <w:rsid w:val="6D9C47D4"/>
    <w:rsid w:val="6D9D362B"/>
    <w:rsid w:val="6DA878E5"/>
    <w:rsid w:val="6DB3004E"/>
    <w:rsid w:val="6DC64084"/>
    <w:rsid w:val="6DD04789"/>
    <w:rsid w:val="6DD0567D"/>
    <w:rsid w:val="6DD652A5"/>
    <w:rsid w:val="6DDA18E4"/>
    <w:rsid w:val="6DE31FA4"/>
    <w:rsid w:val="6DEF27A5"/>
    <w:rsid w:val="6DF1004A"/>
    <w:rsid w:val="6DF76419"/>
    <w:rsid w:val="6E194437"/>
    <w:rsid w:val="6E2E21AD"/>
    <w:rsid w:val="6E5B527C"/>
    <w:rsid w:val="6E760AC8"/>
    <w:rsid w:val="6E865950"/>
    <w:rsid w:val="6E8B12C4"/>
    <w:rsid w:val="6E8C28E4"/>
    <w:rsid w:val="6E921DF4"/>
    <w:rsid w:val="6EA40439"/>
    <w:rsid w:val="6EAD196C"/>
    <w:rsid w:val="6EB0714F"/>
    <w:rsid w:val="6EBC4C9D"/>
    <w:rsid w:val="6F016BFE"/>
    <w:rsid w:val="6F257E2B"/>
    <w:rsid w:val="6F476ED9"/>
    <w:rsid w:val="6F4902C7"/>
    <w:rsid w:val="6F6C584C"/>
    <w:rsid w:val="6F74384E"/>
    <w:rsid w:val="6F7A1086"/>
    <w:rsid w:val="6F7D30C6"/>
    <w:rsid w:val="6F855C15"/>
    <w:rsid w:val="6F8C70D0"/>
    <w:rsid w:val="6FA43E74"/>
    <w:rsid w:val="6FCD5F96"/>
    <w:rsid w:val="6FCD6A80"/>
    <w:rsid w:val="6FDF228C"/>
    <w:rsid w:val="6FEC6BA3"/>
    <w:rsid w:val="6FEE7509"/>
    <w:rsid w:val="70035EF1"/>
    <w:rsid w:val="701048BF"/>
    <w:rsid w:val="70255ADB"/>
    <w:rsid w:val="702A6418"/>
    <w:rsid w:val="702F450B"/>
    <w:rsid w:val="70404FC8"/>
    <w:rsid w:val="70425707"/>
    <w:rsid w:val="70511DE4"/>
    <w:rsid w:val="70644806"/>
    <w:rsid w:val="706A34F7"/>
    <w:rsid w:val="70A44053"/>
    <w:rsid w:val="70B23DA1"/>
    <w:rsid w:val="70B57D29"/>
    <w:rsid w:val="70D42F6E"/>
    <w:rsid w:val="70D71C61"/>
    <w:rsid w:val="710B2E1E"/>
    <w:rsid w:val="71163A30"/>
    <w:rsid w:val="711B56A9"/>
    <w:rsid w:val="71326984"/>
    <w:rsid w:val="713B6F9B"/>
    <w:rsid w:val="717934D4"/>
    <w:rsid w:val="7198751A"/>
    <w:rsid w:val="71A51555"/>
    <w:rsid w:val="71C56B06"/>
    <w:rsid w:val="71E276CC"/>
    <w:rsid w:val="7209211A"/>
    <w:rsid w:val="72424140"/>
    <w:rsid w:val="729E0354"/>
    <w:rsid w:val="72AA2B05"/>
    <w:rsid w:val="72C546A9"/>
    <w:rsid w:val="72DE37F7"/>
    <w:rsid w:val="72EC7EF7"/>
    <w:rsid w:val="72F05E81"/>
    <w:rsid w:val="72FE1849"/>
    <w:rsid w:val="73150265"/>
    <w:rsid w:val="731B7C39"/>
    <w:rsid w:val="73294CA9"/>
    <w:rsid w:val="732E12B1"/>
    <w:rsid w:val="733D0A3C"/>
    <w:rsid w:val="734961CD"/>
    <w:rsid w:val="734F3E47"/>
    <w:rsid w:val="73902F8B"/>
    <w:rsid w:val="73C678FC"/>
    <w:rsid w:val="73C810E9"/>
    <w:rsid w:val="73CF37E0"/>
    <w:rsid w:val="73E867D3"/>
    <w:rsid w:val="73F02CE7"/>
    <w:rsid w:val="73F21569"/>
    <w:rsid w:val="7400632C"/>
    <w:rsid w:val="74235B8A"/>
    <w:rsid w:val="74281E02"/>
    <w:rsid w:val="7453209B"/>
    <w:rsid w:val="745C37D5"/>
    <w:rsid w:val="7464428D"/>
    <w:rsid w:val="7466024C"/>
    <w:rsid w:val="746D6EA6"/>
    <w:rsid w:val="74741EC6"/>
    <w:rsid w:val="74794AD2"/>
    <w:rsid w:val="749B0CA3"/>
    <w:rsid w:val="749C7908"/>
    <w:rsid w:val="74B16095"/>
    <w:rsid w:val="74B23835"/>
    <w:rsid w:val="74BE0F07"/>
    <w:rsid w:val="74C242CB"/>
    <w:rsid w:val="74C9150D"/>
    <w:rsid w:val="74D11297"/>
    <w:rsid w:val="74D44790"/>
    <w:rsid w:val="74F77888"/>
    <w:rsid w:val="7503560E"/>
    <w:rsid w:val="750F1F5A"/>
    <w:rsid w:val="75236E65"/>
    <w:rsid w:val="752939A5"/>
    <w:rsid w:val="75373D85"/>
    <w:rsid w:val="755B23F0"/>
    <w:rsid w:val="756441E0"/>
    <w:rsid w:val="7569689C"/>
    <w:rsid w:val="75972010"/>
    <w:rsid w:val="759D43E0"/>
    <w:rsid w:val="75A738BE"/>
    <w:rsid w:val="75D13ED7"/>
    <w:rsid w:val="75D72DBF"/>
    <w:rsid w:val="75E354AB"/>
    <w:rsid w:val="75ED530E"/>
    <w:rsid w:val="75F25729"/>
    <w:rsid w:val="75FD0190"/>
    <w:rsid w:val="76001D27"/>
    <w:rsid w:val="76077600"/>
    <w:rsid w:val="76085DC1"/>
    <w:rsid w:val="76244941"/>
    <w:rsid w:val="76270C98"/>
    <w:rsid w:val="762868A6"/>
    <w:rsid w:val="762E07D6"/>
    <w:rsid w:val="763D5E6C"/>
    <w:rsid w:val="764976AF"/>
    <w:rsid w:val="764C2E29"/>
    <w:rsid w:val="764D1C84"/>
    <w:rsid w:val="764D73DC"/>
    <w:rsid w:val="7659795A"/>
    <w:rsid w:val="76635F77"/>
    <w:rsid w:val="76676717"/>
    <w:rsid w:val="766F4658"/>
    <w:rsid w:val="76912DA9"/>
    <w:rsid w:val="769C409B"/>
    <w:rsid w:val="76BE2084"/>
    <w:rsid w:val="76C67A20"/>
    <w:rsid w:val="76F471D6"/>
    <w:rsid w:val="76F50806"/>
    <w:rsid w:val="76FA32E0"/>
    <w:rsid w:val="771072F6"/>
    <w:rsid w:val="77126D6C"/>
    <w:rsid w:val="772A04F4"/>
    <w:rsid w:val="77347743"/>
    <w:rsid w:val="777A7C3A"/>
    <w:rsid w:val="77800BB6"/>
    <w:rsid w:val="77A01607"/>
    <w:rsid w:val="77A76E7C"/>
    <w:rsid w:val="77B40DE8"/>
    <w:rsid w:val="77B6655A"/>
    <w:rsid w:val="77D2431F"/>
    <w:rsid w:val="77FF4097"/>
    <w:rsid w:val="781E2A58"/>
    <w:rsid w:val="78295A57"/>
    <w:rsid w:val="782E504C"/>
    <w:rsid w:val="786C031B"/>
    <w:rsid w:val="787108B6"/>
    <w:rsid w:val="787B4D40"/>
    <w:rsid w:val="787C3721"/>
    <w:rsid w:val="788D2861"/>
    <w:rsid w:val="78973E20"/>
    <w:rsid w:val="78AE511E"/>
    <w:rsid w:val="78B80928"/>
    <w:rsid w:val="78C339EC"/>
    <w:rsid w:val="78C74108"/>
    <w:rsid w:val="78CD3E56"/>
    <w:rsid w:val="78D939E3"/>
    <w:rsid w:val="78EB6EB1"/>
    <w:rsid w:val="790421B5"/>
    <w:rsid w:val="791B599B"/>
    <w:rsid w:val="79374CE7"/>
    <w:rsid w:val="794319BF"/>
    <w:rsid w:val="794C00FD"/>
    <w:rsid w:val="7955353C"/>
    <w:rsid w:val="799035A9"/>
    <w:rsid w:val="799C5E12"/>
    <w:rsid w:val="79A02A8D"/>
    <w:rsid w:val="79A53B2D"/>
    <w:rsid w:val="79AA4F75"/>
    <w:rsid w:val="79B81A90"/>
    <w:rsid w:val="79E57F7C"/>
    <w:rsid w:val="79E6546C"/>
    <w:rsid w:val="79F8170D"/>
    <w:rsid w:val="79FC24F5"/>
    <w:rsid w:val="79FD14B8"/>
    <w:rsid w:val="7A096A08"/>
    <w:rsid w:val="7A2A11C4"/>
    <w:rsid w:val="7A2B2F1C"/>
    <w:rsid w:val="7A3A0843"/>
    <w:rsid w:val="7A3E6A0A"/>
    <w:rsid w:val="7A4447A6"/>
    <w:rsid w:val="7A444EC0"/>
    <w:rsid w:val="7A6A7C3A"/>
    <w:rsid w:val="7ABD2276"/>
    <w:rsid w:val="7ABF5A43"/>
    <w:rsid w:val="7AC77976"/>
    <w:rsid w:val="7ADA60BB"/>
    <w:rsid w:val="7AE91B27"/>
    <w:rsid w:val="7AEF43F8"/>
    <w:rsid w:val="7AF367E9"/>
    <w:rsid w:val="7AF83FFF"/>
    <w:rsid w:val="7B151CB1"/>
    <w:rsid w:val="7B343384"/>
    <w:rsid w:val="7B452A87"/>
    <w:rsid w:val="7B557A15"/>
    <w:rsid w:val="7B5D050D"/>
    <w:rsid w:val="7B784687"/>
    <w:rsid w:val="7BA13BF2"/>
    <w:rsid w:val="7BBE34CB"/>
    <w:rsid w:val="7BFC0376"/>
    <w:rsid w:val="7C0773BC"/>
    <w:rsid w:val="7C0943F2"/>
    <w:rsid w:val="7C1823A4"/>
    <w:rsid w:val="7C1E37BA"/>
    <w:rsid w:val="7C3634B1"/>
    <w:rsid w:val="7C3B2D2B"/>
    <w:rsid w:val="7C410F8F"/>
    <w:rsid w:val="7C561668"/>
    <w:rsid w:val="7C920129"/>
    <w:rsid w:val="7CA008B3"/>
    <w:rsid w:val="7CA91F8C"/>
    <w:rsid w:val="7CAE0131"/>
    <w:rsid w:val="7CB876F9"/>
    <w:rsid w:val="7CC836D2"/>
    <w:rsid w:val="7CCD3194"/>
    <w:rsid w:val="7D2D607C"/>
    <w:rsid w:val="7D4164FE"/>
    <w:rsid w:val="7D4E42B7"/>
    <w:rsid w:val="7D542A51"/>
    <w:rsid w:val="7D576356"/>
    <w:rsid w:val="7D617BDB"/>
    <w:rsid w:val="7D632F91"/>
    <w:rsid w:val="7D8173E7"/>
    <w:rsid w:val="7D8247B4"/>
    <w:rsid w:val="7D8E5DA9"/>
    <w:rsid w:val="7D980DF8"/>
    <w:rsid w:val="7D9C6FEC"/>
    <w:rsid w:val="7DCC6265"/>
    <w:rsid w:val="7DE579BE"/>
    <w:rsid w:val="7DE75339"/>
    <w:rsid w:val="7DEC6415"/>
    <w:rsid w:val="7E0D4015"/>
    <w:rsid w:val="7E3F35A6"/>
    <w:rsid w:val="7E3F6376"/>
    <w:rsid w:val="7E57142B"/>
    <w:rsid w:val="7E602E99"/>
    <w:rsid w:val="7E71238B"/>
    <w:rsid w:val="7E867A69"/>
    <w:rsid w:val="7E8A36BD"/>
    <w:rsid w:val="7E8E2BAE"/>
    <w:rsid w:val="7E900D73"/>
    <w:rsid w:val="7EB87716"/>
    <w:rsid w:val="7ECF3FD1"/>
    <w:rsid w:val="7ED1289E"/>
    <w:rsid w:val="7EF40520"/>
    <w:rsid w:val="7EF77DD6"/>
    <w:rsid w:val="7F1163BD"/>
    <w:rsid w:val="7F171113"/>
    <w:rsid w:val="7F222559"/>
    <w:rsid w:val="7F380987"/>
    <w:rsid w:val="7F3C7D4F"/>
    <w:rsid w:val="7F3F1296"/>
    <w:rsid w:val="7F4F4807"/>
    <w:rsid w:val="7F4F614C"/>
    <w:rsid w:val="7F581501"/>
    <w:rsid w:val="7F805815"/>
    <w:rsid w:val="7F833067"/>
    <w:rsid w:val="7F8E2564"/>
    <w:rsid w:val="7F9A10F4"/>
    <w:rsid w:val="7FAE3319"/>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2018-11-23T14:56:47Z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